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5"/>
          <w:numId w:val="0"/>
        </w:numPr>
        <w:spacing w:line="600" w:lineRule="exact"/>
        <w:outlineLvl w:val="1"/>
        <w:rPr>
          <w:rFonts w:hint="eastAsia" w:ascii="仿宋" w:hAnsi="仿宋" w:eastAsia="仿宋" w:cs="仿宋"/>
          <w:b w:val="0"/>
          <w:bCs/>
          <w:kern w:val="0"/>
          <w:sz w:val="32"/>
          <w:szCs w:val="32"/>
          <w:lang w:val="zh-CN" w:eastAsia="zh-CN"/>
        </w:rPr>
      </w:pPr>
      <w:r>
        <w:rPr>
          <w:rFonts w:hint="eastAsia" w:ascii="仿宋" w:hAnsi="仿宋" w:eastAsia="仿宋" w:cs="仿宋"/>
          <w:b w:val="0"/>
          <w:bCs/>
          <w:kern w:val="0"/>
          <w:sz w:val="32"/>
          <w:szCs w:val="32"/>
        </w:rPr>
        <w:t>附件</w:t>
      </w:r>
      <w:r>
        <w:rPr>
          <w:rFonts w:hint="eastAsia" w:ascii="仿宋" w:hAnsi="仿宋" w:eastAsia="仿宋" w:cs="仿宋"/>
          <w:b w:val="0"/>
          <w:bCs/>
          <w:kern w:val="0"/>
          <w:sz w:val="32"/>
          <w:szCs w:val="32"/>
          <w:lang w:eastAsia="zh-CN"/>
        </w:rPr>
        <w:t>：</w:t>
      </w:r>
    </w:p>
    <w:p>
      <w:pPr>
        <w:jc w:val="center"/>
        <w:rPr>
          <w:rFonts w:ascii="宋体" w:hAnsi="宋体" w:eastAsia="宋体" w:cs="宋体"/>
          <w:b/>
          <w:bCs/>
          <w:kern w:val="0"/>
          <w:sz w:val="36"/>
          <w:szCs w:val="36"/>
        </w:rPr>
      </w:pPr>
      <w:r>
        <w:rPr>
          <w:rFonts w:hint="eastAsia" w:ascii="宋体" w:hAnsi="宋体" w:eastAsia="宋体" w:cs="宋体"/>
          <w:b/>
          <w:bCs/>
          <w:kern w:val="0"/>
          <w:sz w:val="36"/>
          <w:szCs w:val="36"/>
        </w:rPr>
        <w:t>陕西省2020年度保障性安居工程绩效评价指标体系打分表</w:t>
      </w:r>
    </w:p>
    <w:tbl>
      <w:tblPr>
        <w:tblStyle w:val="4"/>
        <w:tblW w:w="14160" w:type="dxa"/>
        <w:jc w:val="center"/>
        <w:tblLayout w:type="fixed"/>
        <w:tblCellMar>
          <w:top w:w="0" w:type="dxa"/>
          <w:left w:w="108" w:type="dxa"/>
          <w:bottom w:w="0" w:type="dxa"/>
          <w:right w:w="108" w:type="dxa"/>
        </w:tblCellMar>
      </w:tblPr>
      <w:tblGrid>
        <w:gridCol w:w="464"/>
        <w:gridCol w:w="459"/>
        <w:gridCol w:w="813"/>
        <w:gridCol w:w="565"/>
        <w:gridCol w:w="1078"/>
        <w:gridCol w:w="555"/>
        <w:gridCol w:w="5361"/>
        <w:gridCol w:w="750"/>
        <w:gridCol w:w="4115"/>
      </w:tblGrid>
      <w:tr>
        <w:tblPrEx>
          <w:tblCellMar>
            <w:top w:w="0" w:type="dxa"/>
            <w:left w:w="108" w:type="dxa"/>
            <w:bottom w:w="0" w:type="dxa"/>
            <w:right w:w="108" w:type="dxa"/>
          </w:tblCellMar>
        </w:tblPrEx>
        <w:trPr>
          <w:trHeight w:val="23" w:hRule="atLeast"/>
          <w:tblHeader/>
          <w:jc w:val="center"/>
        </w:trPr>
        <w:tc>
          <w:tcPr>
            <w:tcW w:w="923"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adjustRightInd w:val="0"/>
              <w:snapToGrid w:val="0"/>
              <w:jc w:val="center"/>
              <w:textAlignment w:val="center"/>
              <w:rPr>
                <w:rFonts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一级指标</w:t>
            </w:r>
          </w:p>
        </w:tc>
        <w:tc>
          <w:tcPr>
            <w:tcW w:w="1378"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widowControl/>
              <w:adjustRightInd w:val="0"/>
              <w:snapToGrid w:val="0"/>
              <w:jc w:val="center"/>
              <w:textAlignment w:val="center"/>
              <w:rPr>
                <w:rFonts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二级</w:t>
            </w:r>
            <w:r>
              <w:rPr>
                <w:rFonts w:hint="eastAsia" w:ascii="仿宋" w:hAnsi="仿宋" w:eastAsia="仿宋" w:cs="仿宋"/>
                <w:b/>
                <w:bCs/>
                <w:color w:val="000000"/>
                <w:kern w:val="0"/>
                <w:sz w:val="24"/>
                <w:szCs w:val="24"/>
                <w:lang w:bidi="ar"/>
              </w:rPr>
              <w:br w:type="textWrapping"/>
            </w:r>
            <w:r>
              <w:rPr>
                <w:rFonts w:hint="eastAsia" w:ascii="仿宋" w:hAnsi="仿宋" w:eastAsia="仿宋" w:cs="仿宋"/>
                <w:b/>
                <w:bCs/>
                <w:color w:val="000000"/>
                <w:kern w:val="0"/>
                <w:sz w:val="24"/>
                <w:szCs w:val="24"/>
                <w:lang w:bidi="ar"/>
              </w:rPr>
              <w:t>指标</w:t>
            </w:r>
          </w:p>
        </w:tc>
        <w:tc>
          <w:tcPr>
            <w:tcW w:w="1633"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widowControl/>
              <w:adjustRightInd w:val="0"/>
              <w:snapToGrid w:val="0"/>
              <w:jc w:val="center"/>
              <w:textAlignment w:val="center"/>
              <w:rPr>
                <w:rFonts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三级指标</w:t>
            </w:r>
          </w:p>
        </w:tc>
        <w:tc>
          <w:tcPr>
            <w:tcW w:w="5361"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adjustRightInd w:val="0"/>
              <w:snapToGrid w:val="0"/>
              <w:jc w:val="center"/>
              <w:textAlignment w:val="center"/>
              <w:rPr>
                <w:rFonts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评分标准</w:t>
            </w:r>
          </w:p>
        </w:tc>
        <w:tc>
          <w:tcPr>
            <w:tcW w:w="75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adjustRightInd w:val="0"/>
              <w:snapToGrid w:val="0"/>
              <w:jc w:val="center"/>
              <w:textAlignment w:val="center"/>
              <w:rPr>
                <w:rFonts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得分</w:t>
            </w:r>
          </w:p>
        </w:tc>
        <w:tc>
          <w:tcPr>
            <w:tcW w:w="4115"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pPr>
              <w:widowControl/>
              <w:adjustRightInd w:val="0"/>
              <w:snapToGrid w:val="0"/>
              <w:jc w:val="center"/>
              <w:textAlignment w:val="center"/>
              <w:rPr>
                <w:rFonts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扣分依据</w:t>
            </w:r>
          </w:p>
        </w:tc>
      </w:tr>
      <w:tr>
        <w:tblPrEx>
          <w:tblCellMar>
            <w:top w:w="0" w:type="dxa"/>
            <w:left w:w="108" w:type="dxa"/>
            <w:bottom w:w="0" w:type="dxa"/>
            <w:right w:w="108" w:type="dxa"/>
          </w:tblCellMar>
        </w:tblPrEx>
        <w:trPr>
          <w:trHeight w:val="23" w:hRule="atLeast"/>
          <w:tblHeader/>
          <w:jc w:val="center"/>
        </w:trPr>
        <w:tc>
          <w:tcPr>
            <w:tcW w:w="464"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adjustRightInd w:val="0"/>
              <w:snapToGrid w:val="0"/>
              <w:jc w:val="center"/>
              <w:textAlignment w:val="center"/>
              <w:rPr>
                <w:rFonts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名称</w:t>
            </w:r>
          </w:p>
        </w:tc>
        <w:tc>
          <w:tcPr>
            <w:tcW w:w="459"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adjustRightInd w:val="0"/>
              <w:snapToGrid w:val="0"/>
              <w:jc w:val="center"/>
              <w:textAlignment w:val="center"/>
              <w:rPr>
                <w:rFonts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分值</w:t>
            </w:r>
          </w:p>
        </w:tc>
        <w:tc>
          <w:tcPr>
            <w:tcW w:w="81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adjustRightInd w:val="0"/>
              <w:snapToGrid w:val="0"/>
              <w:jc w:val="center"/>
              <w:textAlignment w:val="center"/>
              <w:rPr>
                <w:rFonts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名称</w:t>
            </w:r>
          </w:p>
        </w:tc>
        <w:tc>
          <w:tcPr>
            <w:tcW w:w="565"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adjustRightInd w:val="0"/>
              <w:snapToGrid w:val="0"/>
              <w:jc w:val="center"/>
              <w:textAlignment w:val="center"/>
              <w:rPr>
                <w:rFonts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分值</w:t>
            </w:r>
          </w:p>
        </w:tc>
        <w:tc>
          <w:tcPr>
            <w:tcW w:w="1078"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adjustRightInd w:val="0"/>
              <w:snapToGrid w:val="0"/>
              <w:jc w:val="center"/>
              <w:textAlignment w:val="center"/>
              <w:rPr>
                <w:rFonts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名称</w:t>
            </w:r>
          </w:p>
        </w:tc>
        <w:tc>
          <w:tcPr>
            <w:tcW w:w="555"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adjustRightInd w:val="0"/>
              <w:snapToGrid w:val="0"/>
              <w:jc w:val="center"/>
              <w:textAlignment w:val="center"/>
              <w:rPr>
                <w:rFonts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分值</w:t>
            </w:r>
          </w:p>
        </w:tc>
        <w:tc>
          <w:tcPr>
            <w:tcW w:w="5361" w:type="dxa"/>
            <w:vMerge w:val="continue"/>
            <w:tcBorders>
              <w:top w:val="single" w:color="auto" w:sz="4" w:space="0"/>
              <w:left w:val="single" w:color="auto" w:sz="4" w:space="0"/>
              <w:bottom w:val="single" w:color="000000" w:sz="4" w:space="0"/>
              <w:right w:val="single" w:color="000000" w:sz="4" w:space="0"/>
            </w:tcBorders>
            <w:shd w:val="clear" w:color="auto" w:fill="333399"/>
            <w:vAlign w:val="center"/>
          </w:tcPr>
          <w:p>
            <w:pPr>
              <w:widowControl/>
              <w:adjustRightInd w:val="0"/>
              <w:snapToGrid w:val="0"/>
              <w:jc w:val="center"/>
              <w:textAlignment w:val="center"/>
              <w:rPr>
                <w:rFonts w:ascii="仿宋" w:hAnsi="仿宋" w:eastAsia="仿宋" w:cs="仿宋"/>
                <w:b/>
                <w:bCs/>
                <w:color w:val="000000"/>
                <w:kern w:val="0"/>
                <w:sz w:val="24"/>
                <w:szCs w:val="24"/>
                <w:lang w:bidi="ar"/>
              </w:rPr>
            </w:pPr>
          </w:p>
        </w:tc>
        <w:tc>
          <w:tcPr>
            <w:tcW w:w="750" w:type="dxa"/>
            <w:vMerge w:val="continue"/>
            <w:tcBorders>
              <w:top w:val="single" w:color="auto" w:sz="4" w:space="0"/>
              <w:left w:val="single" w:color="000000" w:sz="4" w:space="0"/>
              <w:bottom w:val="single" w:color="000000" w:sz="4" w:space="0"/>
              <w:right w:val="single" w:color="000000" w:sz="4" w:space="0"/>
            </w:tcBorders>
            <w:shd w:val="clear" w:color="auto" w:fill="333399"/>
            <w:vAlign w:val="center"/>
          </w:tcPr>
          <w:p>
            <w:pPr>
              <w:widowControl/>
              <w:adjustRightInd w:val="0"/>
              <w:snapToGrid w:val="0"/>
              <w:jc w:val="center"/>
              <w:textAlignment w:val="center"/>
              <w:rPr>
                <w:rFonts w:ascii="仿宋" w:hAnsi="仿宋" w:eastAsia="仿宋" w:cs="仿宋"/>
                <w:b/>
                <w:bCs/>
                <w:color w:val="000000"/>
                <w:kern w:val="0"/>
                <w:sz w:val="24"/>
                <w:szCs w:val="24"/>
                <w:lang w:bidi="ar"/>
              </w:rPr>
            </w:pPr>
          </w:p>
        </w:tc>
        <w:tc>
          <w:tcPr>
            <w:tcW w:w="4115" w:type="dxa"/>
            <w:vMerge w:val="continue"/>
            <w:tcBorders>
              <w:top w:val="single" w:color="auto" w:sz="4" w:space="0"/>
              <w:left w:val="single" w:color="000000" w:sz="4" w:space="0"/>
              <w:bottom w:val="single" w:color="000000" w:sz="4" w:space="0"/>
              <w:right w:val="single" w:color="auto" w:sz="4" w:space="0"/>
            </w:tcBorders>
            <w:shd w:val="clear" w:color="auto" w:fill="333399"/>
            <w:vAlign w:val="center"/>
          </w:tcPr>
          <w:p>
            <w:pPr>
              <w:widowControl/>
              <w:adjustRightInd w:val="0"/>
              <w:snapToGrid w:val="0"/>
              <w:jc w:val="center"/>
              <w:textAlignment w:val="center"/>
              <w:rPr>
                <w:rFonts w:ascii="仿宋" w:hAnsi="仿宋" w:eastAsia="仿宋" w:cs="仿宋"/>
                <w:b/>
                <w:bCs/>
                <w:color w:val="000000"/>
                <w:kern w:val="0"/>
                <w:sz w:val="24"/>
                <w:szCs w:val="24"/>
                <w:lang w:bidi="ar"/>
              </w:rPr>
            </w:pPr>
          </w:p>
        </w:tc>
      </w:tr>
      <w:tr>
        <w:tblPrEx>
          <w:tblCellMar>
            <w:top w:w="0" w:type="dxa"/>
            <w:left w:w="108" w:type="dxa"/>
            <w:bottom w:w="0" w:type="dxa"/>
            <w:right w:w="108" w:type="dxa"/>
          </w:tblCellMar>
        </w:tblPrEx>
        <w:trPr>
          <w:trHeight w:val="23" w:hRule="atLeast"/>
          <w:jc w:val="center"/>
        </w:trPr>
        <w:tc>
          <w:tcPr>
            <w:tcW w:w="464" w:type="dxa"/>
            <w:vMerge w:val="restar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项目</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管理</w:t>
            </w:r>
          </w:p>
        </w:tc>
        <w:tc>
          <w:tcPr>
            <w:tcW w:w="459" w:type="dxa"/>
            <w:vMerge w:val="restar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15 </w:t>
            </w:r>
          </w:p>
        </w:tc>
        <w:tc>
          <w:tcPr>
            <w:tcW w:w="813" w:type="dxa"/>
            <w:vMerge w:val="restar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项目立项</w:t>
            </w:r>
          </w:p>
        </w:tc>
        <w:tc>
          <w:tcPr>
            <w:tcW w:w="565" w:type="dxa"/>
            <w:vMerge w:val="restar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4 </w:t>
            </w:r>
          </w:p>
        </w:tc>
        <w:tc>
          <w:tcPr>
            <w:tcW w:w="1078"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立项依据充分性</w:t>
            </w:r>
          </w:p>
        </w:tc>
        <w:tc>
          <w:tcPr>
            <w:tcW w:w="555"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2 </w:t>
            </w:r>
          </w:p>
        </w:tc>
        <w:tc>
          <w:tcPr>
            <w:tcW w:w="5361" w:type="dxa"/>
            <w:tcBorders>
              <w:top w:val="nil"/>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评价组获取</w:t>
            </w:r>
            <w:r>
              <w:rPr>
                <w:rFonts w:hint="eastAsia" w:ascii="仿宋" w:hAnsi="仿宋" w:eastAsia="仿宋" w:cs="仿宋"/>
                <w:color w:val="000000"/>
                <w:kern w:val="0"/>
                <w:sz w:val="24"/>
                <w:szCs w:val="24"/>
                <w:highlight w:val="none"/>
                <w:lang w:bidi="ar"/>
              </w:rPr>
              <w:t>国家住建部</w:t>
            </w:r>
            <w:r>
              <w:rPr>
                <w:rFonts w:hint="eastAsia" w:ascii="仿宋" w:hAnsi="仿宋" w:eastAsia="仿宋" w:cs="仿宋"/>
                <w:color w:val="000000"/>
                <w:kern w:val="0"/>
                <w:sz w:val="24"/>
                <w:szCs w:val="24"/>
                <w:lang w:bidi="ar"/>
              </w:rPr>
              <w:t>、省级</w:t>
            </w:r>
            <w:r>
              <w:rPr>
                <w:rFonts w:hint="eastAsia" w:ascii="仿宋" w:hAnsi="仿宋" w:eastAsia="仿宋" w:cs="仿宋"/>
                <w:color w:val="000000"/>
                <w:kern w:val="0"/>
                <w:sz w:val="24"/>
                <w:szCs w:val="24"/>
                <w:highlight w:val="none"/>
                <w:lang w:bidi="ar"/>
              </w:rPr>
              <w:t>住建部</w:t>
            </w:r>
            <w:r>
              <w:rPr>
                <w:rFonts w:hint="eastAsia" w:ascii="仿宋" w:hAnsi="仿宋" w:eastAsia="仿宋" w:cs="仿宋"/>
                <w:color w:val="000000"/>
                <w:kern w:val="0"/>
                <w:sz w:val="24"/>
                <w:szCs w:val="24"/>
                <w:lang w:bidi="ar"/>
              </w:rPr>
              <w:t>门及项目实施单位2020年的项目申报书、可行性研究报告、实施方案和资金使用计划等立项资料，从以下五方面对该指标进行评价，评分标准如下：</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①项目立项符合国家法律法规、国民经济发展规划和相关政策，得0.5分；</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②项目立项符合行业发展规划和政策要求，得0.5分；</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③各市（区）、县科学编制城镇老旧小区改造规划和年度改造计划，分步推进老旧小区改造工作，得1分，未制定规划或年度改造计划，扣0.5分。</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 1.58 </w:t>
            </w:r>
          </w:p>
        </w:tc>
        <w:tc>
          <w:tcPr>
            <w:tcW w:w="41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保障性安居工程项目设立符合国家住房保障政策、发展规划，通过项目实施不断改善和提升居民的居住环境，提高了国家住房保障能力。但西安市将部分拟纳入棚改、拆迁小区列入老旧小区改造计划，共调整项目134项，涉及补助资金16,760万元。</w:t>
            </w:r>
          </w:p>
        </w:tc>
      </w:tr>
      <w:tr>
        <w:tblPrEx>
          <w:tblCellMar>
            <w:top w:w="0" w:type="dxa"/>
            <w:left w:w="108" w:type="dxa"/>
            <w:bottom w:w="0" w:type="dxa"/>
            <w:right w:w="108" w:type="dxa"/>
          </w:tblCellMar>
        </w:tblPrEx>
        <w:trPr>
          <w:trHeight w:val="23" w:hRule="atLeast"/>
          <w:jc w:val="center"/>
        </w:trPr>
        <w:tc>
          <w:tcPr>
            <w:tcW w:w="4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4"/>
              </w:rPr>
            </w:pPr>
          </w:p>
        </w:tc>
        <w:tc>
          <w:tcPr>
            <w:tcW w:w="4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4"/>
              </w:rPr>
            </w:pPr>
          </w:p>
        </w:tc>
        <w:tc>
          <w:tcPr>
            <w:tcW w:w="81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4"/>
              </w:rPr>
            </w:pPr>
          </w:p>
        </w:tc>
        <w:tc>
          <w:tcPr>
            <w:tcW w:w="5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4"/>
              </w:rPr>
            </w:pP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立项程序规范性</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2 </w:t>
            </w:r>
          </w:p>
        </w:tc>
        <w:tc>
          <w:tcPr>
            <w:tcW w:w="53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评价组获取市、县</w:t>
            </w:r>
            <w:r>
              <w:rPr>
                <w:rFonts w:hint="eastAsia" w:ascii="仿宋" w:hAnsi="仿宋" w:eastAsia="仿宋" w:cs="仿宋"/>
                <w:color w:val="000000"/>
                <w:kern w:val="0"/>
                <w:sz w:val="24"/>
                <w:szCs w:val="24"/>
                <w:highlight w:val="none"/>
                <w:lang w:bidi="ar"/>
              </w:rPr>
              <w:t>住建部</w:t>
            </w:r>
            <w:r>
              <w:rPr>
                <w:rFonts w:hint="eastAsia" w:ascii="仿宋" w:hAnsi="仿宋" w:eastAsia="仿宋" w:cs="仿宋"/>
                <w:color w:val="000000"/>
                <w:kern w:val="0"/>
                <w:sz w:val="24"/>
                <w:szCs w:val="24"/>
                <w:lang w:bidi="ar"/>
              </w:rPr>
              <w:t>门及项目实施单位2020年的项目申报书、可行性研究报告、实施方案和资金使用计划等立项资料，从以下三方面对该指标进行评价，评分标准如下：</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①项目按照规定的程序申请设立，得1分；</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②老旧小区改造前对小区及建筑物进行综合调查和评估，广泛征询原产权单位、物业服务公司和居民意见，得1分；</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 1.59 </w:t>
            </w:r>
          </w:p>
        </w:tc>
        <w:tc>
          <w:tcPr>
            <w:tcW w:w="41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保障性安居工程项目立项程序基本规范，但西安市部分项目由于居民不同意改造而无法实施，同时个别小区重复申请中省补助资金。</w:t>
            </w:r>
          </w:p>
        </w:tc>
      </w:tr>
      <w:tr>
        <w:tblPrEx>
          <w:tblCellMar>
            <w:top w:w="0" w:type="dxa"/>
            <w:left w:w="108" w:type="dxa"/>
            <w:bottom w:w="0" w:type="dxa"/>
            <w:right w:w="108" w:type="dxa"/>
          </w:tblCellMar>
        </w:tblPrEx>
        <w:trPr>
          <w:trHeight w:val="23" w:hRule="atLeast"/>
          <w:jc w:val="center"/>
        </w:trPr>
        <w:tc>
          <w:tcPr>
            <w:tcW w:w="4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4"/>
              </w:rPr>
            </w:pPr>
          </w:p>
        </w:tc>
        <w:tc>
          <w:tcPr>
            <w:tcW w:w="4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4"/>
              </w:rPr>
            </w:pPr>
          </w:p>
        </w:tc>
        <w:tc>
          <w:tcPr>
            <w:tcW w:w="81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项目管理</w:t>
            </w:r>
          </w:p>
        </w:tc>
        <w:tc>
          <w:tcPr>
            <w:tcW w:w="5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6 </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项目管理规范性</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3 </w:t>
            </w:r>
          </w:p>
        </w:tc>
        <w:tc>
          <w:tcPr>
            <w:tcW w:w="53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评价组获取市级、县级</w:t>
            </w:r>
            <w:r>
              <w:rPr>
                <w:rFonts w:hint="eastAsia" w:ascii="仿宋" w:hAnsi="仿宋" w:eastAsia="仿宋" w:cs="仿宋"/>
                <w:color w:val="000000"/>
                <w:kern w:val="0"/>
                <w:sz w:val="24"/>
                <w:szCs w:val="24"/>
                <w:highlight w:val="none"/>
                <w:lang w:bidi="ar"/>
              </w:rPr>
              <w:t>住建部</w:t>
            </w:r>
            <w:r>
              <w:rPr>
                <w:rFonts w:hint="eastAsia" w:ascii="仿宋" w:hAnsi="仿宋" w:eastAsia="仿宋" w:cs="仿宋"/>
                <w:color w:val="000000"/>
                <w:kern w:val="0"/>
                <w:sz w:val="24"/>
                <w:szCs w:val="24"/>
                <w:lang w:bidi="ar"/>
              </w:rPr>
              <w:t>门及项目实施单位的业务管理制度，在已完成业务中抽取部分样本，从以下四方面对该指标进行评价，评分标准如下：</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①已制定或具有相应的业务管理制度，且合法、合规、完整，得0.5分；</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②遵守相关法律法规和业务管理规定，项目开支符合政府采购管理要求，得0.5分；</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③列入改造计划的老旧小区组织编制《老旧小区改造方案》，改造方案经评审，得1分；</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④调整及支出调整手续完备，得1分。</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 2.41 </w:t>
            </w:r>
          </w:p>
        </w:tc>
        <w:tc>
          <w:tcPr>
            <w:tcW w:w="41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各县（区）结合本地实际情况，由</w:t>
            </w:r>
            <w:r>
              <w:rPr>
                <w:rFonts w:hint="eastAsia" w:ascii="仿宋" w:hAnsi="仿宋" w:eastAsia="仿宋" w:cs="仿宋"/>
                <w:color w:val="000000"/>
                <w:kern w:val="0"/>
                <w:sz w:val="24"/>
                <w:szCs w:val="24"/>
                <w:highlight w:val="none"/>
                <w:lang w:bidi="ar"/>
              </w:rPr>
              <w:t>住建部</w:t>
            </w:r>
            <w:r>
              <w:rPr>
                <w:rFonts w:hint="eastAsia" w:ascii="仿宋" w:hAnsi="仿宋" w:eastAsia="仿宋" w:cs="仿宋"/>
                <w:color w:val="000000"/>
                <w:kern w:val="0"/>
                <w:sz w:val="24"/>
                <w:szCs w:val="24"/>
                <w:lang w:bidi="ar"/>
              </w:rPr>
              <w:t>门、街道办或项目公司具体负责老旧小区改造的实施，职责基本清晰，项目基本能按照规范推进。但西安市存在项目计划调整未及时获批、改造方案未经评审、部分小区未进行公示问题。延安市部分小区未按要求公开改造方案；延安市南市街办实施方案不够细化，未按照指导意见明确改造内容；延安市宝塔区凤凰街办入户调查晚于开工时间。宝鸡市公租房租金收缴不及时，存在资金在公租房运营管理服务机构沉淀问题。</w:t>
            </w:r>
          </w:p>
        </w:tc>
      </w:tr>
      <w:tr>
        <w:tblPrEx>
          <w:tblCellMar>
            <w:top w:w="0" w:type="dxa"/>
            <w:left w:w="108" w:type="dxa"/>
            <w:bottom w:w="0" w:type="dxa"/>
            <w:right w:w="108" w:type="dxa"/>
          </w:tblCellMar>
        </w:tblPrEx>
        <w:trPr>
          <w:trHeight w:val="23" w:hRule="atLeast"/>
          <w:jc w:val="center"/>
        </w:trPr>
        <w:tc>
          <w:tcPr>
            <w:tcW w:w="4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4"/>
              </w:rPr>
            </w:pPr>
          </w:p>
        </w:tc>
        <w:tc>
          <w:tcPr>
            <w:tcW w:w="4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4"/>
              </w:rPr>
            </w:pPr>
          </w:p>
        </w:tc>
        <w:tc>
          <w:tcPr>
            <w:tcW w:w="81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4"/>
              </w:rPr>
            </w:pPr>
          </w:p>
        </w:tc>
        <w:tc>
          <w:tcPr>
            <w:tcW w:w="5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4"/>
              </w:rPr>
            </w:pP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审计监督检查问题整改</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 </w:t>
            </w:r>
          </w:p>
        </w:tc>
        <w:tc>
          <w:tcPr>
            <w:tcW w:w="53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评价组获取市级、县级</w:t>
            </w:r>
            <w:r>
              <w:rPr>
                <w:rFonts w:hint="eastAsia" w:ascii="仿宋" w:hAnsi="仿宋" w:eastAsia="仿宋" w:cs="仿宋"/>
                <w:color w:val="000000"/>
                <w:kern w:val="0"/>
                <w:sz w:val="24"/>
                <w:szCs w:val="24"/>
                <w:highlight w:val="none"/>
                <w:lang w:bidi="ar"/>
              </w:rPr>
              <w:t>住建部</w:t>
            </w:r>
            <w:r>
              <w:rPr>
                <w:rFonts w:hint="eastAsia" w:ascii="仿宋" w:hAnsi="仿宋" w:eastAsia="仿宋" w:cs="仿宋"/>
                <w:color w:val="000000"/>
                <w:kern w:val="0"/>
                <w:sz w:val="24"/>
                <w:szCs w:val="24"/>
                <w:lang w:bidi="ar"/>
              </w:rPr>
              <w:t>门及项目实施单位2020年的项目检查报告、绩效评价报告、审计报告、整改方案及整改报告，对其审计监督检查问题整改情况进行评价，评分标准如下：</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每发现1项未及时整改到位的，扣0.5分，最多扣1分。</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 1.00 </w:t>
            </w:r>
          </w:p>
        </w:tc>
        <w:tc>
          <w:tcPr>
            <w:tcW w:w="41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未发现审计监督检查问题整改不到位情况。</w:t>
            </w:r>
          </w:p>
        </w:tc>
      </w:tr>
      <w:tr>
        <w:tblPrEx>
          <w:tblCellMar>
            <w:top w:w="0" w:type="dxa"/>
            <w:left w:w="108" w:type="dxa"/>
            <w:bottom w:w="0" w:type="dxa"/>
            <w:right w:w="108" w:type="dxa"/>
          </w:tblCellMar>
        </w:tblPrEx>
        <w:trPr>
          <w:trHeight w:val="23" w:hRule="atLeast"/>
          <w:jc w:val="center"/>
        </w:trPr>
        <w:tc>
          <w:tcPr>
            <w:tcW w:w="4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4"/>
              </w:rPr>
            </w:pPr>
          </w:p>
        </w:tc>
        <w:tc>
          <w:tcPr>
            <w:tcW w:w="4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4"/>
              </w:rPr>
            </w:pPr>
          </w:p>
        </w:tc>
        <w:tc>
          <w:tcPr>
            <w:tcW w:w="81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4"/>
              </w:rPr>
            </w:pPr>
          </w:p>
        </w:tc>
        <w:tc>
          <w:tcPr>
            <w:tcW w:w="5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4"/>
              </w:rPr>
            </w:pP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政策和规划公开</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2 </w:t>
            </w:r>
          </w:p>
        </w:tc>
        <w:tc>
          <w:tcPr>
            <w:tcW w:w="53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评价组获取市级、县级</w:t>
            </w:r>
            <w:r>
              <w:rPr>
                <w:rFonts w:hint="eastAsia" w:ascii="仿宋" w:hAnsi="仿宋" w:eastAsia="仿宋" w:cs="仿宋"/>
                <w:color w:val="000000"/>
                <w:kern w:val="0"/>
                <w:sz w:val="24"/>
                <w:szCs w:val="24"/>
                <w:highlight w:val="none"/>
                <w:lang w:bidi="ar"/>
              </w:rPr>
              <w:t>住建部</w:t>
            </w:r>
            <w:r>
              <w:rPr>
                <w:rFonts w:hint="eastAsia" w:ascii="仿宋" w:hAnsi="仿宋" w:eastAsia="仿宋" w:cs="仿宋"/>
                <w:color w:val="000000"/>
                <w:kern w:val="0"/>
                <w:sz w:val="24"/>
                <w:szCs w:val="24"/>
                <w:lang w:bidi="ar"/>
              </w:rPr>
              <w:t>门2019年保障性安居工程公开资料，对公开情况进行审核，评分标准如下：</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①城镇保障性安居工程管理相关政策、年度计划和中长期规划等信息全部及时对外公开的，得1分，每发现1项未按要求及时公开的，扣0.2分，最多扣1分。</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②《老旧小区改造方案》及时在小区进行公示，得1分，每发现1个小区未按要求及时公开的，扣0.2分，最多扣1分。</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 1.41 </w:t>
            </w:r>
          </w:p>
        </w:tc>
        <w:tc>
          <w:tcPr>
            <w:tcW w:w="41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老旧小区改造政策未按要求在部门官方网站公开；延安、宝鸡部分小区未按要求公开改造方案。</w:t>
            </w:r>
          </w:p>
        </w:tc>
      </w:tr>
      <w:tr>
        <w:tblPrEx>
          <w:tblCellMar>
            <w:top w:w="0" w:type="dxa"/>
            <w:left w:w="108" w:type="dxa"/>
            <w:bottom w:w="0" w:type="dxa"/>
            <w:right w:w="108" w:type="dxa"/>
          </w:tblCellMar>
        </w:tblPrEx>
        <w:trPr>
          <w:trHeight w:val="23" w:hRule="atLeast"/>
          <w:jc w:val="center"/>
        </w:trPr>
        <w:tc>
          <w:tcPr>
            <w:tcW w:w="4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4"/>
              </w:rPr>
            </w:pPr>
          </w:p>
        </w:tc>
        <w:tc>
          <w:tcPr>
            <w:tcW w:w="4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4"/>
              </w:rPr>
            </w:pPr>
          </w:p>
        </w:tc>
        <w:tc>
          <w:tcPr>
            <w:tcW w:w="8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绩效管理</w:t>
            </w: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5 </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绩效目标合理性</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2 </w:t>
            </w:r>
          </w:p>
        </w:tc>
        <w:tc>
          <w:tcPr>
            <w:tcW w:w="53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评价组获取市级、县级</w:t>
            </w:r>
            <w:r>
              <w:rPr>
                <w:rFonts w:hint="eastAsia" w:ascii="仿宋" w:hAnsi="仿宋" w:eastAsia="仿宋" w:cs="仿宋"/>
                <w:color w:val="000000"/>
                <w:kern w:val="0"/>
                <w:sz w:val="24"/>
                <w:szCs w:val="24"/>
                <w:highlight w:val="none"/>
                <w:lang w:bidi="ar"/>
              </w:rPr>
              <w:t>住建部</w:t>
            </w:r>
            <w:r>
              <w:rPr>
                <w:rFonts w:hint="eastAsia" w:ascii="仿宋" w:hAnsi="仿宋" w:eastAsia="仿宋" w:cs="仿宋"/>
                <w:color w:val="000000"/>
                <w:kern w:val="0"/>
                <w:sz w:val="24"/>
                <w:szCs w:val="24"/>
                <w:lang w:bidi="ar"/>
              </w:rPr>
              <w:t>门2020年项目申报文本，从以下三方面对该指标进行评价，评分标准如下：</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①项目有绩效目标，得1分；</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②项目绩效目标与实际工作内容具有相关性，得0.5分；</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③老旧小区改造预期产出和效果符合正常的业绩水平，得0.5分；</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注：若①不满足得分标准，则该项</w:t>
            </w:r>
            <w:r>
              <w:rPr>
                <w:rFonts w:hint="eastAsia" w:ascii="仿宋" w:hAnsi="仿宋" w:eastAsia="仿宋" w:cs="仿宋"/>
                <w:color w:val="000000"/>
                <w:kern w:val="0"/>
                <w:sz w:val="24"/>
                <w:szCs w:val="24"/>
                <w:highlight w:val="none"/>
                <w:lang w:bidi="ar"/>
              </w:rPr>
              <w:t>指标得</w:t>
            </w:r>
            <w:r>
              <w:rPr>
                <w:rFonts w:hint="eastAsia" w:ascii="仿宋" w:hAnsi="仿宋" w:eastAsia="仿宋" w:cs="仿宋"/>
                <w:color w:val="000000"/>
                <w:kern w:val="0"/>
                <w:sz w:val="24"/>
                <w:szCs w:val="24"/>
                <w:lang w:bidi="ar"/>
              </w:rPr>
              <w:t>0分。</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 1.99 </w:t>
            </w:r>
          </w:p>
        </w:tc>
        <w:tc>
          <w:tcPr>
            <w:tcW w:w="41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绩效目标基本合理，富县项目未执行，未设定绩效目标。</w:t>
            </w:r>
          </w:p>
        </w:tc>
      </w:tr>
      <w:tr>
        <w:tblPrEx>
          <w:tblCellMar>
            <w:top w:w="0" w:type="dxa"/>
            <w:left w:w="108" w:type="dxa"/>
            <w:bottom w:w="0" w:type="dxa"/>
            <w:right w:w="108" w:type="dxa"/>
          </w:tblCellMar>
        </w:tblPrEx>
        <w:trPr>
          <w:trHeight w:val="23" w:hRule="atLeast"/>
          <w:jc w:val="center"/>
        </w:trPr>
        <w:tc>
          <w:tcPr>
            <w:tcW w:w="46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项目</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管理</w:t>
            </w:r>
          </w:p>
        </w:tc>
        <w:tc>
          <w:tcPr>
            <w:tcW w:w="45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15 </w:t>
            </w:r>
          </w:p>
        </w:tc>
        <w:tc>
          <w:tcPr>
            <w:tcW w:w="81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绩效管理</w:t>
            </w:r>
          </w:p>
        </w:tc>
        <w:tc>
          <w:tcPr>
            <w:tcW w:w="5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5 </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绩效指标明确性</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 </w:t>
            </w:r>
          </w:p>
        </w:tc>
        <w:tc>
          <w:tcPr>
            <w:tcW w:w="53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评价组获取省级、市级、县级</w:t>
            </w:r>
            <w:r>
              <w:rPr>
                <w:rFonts w:hint="eastAsia" w:ascii="仿宋" w:hAnsi="仿宋" w:eastAsia="仿宋" w:cs="仿宋"/>
                <w:color w:val="000000"/>
                <w:kern w:val="0"/>
                <w:sz w:val="24"/>
                <w:szCs w:val="24"/>
                <w:highlight w:val="none"/>
                <w:lang w:bidi="ar"/>
              </w:rPr>
              <w:t>住建部</w:t>
            </w:r>
            <w:r>
              <w:rPr>
                <w:rFonts w:hint="eastAsia" w:ascii="仿宋" w:hAnsi="仿宋" w:eastAsia="仿宋" w:cs="仿宋"/>
                <w:color w:val="000000"/>
                <w:kern w:val="0"/>
                <w:sz w:val="24"/>
                <w:szCs w:val="24"/>
                <w:lang w:bidi="ar"/>
              </w:rPr>
              <w:t>门2020年项目实施计划，从以下三方面对该指标进行评价，评分标准如下：</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①将项目绩效目标细化分解为具体的绩效指标，得0.5分；</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②通过清晰、可衡量的指标值予以体现，得0.5分。</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 0.53 </w:t>
            </w:r>
          </w:p>
        </w:tc>
        <w:tc>
          <w:tcPr>
            <w:tcW w:w="41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西安市下达资金时</w:t>
            </w:r>
            <w:r>
              <w:rPr>
                <w:rFonts w:hint="eastAsia" w:ascii="仿宋" w:hAnsi="仿宋" w:eastAsia="仿宋" w:cs="仿宋"/>
                <w:color w:val="000000"/>
                <w:kern w:val="0"/>
                <w:sz w:val="24"/>
                <w:szCs w:val="24"/>
                <w:highlight w:val="none"/>
                <w:lang w:bidi="ar"/>
              </w:rPr>
              <w:t>未根据</w:t>
            </w:r>
            <w:r>
              <w:rPr>
                <w:rFonts w:hint="eastAsia" w:ascii="仿宋" w:hAnsi="仿宋" w:eastAsia="仿宋" w:cs="仿宋"/>
                <w:color w:val="000000"/>
                <w:kern w:val="0"/>
                <w:sz w:val="24"/>
                <w:szCs w:val="24"/>
                <w:lang w:bidi="ar"/>
              </w:rPr>
              <w:t>具体情况编制细化的指标；延安市省级保障性安居工程奖励资金绩效目标不明确，绩效指标不够细化量化。</w:t>
            </w:r>
          </w:p>
        </w:tc>
      </w:tr>
      <w:tr>
        <w:tblPrEx>
          <w:tblCellMar>
            <w:top w:w="0" w:type="dxa"/>
            <w:left w:w="108" w:type="dxa"/>
            <w:bottom w:w="0" w:type="dxa"/>
            <w:right w:w="108" w:type="dxa"/>
          </w:tblCellMar>
        </w:tblPrEx>
        <w:trPr>
          <w:trHeight w:val="23" w:hRule="atLeast"/>
          <w:jc w:val="center"/>
        </w:trPr>
        <w:tc>
          <w:tcPr>
            <w:tcW w:w="4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4"/>
              </w:rPr>
            </w:pPr>
          </w:p>
        </w:tc>
        <w:tc>
          <w:tcPr>
            <w:tcW w:w="4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4"/>
              </w:rPr>
            </w:pPr>
          </w:p>
        </w:tc>
        <w:tc>
          <w:tcPr>
            <w:tcW w:w="81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4"/>
              </w:rPr>
            </w:pPr>
          </w:p>
        </w:tc>
        <w:tc>
          <w:tcPr>
            <w:tcW w:w="5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4"/>
              </w:rPr>
            </w:pP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绩效管理执行</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2 </w:t>
            </w:r>
          </w:p>
        </w:tc>
        <w:tc>
          <w:tcPr>
            <w:tcW w:w="53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评价组获取省级、市级、县级</w:t>
            </w:r>
            <w:r>
              <w:rPr>
                <w:rFonts w:hint="eastAsia" w:ascii="仿宋" w:hAnsi="仿宋" w:eastAsia="仿宋" w:cs="仿宋"/>
                <w:color w:val="000000"/>
                <w:kern w:val="0"/>
                <w:sz w:val="24"/>
                <w:szCs w:val="24"/>
                <w:highlight w:val="none"/>
                <w:lang w:bidi="ar"/>
              </w:rPr>
              <w:t>住建部</w:t>
            </w:r>
            <w:r>
              <w:rPr>
                <w:rFonts w:hint="eastAsia" w:ascii="仿宋" w:hAnsi="仿宋" w:eastAsia="仿宋" w:cs="仿宋"/>
                <w:color w:val="000000"/>
                <w:kern w:val="0"/>
                <w:sz w:val="24"/>
                <w:szCs w:val="24"/>
                <w:lang w:bidi="ar"/>
              </w:rPr>
              <w:t>门2020年绩效管理资料，从以下三方面对该指标进行评价，评分标准如下：</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①建立了预算执行、绩效监控机制，得1分；</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②及时开展绩效自评工作，得0.5分；</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③按照中央、省级要求及时报送绩效自评表、绩效评价报告且内容完整，得0.5分，</w:t>
            </w:r>
            <w:r>
              <w:rPr>
                <w:rFonts w:hint="eastAsia" w:ascii="仿宋" w:hAnsi="仿宋" w:eastAsia="仿宋" w:cs="仿宋"/>
                <w:color w:val="000000"/>
                <w:kern w:val="0"/>
                <w:sz w:val="24"/>
                <w:szCs w:val="24"/>
                <w:highlight w:val="none"/>
                <w:lang w:bidi="ar"/>
              </w:rPr>
              <w:t>每发现</w:t>
            </w:r>
            <w:r>
              <w:rPr>
                <w:rFonts w:hint="eastAsia" w:ascii="仿宋" w:hAnsi="仿宋" w:eastAsia="仿宋" w:cs="仿宋"/>
                <w:color w:val="000000"/>
                <w:kern w:val="0"/>
                <w:sz w:val="24"/>
                <w:szCs w:val="24"/>
                <w:lang w:bidi="ar"/>
              </w:rPr>
              <w:t>一个县区未及时报送扣减0.2分。</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 1.57 </w:t>
            </w:r>
          </w:p>
        </w:tc>
        <w:tc>
          <w:tcPr>
            <w:tcW w:w="41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西安市下达资金时</w:t>
            </w:r>
            <w:r>
              <w:rPr>
                <w:rFonts w:hint="eastAsia" w:ascii="仿宋" w:hAnsi="仿宋" w:eastAsia="仿宋" w:cs="仿宋"/>
                <w:color w:val="000000"/>
                <w:kern w:val="0"/>
                <w:sz w:val="24"/>
                <w:szCs w:val="24"/>
                <w:highlight w:val="none"/>
                <w:lang w:bidi="ar"/>
              </w:rPr>
              <w:t>未根据</w:t>
            </w:r>
            <w:r>
              <w:rPr>
                <w:rFonts w:hint="eastAsia" w:ascii="仿宋" w:hAnsi="仿宋" w:eastAsia="仿宋" w:cs="仿宋"/>
                <w:color w:val="000000"/>
                <w:kern w:val="0"/>
                <w:sz w:val="24"/>
                <w:szCs w:val="24"/>
                <w:lang w:bidi="ar"/>
              </w:rPr>
              <w:t>具体情况编制细化的指标，未建立绩效监控机制；宝鸡市渭滨区以工作总结代替自评报告。</w:t>
            </w:r>
          </w:p>
        </w:tc>
      </w:tr>
      <w:tr>
        <w:tblPrEx>
          <w:tblCellMar>
            <w:top w:w="0" w:type="dxa"/>
            <w:left w:w="108" w:type="dxa"/>
            <w:bottom w:w="0" w:type="dxa"/>
            <w:right w:w="108" w:type="dxa"/>
          </w:tblCellMar>
        </w:tblPrEx>
        <w:trPr>
          <w:trHeight w:val="23" w:hRule="atLeast"/>
          <w:jc w:val="center"/>
        </w:trPr>
        <w:tc>
          <w:tcPr>
            <w:tcW w:w="46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资金</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管理</w:t>
            </w:r>
          </w:p>
        </w:tc>
        <w:tc>
          <w:tcPr>
            <w:tcW w:w="45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25 </w:t>
            </w:r>
          </w:p>
        </w:tc>
        <w:tc>
          <w:tcPr>
            <w:tcW w:w="8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资金投入与分配</w:t>
            </w: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5 </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预算编制、分配合理性</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5 </w:t>
            </w:r>
          </w:p>
        </w:tc>
        <w:tc>
          <w:tcPr>
            <w:tcW w:w="53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评价组获取市级、县级</w:t>
            </w:r>
            <w:r>
              <w:rPr>
                <w:rFonts w:hint="eastAsia" w:ascii="仿宋" w:hAnsi="仿宋" w:eastAsia="仿宋" w:cs="仿宋"/>
                <w:color w:val="000000"/>
                <w:kern w:val="0"/>
                <w:sz w:val="24"/>
                <w:szCs w:val="24"/>
                <w:highlight w:val="none"/>
                <w:lang w:bidi="ar"/>
              </w:rPr>
              <w:t>住建部</w:t>
            </w:r>
            <w:r>
              <w:rPr>
                <w:rFonts w:hint="eastAsia" w:ascii="仿宋" w:hAnsi="仿宋" w:eastAsia="仿宋" w:cs="仿宋"/>
                <w:color w:val="000000"/>
                <w:kern w:val="0"/>
                <w:sz w:val="24"/>
                <w:szCs w:val="24"/>
                <w:lang w:bidi="ar"/>
              </w:rPr>
              <w:t>门及项目实施单位2020年项目实施计划，从以下四方面对该指标进行评价，评分标准如下：</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①按照中央、省级有关文件要求安排补助资金用于保障性安居工程的，得2分；</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②预算确定的项目投资额或资金量与年度工作任务相匹配，得1分；</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③企业、居民等社会筹资占改造项目资金比例20%及以上的（2分），未达到目标的，每低一个百分点扣0.1分，最多扣2分；</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 4.28 </w:t>
            </w:r>
          </w:p>
        </w:tc>
        <w:tc>
          <w:tcPr>
            <w:tcW w:w="41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中省资金按照拟改造小区居民户数进行分配，遵循了因素法原则，分配基本合理，但各市、县（区）配套不足，居民和社会力量参与度不高，资金缺口较大。西安市为迎接“十四运”，2020年集中进行老旧小区改造，项目投资额远高于预算资金，居民及社会筹资占比约4%；延安市、宝鸡市对中省资金依赖程度更高，基本无配套资金，社会筹资由于资金量过小未进行统计。</w:t>
            </w:r>
          </w:p>
        </w:tc>
      </w:tr>
      <w:tr>
        <w:tblPrEx>
          <w:tblCellMar>
            <w:top w:w="0" w:type="dxa"/>
            <w:left w:w="108" w:type="dxa"/>
            <w:bottom w:w="0" w:type="dxa"/>
            <w:right w:w="108" w:type="dxa"/>
          </w:tblCellMar>
        </w:tblPrEx>
        <w:trPr>
          <w:trHeight w:val="23" w:hRule="atLeast"/>
          <w:jc w:val="center"/>
        </w:trPr>
        <w:tc>
          <w:tcPr>
            <w:tcW w:w="4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4"/>
              </w:rPr>
            </w:pPr>
          </w:p>
        </w:tc>
        <w:tc>
          <w:tcPr>
            <w:tcW w:w="4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4"/>
              </w:rPr>
            </w:pPr>
          </w:p>
        </w:tc>
        <w:tc>
          <w:tcPr>
            <w:tcW w:w="81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资金使用执行</w:t>
            </w:r>
          </w:p>
        </w:tc>
        <w:tc>
          <w:tcPr>
            <w:tcW w:w="5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10 </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资金到位率</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3 </w:t>
            </w:r>
          </w:p>
        </w:tc>
        <w:tc>
          <w:tcPr>
            <w:tcW w:w="53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评价组获取市、县财政部门2020年预算批复文件和资金到位银行回单，计算资金到位率。</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资金到位率=（实际到位资金/计划投入资金）×100%。</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评分标准如下：</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①资金到位率≤100%，且未对项目开展造成不良影响，得分为：指标分值×资金到位率；</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②资金到位率</w:t>
            </w:r>
            <w:r>
              <w:rPr>
                <w:rFonts w:hint="eastAsia" w:ascii="仿宋" w:hAnsi="仿宋" w:eastAsia="仿宋" w:cs="仿宋"/>
                <w:color w:val="000000"/>
                <w:kern w:val="0"/>
                <w:sz w:val="24"/>
                <w:szCs w:val="24"/>
                <w:highlight w:val="none"/>
                <w:lang w:bidi="ar"/>
              </w:rPr>
              <w:t>&lt;</w:t>
            </w:r>
            <w:r>
              <w:rPr>
                <w:rFonts w:hint="eastAsia" w:ascii="仿宋" w:hAnsi="仿宋" w:eastAsia="仿宋" w:cs="仿宋"/>
                <w:color w:val="000000"/>
                <w:kern w:val="0"/>
                <w:sz w:val="24"/>
                <w:szCs w:val="24"/>
                <w:lang w:bidi="ar"/>
              </w:rPr>
              <w:t>100%，且对项目开展造成不良影响，得分为0。</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 2.90 </w:t>
            </w:r>
          </w:p>
        </w:tc>
        <w:tc>
          <w:tcPr>
            <w:tcW w:w="41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抽样地区加权平均资金到位率96.61%（其中：西安市96.67%；延安市94.13%；宝鸡市100%）。</w:t>
            </w:r>
          </w:p>
        </w:tc>
      </w:tr>
      <w:tr>
        <w:tblPrEx>
          <w:tblCellMar>
            <w:top w:w="0" w:type="dxa"/>
            <w:left w:w="108" w:type="dxa"/>
            <w:bottom w:w="0" w:type="dxa"/>
            <w:right w:w="108" w:type="dxa"/>
          </w:tblCellMar>
        </w:tblPrEx>
        <w:trPr>
          <w:trHeight w:val="23" w:hRule="atLeast"/>
          <w:jc w:val="center"/>
        </w:trPr>
        <w:tc>
          <w:tcPr>
            <w:tcW w:w="4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4"/>
              </w:rPr>
            </w:pPr>
          </w:p>
        </w:tc>
        <w:tc>
          <w:tcPr>
            <w:tcW w:w="4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4"/>
              </w:rPr>
            </w:pPr>
          </w:p>
        </w:tc>
        <w:tc>
          <w:tcPr>
            <w:tcW w:w="81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4"/>
              </w:rPr>
            </w:pPr>
          </w:p>
        </w:tc>
        <w:tc>
          <w:tcPr>
            <w:tcW w:w="5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4"/>
              </w:rPr>
            </w:pP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到位及时率</w:t>
            </w:r>
          </w:p>
        </w:tc>
        <w:tc>
          <w:tcPr>
            <w:tcW w:w="55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2 </w:t>
            </w:r>
          </w:p>
        </w:tc>
        <w:tc>
          <w:tcPr>
            <w:tcW w:w="53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评价组获取市、县财政部门2020年预算批复文件和资金到位银行回单，计算到位及时率。</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到位及时率=（及时到位资金/到位资金）×100%，应到位资金：按照绩效办法、合同或项目进度要求截至规定时点应落实到具体项目的资金。</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评分标准如下：</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①到位及时率≤100%，且未对项目开展造成不良影响，得分为：指标分值×到位及时率；</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②到位及时率</w:t>
            </w:r>
            <w:r>
              <w:rPr>
                <w:rFonts w:hint="eastAsia" w:ascii="仿宋" w:hAnsi="仿宋" w:eastAsia="仿宋" w:cs="仿宋"/>
                <w:color w:val="000000"/>
                <w:kern w:val="0"/>
                <w:sz w:val="24"/>
                <w:szCs w:val="24"/>
                <w:highlight w:val="none"/>
                <w:lang w:bidi="ar"/>
              </w:rPr>
              <w:t>&lt;</w:t>
            </w:r>
            <w:r>
              <w:rPr>
                <w:rFonts w:hint="eastAsia" w:ascii="仿宋" w:hAnsi="仿宋" w:eastAsia="仿宋" w:cs="仿宋"/>
                <w:color w:val="000000"/>
                <w:kern w:val="0"/>
                <w:sz w:val="24"/>
                <w:szCs w:val="24"/>
                <w:lang w:bidi="ar"/>
              </w:rPr>
              <w:t>100%，且对项目开展造成不良影响，得分为0。</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 1.72 </w:t>
            </w:r>
          </w:p>
        </w:tc>
        <w:tc>
          <w:tcPr>
            <w:tcW w:w="41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抽样地区加权平均资金到位及时率4.60%，各市、县（区）财政部门及县（区）</w:t>
            </w:r>
            <w:r>
              <w:rPr>
                <w:rFonts w:hint="eastAsia" w:ascii="仿宋" w:hAnsi="仿宋" w:eastAsia="仿宋" w:cs="仿宋"/>
                <w:color w:val="000000"/>
                <w:kern w:val="0"/>
                <w:sz w:val="24"/>
                <w:szCs w:val="24"/>
                <w:highlight w:val="none"/>
                <w:lang w:bidi="ar"/>
              </w:rPr>
              <w:t>住建部</w:t>
            </w:r>
            <w:r>
              <w:rPr>
                <w:rFonts w:hint="eastAsia" w:ascii="仿宋" w:hAnsi="仿宋" w:eastAsia="仿宋" w:cs="仿宋"/>
                <w:color w:val="000000"/>
                <w:kern w:val="0"/>
                <w:sz w:val="24"/>
                <w:szCs w:val="24"/>
                <w:lang w:bidi="ar"/>
              </w:rPr>
              <w:t>门在收到中省资金后普遍存在下达不及时现象。</w:t>
            </w:r>
          </w:p>
        </w:tc>
      </w:tr>
      <w:tr>
        <w:tblPrEx>
          <w:tblCellMar>
            <w:top w:w="0" w:type="dxa"/>
            <w:left w:w="108" w:type="dxa"/>
            <w:bottom w:w="0" w:type="dxa"/>
            <w:right w:w="108" w:type="dxa"/>
          </w:tblCellMar>
        </w:tblPrEx>
        <w:trPr>
          <w:trHeight w:val="23" w:hRule="atLeast"/>
          <w:jc w:val="center"/>
        </w:trPr>
        <w:tc>
          <w:tcPr>
            <w:tcW w:w="4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4"/>
              </w:rPr>
            </w:pPr>
          </w:p>
        </w:tc>
        <w:tc>
          <w:tcPr>
            <w:tcW w:w="4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4"/>
              </w:rPr>
            </w:pPr>
          </w:p>
        </w:tc>
        <w:tc>
          <w:tcPr>
            <w:tcW w:w="81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4"/>
              </w:rPr>
            </w:pPr>
          </w:p>
        </w:tc>
        <w:tc>
          <w:tcPr>
            <w:tcW w:w="5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4"/>
              </w:rPr>
            </w:pP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预算执行率</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53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评价组获取市级、县级</w:t>
            </w:r>
            <w:r>
              <w:rPr>
                <w:rFonts w:hint="eastAsia" w:ascii="仿宋" w:hAnsi="仿宋" w:eastAsia="仿宋" w:cs="仿宋"/>
                <w:color w:val="000000"/>
                <w:kern w:val="0"/>
                <w:sz w:val="24"/>
                <w:szCs w:val="24"/>
                <w:highlight w:val="none"/>
                <w:lang w:bidi="ar"/>
              </w:rPr>
              <w:t>住建部</w:t>
            </w:r>
            <w:r>
              <w:rPr>
                <w:rFonts w:hint="eastAsia" w:ascii="仿宋" w:hAnsi="仿宋" w:eastAsia="仿宋" w:cs="仿宋"/>
                <w:color w:val="000000"/>
                <w:kern w:val="0"/>
                <w:sz w:val="24"/>
                <w:szCs w:val="24"/>
                <w:lang w:bidi="ar"/>
              </w:rPr>
              <w:t>门及项目实施单位预决算报告，计算预算执行率。</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预算执行率=（实际支出资金/实际到位资金）×100%。</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该项指标得分=指标分值×预算执行率。</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 2.68 </w:t>
            </w:r>
          </w:p>
        </w:tc>
        <w:tc>
          <w:tcPr>
            <w:tcW w:w="41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抽样地区预算执行率53.52%（其中：西安市58.48%；延安市43.15%；宝鸡市14.43%）。</w:t>
            </w:r>
          </w:p>
        </w:tc>
      </w:tr>
      <w:tr>
        <w:tblPrEx>
          <w:tblCellMar>
            <w:top w:w="0" w:type="dxa"/>
            <w:left w:w="108" w:type="dxa"/>
            <w:bottom w:w="0" w:type="dxa"/>
            <w:right w:w="108" w:type="dxa"/>
          </w:tblCellMar>
        </w:tblPrEx>
        <w:trPr>
          <w:trHeight w:val="23" w:hRule="atLeast"/>
          <w:jc w:val="center"/>
        </w:trPr>
        <w:tc>
          <w:tcPr>
            <w:tcW w:w="4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4"/>
              </w:rPr>
            </w:pPr>
          </w:p>
        </w:tc>
        <w:tc>
          <w:tcPr>
            <w:tcW w:w="4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4"/>
              </w:rPr>
            </w:pPr>
          </w:p>
        </w:tc>
        <w:tc>
          <w:tcPr>
            <w:tcW w:w="8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资金使用管理</w:t>
            </w: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10 </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财务管理制度健全性</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53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评价组获取市级、县级</w:t>
            </w:r>
            <w:r>
              <w:rPr>
                <w:rFonts w:hint="eastAsia" w:ascii="仿宋" w:hAnsi="仿宋" w:eastAsia="仿宋" w:cs="仿宋"/>
                <w:color w:val="000000"/>
                <w:kern w:val="0"/>
                <w:sz w:val="24"/>
                <w:szCs w:val="24"/>
                <w:highlight w:val="none"/>
                <w:lang w:bidi="ar"/>
              </w:rPr>
              <w:t>住建部</w:t>
            </w:r>
            <w:r>
              <w:rPr>
                <w:rFonts w:hint="eastAsia" w:ascii="仿宋" w:hAnsi="仿宋" w:eastAsia="仿宋" w:cs="仿宋"/>
                <w:color w:val="000000"/>
                <w:kern w:val="0"/>
                <w:sz w:val="24"/>
                <w:szCs w:val="24"/>
                <w:lang w:bidi="ar"/>
              </w:rPr>
              <w:t>门及项目实施单位的财务制度，从以下两方面对该指标进行评价，评分标准如下：</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①已制定或具有相应的项目资金管理办法，得0.5分；</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②项目资金管理办法符合相关财务会计制度的规定，得0.5分。</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 2.00 </w:t>
            </w:r>
          </w:p>
        </w:tc>
        <w:tc>
          <w:tcPr>
            <w:tcW w:w="41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财务管理制度基本健全。</w:t>
            </w:r>
          </w:p>
        </w:tc>
      </w:tr>
      <w:tr>
        <w:tblPrEx>
          <w:tblCellMar>
            <w:top w:w="0" w:type="dxa"/>
            <w:left w:w="108" w:type="dxa"/>
            <w:bottom w:w="0" w:type="dxa"/>
            <w:right w:w="108" w:type="dxa"/>
          </w:tblCellMar>
        </w:tblPrEx>
        <w:trPr>
          <w:trHeight w:val="23" w:hRule="atLeast"/>
          <w:jc w:val="center"/>
        </w:trPr>
        <w:tc>
          <w:tcPr>
            <w:tcW w:w="46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资金</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管理</w:t>
            </w:r>
          </w:p>
        </w:tc>
        <w:tc>
          <w:tcPr>
            <w:tcW w:w="45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25 </w:t>
            </w:r>
          </w:p>
        </w:tc>
        <w:tc>
          <w:tcPr>
            <w:tcW w:w="81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资金使用管理</w:t>
            </w:r>
          </w:p>
        </w:tc>
        <w:tc>
          <w:tcPr>
            <w:tcW w:w="5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10 </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资金使用合规性</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6 </w:t>
            </w:r>
          </w:p>
        </w:tc>
        <w:tc>
          <w:tcPr>
            <w:tcW w:w="53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评价组获取市级、县级</w:t>
            </w:r>
            <w:r>
              <w:rPr>
                <w:rFonts w:hint="eastAsia" w:ascii="仿宋" w:hAnsi="仿宋" w:eastAsia="仿宋" w:cs="仿宋"/>
                <w:color w:val="000000"/>
                <w:kern w:val="0"/>
                <w:sz w:val="24"/>
                <w:szCs w:val="24"/>
                <w:highlight w:val="none"/>
                <w:lang w:bidi="ar"/>
              </w:rPr>
              <w:t>住建部</w:t>
            </w:r>
            <w:r>
              <w:rPr>
                <w:rFonts w:hint="eastAsia" w:ascii="仿宋" w:hAnsi="仿宋" w:eastAsia="仿宋" w:cs="仿宋"/>
                <w:color w:val="000000"/>
                <w:kern w:val="0"/>
                <w:sz w:val="24"/>
                <w:szCs w:val="24"/>
                <w:lang w:bidi="ar"/>
              </w:rPr>
              <w:t>门及项目实施单位财务管理制度，在已完成业务中抽取部分样本，从以下五个方面对该指标进行评价，评分标准如下：</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①资金使用实现专账管理，资金使用清晰明确，得0.5分；</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②资金的拨付有完整的审批程序和手续，得0.5分；</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③符合项目预算批复和政策规定的用途，不存在截留、挤占、挪用、虚列支出等情况，得2分；</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注：如③不满足得分标准，则该项指标得分为0。</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 4.36 </w:t>
            </w:r>
          </w:p>
        </w:tc>
        <w:tc>
          <w:tcPr>
            <w:tcW w:w="41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老旧小区改造资金使用基本规范，评价未发现挤占、挪用、虚列支出等情况，但普遍存在专账管理不到位现象，如：西安市采用将改造任务发包项目公司实施，项目公司实际使用资金未能与项目对应，未将中省财政补助资金和中央预算内投资分开核算；延安市宝塔区凤凰办、桥沟办老旧小区改造未实施专账管理，街办将中省财政补助资金与中央预算内投资资金混合使用。</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政府购买公租房运营管理服务方面，宝鸡市将2020年公租房运营管理服务资金用于支付2019年配套设施更新改造、装修工程款。</w:t>
            </w:r>
          </w:p>
        </w:tc>
      </w:tr>
      <w:tr>
        <w:tblPrEx>
          <w:tblCellMar>
            <w:top w:w="0" w:type="dxa"/>
            <w:left w:w="108" w:type="dxa"/>
            <w:bottom w:w="0" w:type="dxa"/>
            <w:right w:w="108" w:type="dxa"/>
          </w:tblCellMar>
        </w:tblPrEx>
        <w:trPr>
          <w:trHeight w:val="23" w:hRule="atLeast"/>
          <w:jc w:val="center"/>
        </w:trPr>
        <w:tc>
          <w:tcPr>
            <w:tcW w:w="4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4"/>
              </w:rPr>
            </w:pPr>
          </w:p>
        </w:tc>
        <w:tc>
          <w:tcPr>
            <w:tcW w:w="4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4"/>
              </w:rPr>
            </w:pPr>
          </w:p>
        </w:tc>
        <w:tc>
          <w:tcPr>
            <w:tcW w:w="81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4"/>
              </w:rPr>
            </w:pPr>
          </w:p>
        </w:tc>
        <w:tc>
          <w:tcPr>
            <w:tcW w:w="5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4"/>
              </w:rPr>
            </w:pP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财务监控有效性</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2 </w:t>
            </w:r>
          </w:p>
        </w:tc>
        <w:tc>
          <w:tcPr>
            <w:tcW w:w="53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评价组获取市级、县级</w:t>
            </w:r>
            <w:r>
              <w:rPr>
                <w:rFonts w:hint="eastAsia" w:ascii="仿宋" w:hAnsi="仿宋" w:eastAsia="仿宋" w:cs="仿宋"/>
                <w:color w:val="000000"/>
                <w:kern w:val="0"/>
                <w:sz w:val="24"/>
                <w:szCs w:val="24"/>
                <w:highlight w:val="none"/>
                <w:lang w:bidi="ar"/>
              </w:rPr>
              <w:t>住建部</w:t>
            </w:r>
            <w:r>
              <w:rPr>
                <w:rFonts w:hint="eastAsia" w:ascii="仿宋" w:hAnsi="仿宋" w:eastAsia="仿宋" w:cs="仿宋"/>
                <w:color w:val="000000"/>
                <w:kern w:val="0"/>
                <w:sz w:val="24"/>
                <w:szCs w:val="24"/>
                <w:lang w:bidi="ar"/>
              </w:rPr>
              <w:t>门及项目实施单位的财务监控相关制度，在已完成业务中抽取部分样本，从以下两个方面对该指标进行评价，评分标准如下：</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①已制定或具有相应的监控机制，得1分；</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②采取了相应的财务检查等必要的监控措施或手段，得1分。</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 2.00 </w:t>
            </w:r>
          </w:p>
        </w:tc>
        <w:tc>
          <w:tcPr>
            <w:tcW w:w="41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财务监控基本有效。</w:t>
            </w:r>
          </w:p>
        </w:tc>
      </w:tr>
      <w:tr>
        <w:tblPrEx>
          <w:tblCellMar>
            <w:top w:w="0" w:type="dxa"/>
            <w:left w:w="108" w:type="dxa"/>
            <w:bottom w:w="0" w:type="dxa"/>
            <w:right w:w="108" w:type="dxa"/>
          </w:tblCellMar>
        </w:tblPrEx>
        <w:trPr>
          <w:trHeight w:val="23" w:hRule="atLeast"/>
          <w:jc w:val="center"/>
        </w:trPr>
        <w:tc>
          <w:tcPr>
            <w:tcW w:w="46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产出</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效益</w:t>
            </w:r>
          </w:p>
        </w:tc>
        <w:tc>
          <w:tcPr>
            <w:tcW w:w="45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45</w:t>
            </w:r>
          </w:p>
        </w:tc>
        <w:tc>
          <w:tcPr>
            <w:tcW w:w="81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产出数量</w:t>
            </w:r>
          </w:p>
        </w:tc>
        <w:tc>
          <w:tcPr>
            <w:tcW w:w="5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25</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老旧小区开工率</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6</w:t>
            </w:r>
          </w:p>
        </w:tc>
        <w:tc>
          <w:tcPr>
            <w:tcW w:w="53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评价组获取2020年各市、县老旧小区项目实施计划、项目开工统计情况，抽取部分样本进行实地勘验，验证项目实际开工情况，并计算年度项目开工率。</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老旧小区项目开工率=（实际开工数/计划开工数）×100%。</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该项指标得分=指标分值×实际开工率。</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 5.34 </w:t>
            </w:r>
          </w:p>
        </w:tc>
        <w:tc>
          <w:tcPr>
            <w:tcW w:w="41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经统计，项目开工率89%，西安市新城区、莲湖区除调整项目外，均已开工建设。延安市宝塔区2020年项目均已开工；富县2020年项目未开工。宝鸡市眉县2020年项目未开工；宝鸡市渭滨区除金陵东新村未开工外，其余项目已开工。</w:t>
            </w:r>
          </w:p>
        </w:tc>
      </w:tr>
      <w:tr>
        <w:tblPrEx>
          <w:tblCellMar>
            <w:top w:w="0" w:type="dxa"/>
            <w:left w:w="108" w:type="dxa"/>
            <w:bottom w:w="0" w:type="dxa"/>
            <w:right w:w="108" w:type="dxa"/>
          </w:tblCellMar>
        </w:tblPrEx>
        <w:trPr>
          <w:trHeight w:val="23" w:hRule="atLeast"/>
          <w:jc w:val="center"/>
        </w:trPr>
        <w:tc>
          <w:tcPr>
            <w:tcW w:w="4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4"/>
              </w:rPr>
            </w:pPr>
          </w:p>
        </w:tc>
        <w:tc>
          <w:tcPr>
            <w:tcW w:w="4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4"/>
              </w:rPr>
            </w:pPr>
          </w:p>
        </w:tc>
        <w:tc>
          <w:tcPr>
            <w:tcW w:w="81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4"/>
              </w:rPr>
            </w:pPr>
          </w:p>
        </w:tc>
        <w:tc>
          <w:tcPr>
            <w:tcW w:w="5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4"/>
              </w:rPr>
            </w:pP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改造面积</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53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评价组获取2020年各市、县老旧小区项目实施计划、项目改造统计情况，抽取部分样本进行现场查看，验证项目改造面积完成情况，并计算年度改造面积完成率。</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改造面积完成率=（实际改造面积/计划改造面积）×100%。</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该项指标得分=指标分值×实际完成率。</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 4.09 </w:t>
            </w:r>
          </w:p>
        </w:tc>
        <w:tc>
          <w:tcPr>
            <w:tcW w:w="41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西安市新城区、莲湖区个别项目完成率未达100%；延安市宝塔区、宝鸡市渭滨区部分项目正在实施中；经统计，改造面积完成率81.70%。</w:t>
            </w:r>
          </w:p>
        </w:tc>
      </w:tr>
      <w:tr>
        <w:tblPrEx>
          <w:tblCellMar>
            <w:top w:w="0" w:type="dxa"/>
            <w:left w:w="108" w:type="dxa"/>
            <w:bottom w:w="0" w:type="dxa"/>
            <w:right w:w="108" w:type="dxa"/>
          </w:tblCellMar>
        </w:tblPrEx>
        <w:trPr>
          <w:trHeight w:val="23" w:hRule="atLeast"/>
          <w:jc w:val="center"/>
        </w:trPr>
        <w:tc>
          <w:tcPr>
            <w:tcW w:w="4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4"/>
              </w:rPr>
            </w:pPr>
          </w:p>
        </w:tc>
        <w:tc>
          <w:tcPr>
            <w:tcW w:w="4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4"/>
              </w:rPr>
            </w:pPr>
          </w:p>
        </w:tc>
        <w:tc>
          <w:tcPr>
            <w:tcW w:w="81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4"/>
              </w:rPr>
            </w:pPr>
          </w:p>
        </w:tc>
        <w:tc>
          <w:tcPr>
            <w:tcW w:w="5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4"/>
              </w:rPr>
            </w:pP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改造户数</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53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评价组获取2020年各市、县老旧小区项目实施计划、项目改造统计情况，抽取部分样本进行现场查看，验证项目改造户数完成情况，并计算年度改造户数完成率。</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改造户数完成率=（实际改造户数/计划改造户数）×100%。</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该项指标得分=指标分值×实际完成率。</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 4.08 </w:t>
            </w:r>
          </w:p>
        </w:tc>
        <w:tc>
          <w:tcPr>
            <w:tcW w:w="41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西安市新城区、莲湖区个别项目完成率未达100%；延安市宝塔区、宝鸡市渭滨区部分项目正在实施中；经统计，改造户数完成率81.66%。</w:t>
            </w:r>
          </w:p>
        </w:tc>
      </w:tr>
      <w:tr>
        <w:tblPrEx>
          <w:tblCellMar>
            <w:top w:w="0" w:type="dxa"/>
            <w:left w:w="108" w:type="dxa"/>
            <w:bottom w:w="0" w:type="dxa"/>
            <w:right w:w="108" w:type="dxa"/>
          </w:tblCellMar>
        </w:tblPrEx>
        <w:trPr>
          <w:trHeight w:val="23" w:hRule="atLeast"/>
          <w:jc w:val="center"/>
        </w:trPr>
        <w:tc>
          <w:tcPr>
            <w:tcW w:w="4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4"/>
              </w:rPr>
            </w:pPr>
          </w:p>
        </w:tc>
        <w:tc>
          <w:tcPr>
            <w:tcW w:w="4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4"/>
              </w:rPr>
            </w:pPr>
          </w:p>
        </w:tc>
        <w:tc>
          <w:tcPr>
            <w:tcW w:w="81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4"/>
              </w:rPr>
            </w:pPr>
          </w:p>
        </w:tc>
        <w:tc>
          <w:tcPr>
            <w:tcW w:w="5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4"/>
              </w:rPr>
            </w:pP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改造楼栋数</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w:t>
            </w:r>
          </w:p>
        </w:tc>
        <w:tc>
          <w:tcPr>
            <w:tcW w:w="53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评价组获取2020年各市、县老旧小区项目实施计划、项目改造统计情况，抽取部分样本进行现场查看，验证项目改造楼栋数完成情况，并计算年度改造楼栋数完成率。</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改造楼栋数完成率=（实际改造楼栋数/计划改造楼栋数）×100%。</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该项指标得分=指标分值×实际完成率。</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 3.26 </w:t>
            </w:r>
          </w:p>
        </w:tc>
        <w:tc>
          <w:tcPr>
            <w:tcW w:w="41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西安市新城区、莲湖区个别项目完成率未达100%；延安市宝塔区、宝鸡市渭滨区部分项目正在实施中；经统计，改造户数完成率81.42%。</w:t>
            </w:r>
          </w:p>
        </w:tc>
      </w:tr>
      <w:tr>
        <w:tblPrEx>
          <w:tblCellMar>
            <w:top w:w="0" w:type="dxa"/>
            <w:left w:w="108" w:type="dxa"/>
            <w:bottom w:w="0" w:type="dxa"/>
            <w:right w:w="108" w:type="dxa"/>
          </w:tblCellMar>
        </w:tblPrEx>
        <w:trPr>
          <w:trHeight w:val="23" w:hRule="atLeast"/>
          <w:jc w:val="center"/>
        </w:trPr>
        <w:tc>
          <w:tcPr>
            <w:tcW w:w="4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4"/>
              </w:rPr>
            </w:pPr>
          </w:p>
        </w:tc>
        <w:tc>
          <w:tcPr>
            <w:tcW w:w="4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4"/>
              </w:rPr>
            </w:pPr>
          </w:p>
        </w:tc>
        <w:tc>
          <w:tcPr>
            <w:tcW w:w="81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4"/>
              </w:rPr>
            </w:pPr>
          </w:p>
        </w:tc>
        <w:tc>
          <w:tcPr>
            <w:tcW w:w="5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4"/>
              </w:rPr>
            </w:pP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政府购买公租房运营管理服务试点套数</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53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评价组获取2020年政府购买公租房运营管理服务试点地区实施计划、实际实施试点统计情况，抽取部分样本进行现场查看，验证购买服务试点完成情况，并计算试点任务完成率。</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试点任务完成率=（实际实施购买服务试点套数/计划实施试点套数）×100%。</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该项指标得分=指标分值×实际完成率。</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 4.22 </w:t>
            </w:r>
          </w:p>
        </w:tc>
        <w:tc>
          <w:tcPr>
            <w:tcW w:w="41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政府购买公租房运营管理服务提高了公租房小区的运营服务能力和管理水平，基本达到预期目标，但公租房部分闲置，宝鸡市入住率78.84%，西安市抽样入住率98.49% ，政府购买公租房运营管理服务试点套数完成率84.35%。</w:t>
            </w:r>
          </w:p>
        </w:tc>
      </w:tr>
      <w:tr>
        <w:tblPrEx>
          <w:tblCellMar>
            <w:top w:w="0" w:type="dxa"/>
            <w:left w:w="108" w:type="dxa"/>
            <w:bottom w:w="0" w:type="dxa"/>
            <w:right w:w="108" w:type="dxa"/>
          </w:tblCellMar>
        </w:tblPrEx>
        <w:trPr>
          <w:trHeight w:val="23" w:hRule="atLeast"/>
          <w:jc w:val="center"/>
        </w:trPr>
        <w:tc>
          <w:tcPr>
            <w:tcW w:w="46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产出</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效益</w:t>
            </w:r>
          </w:p>
        </w:tc>
        <w:tc>
          <w:tcPr>
            <w:tcW w:w="45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45</w:t>
            </w:r>
          </w:p>
        </w:tc>
        <w:tc>
          <w:tcPr>
            <w:tcW w:w="81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产出质量</w:t>
            </w:r>
          </w:p>
        </w:tc>
        <w:tc>
          <w:tcPr>
            <w:tcW w:w="5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10</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老旧小区改造工程质量</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7</w:t>
            </w:r>
          </w:p>
        </w:tc>
        <w:tc>
          <w:tcPr>
            <w:tcW w:w="53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评价组获取2020年各市、县老旧小区改造项目验收材料，抽取部分样本进行实地勘验，验证项目验收情况，并计算质量达标率。</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老旧小区改造质量达标率=（质量达标产出数/实际产出数）×100%；质量达标产出数量为通过验收且规格符合国家政策要求的老旧小区改造项目质量。</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该项指标得分=指标分值×质量达标率。</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扣分项：在全国质量大检查中被下发整改通知或发生重大质量安全事故的，扣5分；在全省质量大检查中被点名或通报的每发现1次扣1分，以省住建厅每季度下达的全省保障性安居工程施工质量及安全生产督查情况通报为准。</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 6.56 </w:t>
            </w:r>
          </w:p>
        </w:tc>
        <w:tc>
          <w:tcPr>
            <w:tcW w:w="41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项目基本能按照实施方案、导则、指引以及相关工程质量管理的规定开展，调研未发现2020年度老旧小区改造在全国或全省质量大检查中被通报批评或存在重大质量安全事故情况。但已完工项目普遍未及时进行竣工验收，评价期间也发现部分改造不到位，未及时整改，如：西安市新城区光明小区硬化道路坡度不够，雨后路面积水较多；宝鸡市渭滨区水利局家属院屋面坡度设计不合理，排水不畅。</w:t>
            </w:r>
          </w:p>
        </w:tc>
      </w:tr>
      <w:tr>
        <w:tblPrEx>
          <w:tblCellMar>
            <w:top w:w="0" w:type="dxa"/>
            <w:left w:w="108" w:type="dxa"/>
            <w:bottom w:w="0" w:type="dxa"/>
            <w:right w:w="108" w:type="dxa"/>
          </w:tblCellMar>
        </w:tblPrEx>
        <w:trPr>
          <w:trHeight w:val="23" w:hRule="atLeast"/>
          <w:jc w:val="center"/>
        </w:trPr>
        <w:tc>
          <w:tcPr>
            <w:tcW w:w="4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4"/>
              </w:rPr>
            </w:pPr>
          </w:p>
        </w:tc>
        <w:tc>
          <w:tcPr>
            <w:tcW w:w="4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4"/>
              </w:rPr>
            </w:pPr>
          </w:p>
        </w:tc>
        <w:tc>
          <w:tcPr>
            <w:tcW w:w="81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4"/>
              </w:rPr>
            </w:pPr>
          </w:p>
        </w:tc>
        <w:tc>
          <w:tcPr>
            <w:tcW w:w="5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4"/>
              </w:rPr>
            </w:pP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政府购买公租房运营管理服务达标率</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53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lang w:bidi="ar"/>
              </w:rPr>
              <w:t>评价组抽取样本进行实地查看，获取各试点小区2020年政府购买公租房运营管理服务考核结果，以自评得分为基础进行评价</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该指标得分=指标分值×自评得分/100</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扣分项：公租房运营管理服务经群众举报、新闻媒体曝光，经查实存在服务质量问题的，每发现1项扣1分，最多扣5分</w:t>
            </w:r>
            <w:r>
              <w:rPr>
                <w:rFonts w:hint="eastAsia" w:ascii="仿宋" w:hAnsi="仿宋" w:eastAsia="仿宋" w:cs="仿宋"/>
                <w:color w:val="000000"/>
                <w:kern w:val="0"/>
                <w:sz w:val="24"/>
                <w:szCs w:val="24"/>
                <w:lang w:eastAsia="zh-CN" w:bidi="ar"/>
              </w:rPr>
              <w:t>。</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 2.84 </w:t>
            </w:r>
          </w:p>
        </w:tc>
        <w:tc>
          <w:tcPr>
            <w:tcW w:w="41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购买服务试点地区均按照实施方案制定了考核制度，按月或按季度对运营管理服务机构进行了服务成效考核，抽样地区公租房运营管理服务的考核平均得分为94.72%。</w:t>
            </w:r>
          </w:p>
        </w:tc>
      </w:tr>
      <w:tr>
        <w:tblPrEx>
          <w:tblCellMar>
            <w:top w:w="0" w:type="dxa"/>
            <w:left w:w="108" w:type="dxa"/>
            <w:bottom w:w="0" w:type="dxa"/>
            <w:right w:w="108" w:type="dxa"/>
          </w:tblCellMar>
        </w:tblPrEx>
        <w:trPr>
          <w:trHeight w:val="23" w:hRule="atLeast"/>
          <w:jc w:val="center"/>
        </w:trPr>
        <w:tc>
          <w:tcPr>
            <w:tcW w:w="4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4"/>
              </w:rPr>
            </w:pPr>
          </w:p>
        </w:tc>
        <w:tc>
          <w:tcPr>
            <w:tcW w:w="4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4"/>
              </w:rPr>
            </w:pPr>
          </w:p>
        </w:tc>
        <w:tc>
          <w:tcPr>
            <w:tcW w:w="8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社会效益</w:t>
            </w: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10</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群众居住条件是否改善</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10</w:t>
            </w:r>
          </w:p>
        </w:tc>
        <w:tc>
          <w:tcPr>
            <w:tcW w:w="53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评价组获取实地走访调研实施改造老旧小区，入户走访调研实施改造小区居民对改造是否改善居住情况进行调查。</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居住条件改善情况=（认为达到改善居住目标人数/调研总人数）×100%。</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该项指标得分=指标分值×居住条件改善情况。</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 8.92 </w:t>
            </w:r>
          </w:p>
        </w:tc>
        <w:tc>
          <w:tcPr>
            <w:tcW w:w="41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通过老旧小区改造的实施，小区环境大大改善，城市面貌得到提升，群众居住条件显著改善。但评价发现部分项目改造不彻底，影响改造效果，如：西安市新城区长乐苑、向荣小区违章建筑未拆除，影响改造效果；宝鸡市大部分改造项目外墙未加装保温层、架空线未规整、防护网未拆除，改造方案执行不到位、改造不彻底；宝鸡市金台区苗圃新村旧柴房未拆除，影响改造效果；延安市部分小区外墙未加装保温层。</w:t>
            </w:r>
          </w:p>
        </w:tc>
      </w:tr>
      <w:tr>
        <w:tblPrEx>
          <w:tblCellMar>
            <w:top w:w="0" w:type="dxa"/>
            <w:left w:w="108" w:type="dxa"/>
            <w:bottom w:w="0" w:type="dxa"/>
            <w:right w:w="108" w:type="dxa"/>
          </w:tblCellMar>
        </w:tblPrEx>
        <w:trPr>
          <w:trHeight w:val="23" w:hRule="atLeast"/>
          <w:jc w:val="center"/>
        </w:trPr>
        <w:tc>
          <w:tcPr>
            <w:tcW w:w="46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服务对象满意度</w:t>
            </w:r>
          </w:p>
        </w:tc>
        <w:tc>
          <w:tcPr>
            <w:tcW w:w="45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15</w:t>
            </w:r>
          </w:p>
        </w:tc>
        <w:tc>
          <w:tcPr>
            <w:tcW w:w="81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社会公众或服务对象满意度</w:t>
            </w: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10</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老旧小区改造居民满意度</w:t>
            </w:r>
          </w:p>
        </w:tc>
        <w:tc>
          <w:tcPr>
            <w:tcW w:w="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10</w:t>
            </w:r>
          </w:p>
        </w:tc>
        <w:tc>
          <w:tcPr>
            <w:tcW w:w="53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评价组根据调查问卷的反馈结果，从老旧小区改造目标设定、改造质量及改造效果等方面的满意程度对该指标进行评价，评分标准如下：</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该项指标得分=指标分值×老旧小区改造居民满意度。</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 8.98 </w:t>
            </w:r>
          </w:p>
        </w:tc>
        <w:tc>
          <w:tcPr>
            <w:tcW w:w="41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经调查问卷了解，老旧小区改造群众满意度89.79%，群众满意度较高，但调研过程中部分居民反映改造时间较长，影响正常生活；部分居民反映征求意见不够，形象工程多，实际改善不大。</w:t>
            </w:r>
          </w:p>
        </w:tc>
      </w:tr>
      <w:tr>
        <w:tblPrEx>
          <w:tblCellMar>
            <w:top w:w="0" w:type="dxa"/>
            <w:left w:w="108" w:type="dxa"/>
            <w:bottom w:w="0" w:type="dxa"/>
            <w:right w:w="108" w:type="dxa"/>
          </w:tblCellMar>
        </w:tblPrEx>
        <w:trPr>
          <w:trHeight w:val="23" w:hRule="atLeast"/>
          <w:jc w:val="center"/>
        </w:trPr>
        <w:tc>
          <w:tcPr>
            <w:tcW w:w="4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4"/>
              </w:rPr>
            </w:pPr>
          </w:p>
        </w:tc>
        <w:tc>
          <w:tcPr>
            <w:tcW w:w="4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4"/>
              </w:rPr>
            </w:pPr>
          </w:p>
        </w:tc>
        <w:tc>
          <w:tcPr>
            <w:tcW w:w="81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4"/>
              </w:rPr>
            </w:pP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政府购买公租房运营管理服务居民满意度</w:t>
            </w:r>
          </w:p>
        </w:tc>
        <w:tc>
          <w:tcPr>
            <w:tcW w:w="55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53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评价组根据调查问卷的反馈结果，从政府购买公租房运营管理服务的满意程度进行评价，评分标准如下：</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该项指标得分=指标分值×政府购买公租房运营管理服务居民满意度。</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 4.50 </w:t>
            </w:r>
          </w:p>
        </w:tc>
        <w:tc>
          <w:tcPr>
            <w:tcW w:w="41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经调查问卷了解，政府购买公租房运营管理服务项目群众满意度90.06%，群众满意度较高，但宝鸡市金河尚居、虢镇茗居远离市区、教育医疗配套不到位，入住率较低。</w:t>
            </w:r>
          </w:p>
        </w:tc>
      </w:tr>
      <w:tr>
        <w:tblPrEx>
          <w:tblCellMar>
            <w:top w:w="0" w:type="dxa"/>
            <w:left w:w="108" w:type="dxa"/>
            <w:bottom w:w="0" w:type="dxa"/>
            <w:right w:w="108" w:type="dxa"/>
          </w:tblCellMar>
        </w:tblPrEx>
        <w:trPr>
          <w:trHeight w:val="23" w:hRule="atLeast"/>
          <w:jc w:val="center"/>
        </w:trPr>
        <w:tc>
          <w:tcPr>
            <w:tcW w:w="3379" w:type="dxa"/>
            <w:gridSpan w:val="5"/>
            <w:tcBorders>
              <w:top w:val="nil"/>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整体评价</w:t>
            </w:r>
          </w:p>
        </w:tc>
        <w:tc>
          <w:tcPr>
            <w:tcW w:w="5916" w:type="dxa"/>
            <w:gridSpan w:val="2"/>
            <w:tcBorders>
              <w:top w:val="nil"/>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100</w:t>
            </w:r>
          </w:p>
        </w:tc>
        <w:tc>
          <w:tcPr>
            <w:tcW w:w="486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84.80</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DF4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tabs>
        <w:tab w:val="left" w:pos="0"/>
      </w:tabs>
    </w:pPr>
    <w:rPr>
      <w:rFonts w:ascii="宋体" w:hAnsi="宋体" w:eastAsia="仿宋_GB2312"/>
      <w:color w:val="000000"/>
      <w:sz w:val="24"/>
    </w:rPr>
  </w:style>
  <w:style w:type="paragraph" w:styleId="3">
    <w:name w:val="footer"/>
    <w:basedOn w:val="1"/>
    <w:unhideWhenUsed/>
    <w:qFormat/>
    <w:uiPriority w:val="99"/>
    <w:pPr>
      <w:tabs>
        <w:tab w:val="center" w:pos="4153"/>
        <w:tab w:val="right" w:pos="8306"/>
      </w:tabs>
      <w:snapToGrid w:val="0"/>
      <w:jc w:val="left"/>
    </w:pPr>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2021-12-15T06:49:12Z</dcterms:created>
  <dc:creator>Administrator</dc:creator>
  <cp:lastModifiedBy>〰</cp:lastModifiedBy>
  <dcterms:modified xsi:type="dcterms:W3CDTF">2021-12-15T06:51:05Z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C928C6E74C174330A504E03C5DF98629</vt:lpwstr>
  </property>
</Properties>
</file>