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宋体" w:hAnsi="宋体" w:cs="宋体"/>
          <w:bCs/>
          <w:color w:val="000000"/>
          <w:kern w:val="0"/>
          <w:sz w:val="32"/>
          <w:szCs w:val="32"/>
        </w:rPr>
      </w:pPr>
      <w:r>
        <w:rPr>
          <w:rFonts w:hint="eastAsia" w:ascii="黑体" w:hAnsi="黑体" w:eastAsia="黑体" w:cs="黑体"/>
          <w:bCs/>
          <w:color w:val="000000"/>
          <w:kern w:val="0"/>
          <w:sz w:val="32"/>
          <w:szCs w:val="32"/>
        </w:rPr>
        <w:t xml:space="preserve">附件 </w:t>
      </w:r>
      <w:r>
        <w:rPr>
          <w:rFonts w:hint="eastAsia" w:ascii="宋体" w:hAnsi="宋体" w:cs="宋体"/>
          <w:bCs/>
          <w:color w:val="000000"/>
          <w:kern w:val="0"/>
          <w:sz w:val="32"/>
          <w:szCs w:val="32"/>
        </w:rPr>
        <w:t xml:space="preserve">      </w:t>
      </w:r>
    </w:p>
    <w:p>
      <w:pPr>
        <w:widowControl/>
        <w:jc w:val="center"/>
        <w:rPr>
          <w:rFonts w:hint="eastAsia" w:ascii="方正小标宋简体" w:hAnsi="方正小标宋简体" w:eastAsia="方正小标宋简体" w:cs="方正小标宋简体"/>
          <w:b w:val="0"/>
          <w:bCs w:val="0"/>
          <w:color w:val="000000"/>
          <w:kern w:val="0"/>
          <w:sz w:val="36"/>
          <w:szCs w:val="36"/>
        </w:rPr>
      </w:pPr>
      <w:r>
        <w:rPr>
          <w:rFonts w:hint="eastAsia" w:ascii="宋体" w:hAnsi="宋体" w:cs="宋体"/>
          <w:b/>
          <w:bCs/>
          <w:color w:val="000000"/>
          <w:kern w:val="0"/>
          <w:sz w:val="36"/>
          <w:szCs w:val="36"/>
        </w:rPr>
        <w:t xml:space="preserve"> </w:t>
      </w:r>
      <w:r>
        <w:rPr>
          <w:rFonts w:hint="eastAsia" w:ascii="方正小标宋简体" w:hAnsi="方正小标宋简体" w:eastAsia="方正小标宋简体" w:cs="方正小标宋简体"/>
          <w:b w:val="0"/>
          <w:bCs w:val="0"/>
          <w:color w:val="000000"/>
          <w:kern w:val="0"/>
          <w:sz w:val="36"/>
          <w:szCs w:val="36"/>
        </w:rPr>
        <w:t>202</w:t>
      </w:r>
      <w:r>
        <w:rPr>
          <w:rFonts w:hint="eastAsia" w:ascii="方正小标宋简体" w:hAnsi="方正小标宋简体" w:eastAsia="方正小标宋简体" w:cs="方正小标宋简体"/>
          <w:b w:val="0"/>
          <w:bCs w:val="0"/>
          <w:color w:val="000000"/>
          <w:kern w:val="0"/>
          <w:sz w:val="36"/>
          <w:szCs w:val="36"/>
          <w:lang w:val="en-US" w:eastAsia="zh-CN"/>
        </w:rPr>
        <w:t>1</w:t>
      </w:r>
      <w:bookmarkStart w:id="0" w:name="_GoBack"/>
      <w:bookmarkEnd w:id="0"/>
      <w:r>
        <w:rPr>
          <w:rFonts w:hint="eastAsia" w:ascii="方正小标宋简体" w:hAnsi="方正小标宋简体" w:eastAsia="方正小标宋简体" w:cs="方正小标宋简体"/>
          <w:b w:val="0"/>
          <w:bCs w:val="0"/>
          <w:color w:val="000000"/>
          <w:kern w:val="0"/>
          <w:sz w:val="36"/>
          <w:szCs w:val="36"/>
        </w:rPr>
        <w:t>年上海市工程建设规范编制计划（第二批）</w:t>
      </w:r>
    </w:p>
    <w:tbl>
      <w:tblPr>
        <w:tblStyle w:val="5"/>
        <w:tblW w:w="5500" w:type="pct"/>
        <w:jc w:val="center"/>
        <w:tblLayout w:type="fixed"/>
        <w:tblCellMar>
          <w:top w:w="0" w:type="dxa"/>
          <w:left w:w="108" w:type="dxa"/>
          <w:bottom w:w="0" w:type="dxa"/>
          <w:right w:w="108" w:type="dxa"/>
        </w:tblCellMar>
      </w:tblPr>
      <w:tblGrid>
        <w:gridCol w:w="772"/>
        <w:gridCol w:w="1395"/>
        <w:gridCol w:w="2265"/>
        <w:gridCol w:w="3882"/>
        <w:gridCol w:w="2340"/>
        <w:gridCol w:w="1950"/>
        <w:gridCol w:w="2880"/>
        <w:gridCol w:w="783"/>
      </w:tblGrid>
      <w:tr>
        <w:trPr>
          <w:trHeight w:val="285" w:hRule="atLeast"/>
          <w:jc w:val="center"/>
        </w:trPr>
        <w:tc>
          <w:tcPr>
            <w:tcW w:w="23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序号</w:t>
            </w:r>
          </w:p>
        </w:tc>
        <w:tc>
          <w:tcPr>
            <w:tcW w:w="428"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标准名称</w:t>
            </w:r>
          </w:p>
        </w:tc>
        <w:tc>
          <w:tcPr>
            <w:tcW w:w="69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标准编号</w:t>
            </w:r>
          </w:p>
        </w:tc>
        <w:tc>
          <w:tcPr>
            <w:tcW w:w="1193"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主要技术内容</w:t>
            </w:r>
          </w:p>
        </w:tc>
        <w:tc>
          <w:tcPr>
            <w:tcW w:w="719"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主管部门/提出部门</w:t>
            </w:r>
          </w:p>
        </w:tc>
        <w:tc>
          <w:tcPr>
            <w:tcW w:w="599"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主编单位</w:t>
            </w:r>
          </w:p>
        </w:tc>
        <w:tc>
          <w:tcPr>
            <w:tcW w:w="885"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参编单位</w:t>
            </w:r>
          </w:p>
        </w:tc>
        <w:tc>
          <w:tcPr>
            <w:tcW w:w="240"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备注</w:t>
            </w:r>
          </w:p>
        </w:tc>
      </w:tr>
      <w:tr>
        <w:trPr>
          <w:trHeight w:val="558" w:hRule="atLeast"/>
          <w:jc w:val="center"/>
        </w:trPr>
        <w:tc>
          <w:tcPr>
            <w:tcW w:w="237" w:type="pct"/>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428"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公路绿化养护技术规程</w:t>
            </w:r>
          </w:p>
        </w:tc>
        <w:tc>
          <w:tcPr>
            <w:tcW w:w="696"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DG/TJ08-2167-2015</w:t>
            </w:r>
          </w:p>
        </w:tc>
        <w:tc>
          <w:tcPr>
            <w:tcW w:w="1193"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进一步区分不同路段公路绿化建设及管理养护标准，将新城、城镇化地区以及入城段公路范围内的绿化建设和管理养护对标本市园林行业标准，同时新增公路绿化景观要素，如花坛花径、桥柱绿化、悬挂绿化、声屏障绿化等并提出建设和养护管理标准。</w:t>
            </w:r>
          </w:p>
        </w:tc>
        <w:tc>
          <w:tcPr>
            <w:tcW w:w="719" w:type="pct"/>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上海市交通委员会</w:t>
            </w:r>
          </w:p>
        </w:tc>
        <w:tc>
          <w:tcPr>
            <w:tcW w:w="599" w:type="pct"/>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4"/>
              </w:rPr>
            </w:pPr>
            <w:r>
              <w:rPr>
                <w:rFonts w:hint="eastAsia" w:ascii="宋体" w:hAnsi="宋体" w:cs="宋体"/>
                <w:kern w:val="0"/>
                <w:sz w:val="24"/>
              </w:rPr>
              <w:t>上海市道路运输事业发展中心</w:t>
            </w:r>
            <w:r>
              <w:rPr>
                <w:rFonts w:hint="eastAsia" w:ascii="宋体" w:hAnsi="宋体" w:cs="宋体"/>
                <w:kern w:val="0"/>
                <w:sz w:val="24"/>
                <w:lang w:eastAsia="zh-CN"/>
              </w:rPr>
              <w:t>、</w:t>
            </w:r>
            <w:r>
              <w:rPr>
                <w:rFonts w:hint="eastAsia" w:ascii="宋体" w:hAnsi="宋体" w:cs="宋体"/>
                <w:kern w:val="0"/>
                <w:sz w:val="24"/>
              </w:rPr>
              <w:t>上海奉贤园林绿化工程有限公司</w:t>
            </w:r>
            <w:r>
              <w:rPr>
                <w:rFonts w:hint="eastAsia" w:ascii="宋体" w:hAnsi="宋体" w:cs="宋体"/>
                <w:kern w:val="0"/>
                <w:sz w:val="24"/>
                <w:lang w:eastAsia="zh-CN"/>
              </w:rPr>
              <w:t>、</w:t>
            </w:r>
            <w:r>
              <w:rPr>
                <w:rFonts w:hint="eastAsia" w:ascii="宋体" w:hAnsi="宋体" w:cs="宋体"/>
                <w:kern w:val="0"/>
                <w:sz w:val="24"/>
              </w:rPr>
              <w:t>上海城投公路投资（集团）有限公司</w:t>
            </w:r>
          </w:p>
          <w:p>
            <w:pPr>
              <w:widowControl/>
              <w:jc w:val="left"/>
              <w:rPr>
                <w:rFonts w:ascii="宋体" w:hAnsi="宋体" w:cs="宋体"/>
                <w:kern w:val="0"/>
                <w:sz w:val="24"/>
              </w:rPr>
            </w:pPr>
          </w:p>
        </w:tc>
        <w:tc>
          <w:tcPr>
            <w:tcW w:w="885" w:type="pct"/>
            <w:tcBorders>
              <w:top w:val="nil"/>
              <w:left w:val="nil"/>
              <w:bottom w:val="single" w:color="auto" w:sz="4" w:space="0"/>
              <w:right w:val="single" w:color="auto" w:sz="4" w:space="0"/>
            </w:tcBorders>
            <w:noWrap/>
            <w:vAlign w:val="center"/>
          </w:tcPr>
          <w:p>
            <w:pPr>
              <w:widowControl/>
              <w:jc w:val="left"/>
              <w:rPr>
                <w:rFonts w:hint="eastAsia" w:ascii="宋体" w:hAnsi="宋体" w:cs="宋体"/>
                <w:kern w:val="0"/>
                <w:sz w:val="24"/>
              </w:rPr>
            </w:pPr>
            <w:r>
              <w:rPr>
                <w:rFonts w:hint="eastAsia" w:ascii="宋体" w:hAnsi="宋体" w:cs="宋体"/>
                <w:kern w:val="0"/>
                <w:sz w:val="24"/>
              </w:rPr>
              <w:t>上海市绿化管理指导站</w:t>
            </w:r>
            <w:r>
              <w:rPr>
                <w:rFonts w:hint="eastAsia" w:ascii="宋体" w:hAnsi="宋体" w:cs="宋体"/>
                <w:kern w:val="0"/>
                <w:sz w:val="24"/>
                <w:lang w:eastAsia="zh-CN"/>
              </w:rPr>
              <w:t>、</w:t>
            </w:r>
            <w:r>
              <w:rPr>
                <w:rFonts w:hint="eastAsia" w:ascii="宋体" w:hAnsi="宋体" w:cs="宋体"/>
                <w:kern w:val="0"/>
                <w:sz w:val="24"/>
              </w:rPr>
              <w:t>上海市浦东新区道路运输事业发展中心</w:t>
            </w:r>
            <w:r>
              <w:rPr>
                <w:rFonts w:hint="eastAsia" w:ascii="宋体" w:hAnsi="宋体" w:cs="宋体"/>
                <w:kern w:val="0"/>
                <w:sz w:val="24"/>
                <w:lang w:eastAsia="zh-CN"/>
              </w:rPr>
              <w:t>、</w:t>
            </w:r>
            <w:r>
              <w:rPr>
                <w:rFonts w:hint="eastAsia" w:ascii="宋体" w:hAnsi="宋体" w:cs="宋体"/>
                <w:kern w:val="0"/>
                <w:sz w:val="24"/>
              </w:rPr>
              <w:t>上海市松江区交通建设管理中心</w:t>
            </w:r>
            <w:r>
              <w:rPr>
                <w:rFonts w:hint="eastAsia" w:ascii="宋体" w:hAnsi="宋体" w:cs="宋体"/>
                <w:kern w:val="0"/>
                <w:sz w:val="24"/>
                <w:lang w:eastAsia="zh-CN"/>
              </w:rPr>
              <w:t>、</w:t>
            </w:r>
            <w:r>
              <w:rPr>
                <w:rFonts w:hint="eastAsia" w:ascii="宋体" w:hAnsi="宋体" w:cs="宋体"/>
                <w:kern w:val="0"/>
                <w:sz w:val="24"/>
              </w:rPr>
              <w:t>上海市奉贤区交通建设管理中心</w:t>
            </w:r>
            <w:r>
              <w:rPr>
                <w:rFonts w:hint="eastAsia" w:ascii="宋体" w:hAnsi="宋体" w:cs="宋体"/>
                <w:kern w:val="0"/>
                <w:sz w:val="24"/>
                <w:lang w:eastAsia="zh-CN"/>
              </w:rPr>
              <w:t>、</w:t>
            </w:r>
            <w:r>
              <w:rPr>
                <w:rFonts w:hint="eastAsia" w:ascii="宋体" w:hAnsi="宋体" w:cs="宋体"/>
                <w:kern w:val="0"/>
                <w:sz w:val="24"/>
              </w:rPr>
              <w:t>上海市政工程设计研究总院（集团）有限公司</w:t>
            </w:r>
          </w:p>
          <w:p>
            <w:pPr>
              <w:widowControl/>
              <w:jc w:val="left"/>
              <w:rPr>
                <w:rFonts w:ascii="宋体" w:hAnsi="宋体" w:cs="宋体"/>
                <w:kern w:val="0"/>
                <w:sz w:val="24"/>
              </w:rPr>
            </w:pPr>
          </w:p>
        </w:tc>
        <w:tc>
          <w:tcPr>
            <w:tcW w:w="24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修订</w:t>
            </w:r>
          </w:p>
        </w:tc>
      </w:tr>
      <w:tr>
        <w:trPr>
          <w:trHeight w:val="1995" w:hRule="atLeast"/>
          <w:jc w:val="center"/>
        </w:trPr>
        <w:tc>
          <w:tcPr>
            <w:tcW w:w="237"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c>
          <w:tcPr>
            <w:tcW w:w="428"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电动汽车充电基础设施建设技术标准</w:t>
            </w:r>
          </w:p>
        </w:tc>
        <w:tc>
          <w:tcPr>
            <w:tcW w:w="696"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DG/TJ08-2093-2019</w:t>
            </w:r>
          </w:p>
        </w:tc>
        <w:tc>
          <w:tcPr>
            <w:tcW w:w="1193"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主要根据新建小区充电设施配建要求，对小区充电设施建设及消防等相关内容进行修订。主要修订内容包含两部分：新建小区充电设施建设规模及配电容量、充电设施建设消防设计要求。</w:t>
            </w:r>
          </w:p>
        </w:tc>
        <w:tc>
          <w:tcPr>
            <w:tcW w:w="719"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上海市交通委员会</w:t>
            </w:r>
          </w:p>
        </w:tc>
        <w:tc>
          <w:tcPr>
            <w:tcW w:w="599"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国网上海市电力公司、上海电力设计院有限公司、上海城市交通研究设计院有限公司</w:t>
            </w:r>
          </w:p>
        </w:tc>
        <w:tc>
          <w:tcPr>
            <w:tcW w:w="885" w:type="pct"/>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0"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局部修订</w:t>
            </w:r>
          </w:p>
        </w:tc>
      </w:tr>
      <w:tr>
        <w:trPr>
          <w:trHeight w:val="1995" w:hRule="atLeast"/>
          <w:jc w:val="center"/>
        </w:trPr>
        <w:tc>
          <w:tcPr>
            <w:tcW w:w="237" w:type="pct"/>
            <w:tcBorders>
              <w:top w:val="nil"/>
              <w:left w:val="single" w:color="auto" w:sz="4" w:space="0"/>
              <w:bottom w:val="single" w:color="000000" w:sz="8"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3</w:t>
            </w:r>
          </w:p>
        </w:tc>
        <w:tc>
          <w:tcPr>
            <w:tcW w:w="428" w:type="pct"/>
            <w:tcBorders>
              <w:top w:val="nil"/>
              <w:left w:val="nil"/>
              <w:bottom w:val="single" w:color="000000" w:sz="8" w:space="0"/>
              <w:right w:val="single" w:color="auto" w:sz="4" w:space="0"/>
            </w:tcBorders>
            <w:noWrap w:val="0"/>
            <w:vAlign w:val="center"/>
          </w:tcPr>
          <w:p>
            <w:pPr>
              <w:widowControl/>
              <w:jc w:val="left"/>
              <w:rPr>
                <w:rFonts w:hint="eastAsia" w:ascii="宋体" w:hAnsi="宋体" w:cs="宋体"/>
                <w:kern w:val="0"/>
                <w:sz w:val="24"/>
              </w:rPr>
            </w:pPr>
            <w:r>
              <w:rPr>
                <w:rFonts w:hint="eastAsia" w:ascii="宋体" w:hAnsi="宋体" w:cs="宋体"/>
                <w:kern w:val="0"/>
                <w:sz w:val="24"/>
                <w:lang w:val="en-US" w:eastAsia="zh-CN"/>
              </w:rPr>
              <w:t>住宅区和住宅建筑通信配套工程技术标准</w:t>
            </w:r>
          </w:p>
          <w:p>
            <w:pPr>
              <w:widowControl/>
              <w:jc w:val="left"/>
              <w:rPr>
                <w:rFonts w:hint="eastAsia" w:ascii="宋体" w:hAnsi="宋体" w:eastAsia="宋体" w:cs="宋体"/>
                <w:color w:val="000000"/>
                <w:kern w:val="0"/>
                <w:sz w:val="24"/>
                <w:szCs w:val="24"/>
                <w:lang w:val="en-US" w:eastAsia="zh-CN" w:bidi="ar-SA"/>
              </w:rPr>
            </w:pPr>
          </w:p>
        </w:tc>
        <w:tc>
          <w:tcPr>
            <w:tcW w:w="696" w:type="pct"/>
            <w:tcBorders>
              <w:top w:val="nil"/>
              <w:left w:val="nil"/>
              <w:bottom w:val="single" w:color="000000" w:sz="8" w:space="0"/>
              <w:right w:val="single" w:color="auto" w:sz="4" w:space="0"/>
            </w:tcBorders>
            <w:noWrap w:val="0"/>
            <w:vAlign w:val="center"/>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DG/TJ08-606-2019</w:t>
            </w:r>
          </w:p>
        </w:tc>
        <w:tc>
          <w:tcPr>
            <w:tcW w:w="1193" w:type="pct"/>
            <w:tcBorders>
              <w:top w:val="nil"/>
              <w:left w:val="nil"/>
              <w:bottom w:val="single" w:color="000000" w:sz="8" w:space="0"/>
              <w:right w:val="single" w:color="auto" w:sz="4" w:space="0"/>
            </w:tcBorders>
            <w:noWrap w:val="0"/>
            <w:vAlign w:val="center"/>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主要适用于住宅区和住宅建筑的家庭户内光纤布线以及室内覆盖的建设与安装，旨在完善家庭内部对于光纤光缆的布线要求，从而满足上海FTTR的建设需求，同时针对住宅区室内覆盖系统优化建设模式.</w:t>
            </w:r>
          </w:p>
        </w:tc>
        <w:tc>
          <w:tcPr>
            <w:tcW w:w="719" w:type="pct"/>
            <w:tcBorders>
              <w:top w:val="nil"/>
              <w:left w:val="nil"/>
              <w:bottom w:val="single" w:color="000000" w:sz="8" w:space="0"/>
              <w:right w:val="single" w:color="auto" w:sz="4" w:space="0"/>
            </w:tcBorders>
            <w:noWrap w:val="0"/>
            <w:vAlign w:val="center"/>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上海市通信管理局</w:t>
            </w:r>
          </w:p>
        </w:tc>
        <w:tc>
          <w:tcPr>
            <w:tcW w:w="599" w:type="pct"/>
            <w:tcBorders>
              <w:top w:val="nil"/>
              <w:left w:val="nil"/>
              <w:bottom w:val="single" w:color="000000" w:sz="8" w:space="0"/>
              <w:right w:val="single" w:color="auto" w:sz="4" w:space="0"/>
            </w:tcBorders>
            <w:noWrap w:val="0"/>
            <w:vAlign w:val="center"/>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上海邮电设计咨询研究院有限公司</w:t>
            </w:r>
          </w:p>
        </w:tc>
        <w:tc>
          <w:tcPr>
            <w:tcW w:w="885" w:type="pct"/>
            <w:tcBorders>
              <w:top w:val="nil"/>
              <w:left w:val="nil"/>
              <w:bottom w:val="single" w:color="000000" w:sz="8" w:space="0"/>
              <w:right w:val="single" w:color="auto" w:sz="4" w:space="0"/>
            </w:tcBorders>
            <w:noWrap w:val="0"/>
            <w:vAlign w:val="center"/>
          </w:tcPr>
          <w:p>
            <w:pPr>
              <w:widowControl/>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中国电信股份有限公司上海分公司、中国移动通信集团上海分公司、中国联合网络通信有限公司上海分公司、东方有线网络有限公司、中国铁塔股份有限公司上海分公司、华为技术有限公司</w:t>
            </w:r>
          </w:p>
        </w:tc>
        <w:tc>
          <w:tcPr>
            <w:tcW w:w="240" w:type="pct"/>
            <w:tcBorders>
              <w:top w:val="nil"/>
              <w:left w:val="nil"/>
              <w:bottom w:val="single" w:color="000000" w:sz="8" w:space="0"/>
              <w:right w:val="single" w:color="auto" w:sz="4" w:space="0"/>
            </w:tcBorders>
            <w:noWrap w:val="0"/>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修订</w:t>
            </w:r>
          </w:p>
        </w:tc>
      </w:tr>
      <w:tr>
        <w:trPr>
          <w:trHeight w:val="1995" w:hRule="atLeast"/>
          <w:jc w:val="center"/>
        </w:trPr>
        <w:tc>
          <w:tcPr>
            <w:tcW w:w="237" w:type="pct"/>
            <w:tcBorders>
              <w:top w:val="single" w:color="000000" w:sz="8" w:space="0"/>
              <w:left w:val="single" w:color="auto" w:sz="4" w:space="0"/>
              <w:bottom w:val="single" w:color="auto" w:sz="4" w:space="0"/>
              <w:right w:val="single" w:color="000000" w:sz="8" w:space="0"/>
            </w:tcBorders>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428" w:type="pct"/>
            <w:tcBorders>
              <w:top w:val="single" w:color="000000" w:sz="8" w:space="0"/>
              <w:left w:val="single" w:color="000000" w:sz="8" w:space="0"/>
              <w:bottom w:val="single" w:color="auto" w:sz="4" w:space="0"/>
              <w:right w:val="single" w:color="000000" w:sz="8" w:space="0"/>
            </w:tcBorders>
            <w:noWrap w:val="0"/>
            <w:vAlign w:val="center"/>
          </w:tcPr>
          <w:p>
            <w:pPr>
              <w:widowControl/>
              <w:jc w:val="left"/>
              <w:rPr>
                <w:rFonts w:ascii="宋体" w:hAnsi="宋体" w:cs="宋体"/>
                <w:kern w:val="0"/>
                <w:sz w:val="24"/>
              </w:rPr>
            </w:pPr>
            <w:r>
              <w:rPr>
                <w:rFonts w:hint="eastAsia" w:ascii="宋体" w:hAnsi="宋体" w:cs="宋体"/>
                <w:kern w:val="0"/>
                <w:sz w:val="24"/>
              </w:rPr>
              <w:t>保障性住房设计标准（保障性租赁住房分册）</w:t>
            </w:r>
          </w:p>
        </w:tc>
        <w:tc>
          <w:tcPr>
            <w:tcW w:w="696" w:type="pct"/>
            <w:tcBorders>
              <w:top w:val="single" w:color="000000" w:sz="8" w:space="0"/>
              <w:left w:val="single" w:color="000000" w:sz="8" w:space="0"/>
              <w:bottom w:val="single" w:color="auto" w:sz="4" w:space="0"/>
              <w:right w:val="single" w:color="000000"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1193" w:type="pct"/>
            <w:tcBorders>
              <w:top w:val="single" w:color="000000" w:sz="8" w:space="0"/>
              <w:left w:val="single" w:color="000000" w:sz="8" w:space="0"/>
              <w:bottom w:val="single" w:color="auto" w:sz="4" w:space="0"/>
              <w:right w:val="single" w:color="000000" w:sz="8" w:space="0"/>
            </w:tcBorders>
            <w:noWrap w:val="0"/>
            <w:vAlign w:val="center"/>
          </w:tcPr>
          <w:p>
            <w:pPr>
              <w:widowControl/>
              <w:jc w:val="left"/>
              <w:rPr>
                <w:rFonts w:ascii="宋体" w:hAnsi="宋体" w:cs="宋体"/>
                <w:kern w:val="0"/>
                <w:sz w:val="24"/>
              </w:rPr>
            </w:pPr>
            <w:r>
              <w:rPr>
                <w:rFonts w:hint="eastAsia" w:ascii="宋体" w:hAnsi="宋体" w:cs="宋体"/>
                <w:kern w:val="0"/>
                <w:sz w:val="24"/>
              </w:rPr>
              <w:t>主要适用于保障性租赁住房新建、改建类项目，适应住宅产业化发展要求，采用工业化生产、装配式施工的建设方式，为本市保障性租赁住房设计提供依据，提高租赁住房品质，促进保障性租赁住房市场健康发展。</w:t>
            </w:r>
          </w:p>
        </w:tc>
        <w:tc>
          <w:tcPr>
            <w:tcW w:w="719" w:type="pct"/>
            <w:tcBorders>
              <w:top w:val="single" w:color="000000" w:sz="8" w:space="0"/>
              <w:left w:val="single" w:color="000000" w:sz="8" w:space="0"/>
              <w:bottom w:val="single" w:color="auto" w:sz="4" w:space="0"/>
              <w:right w:val="single" w:color="000000" w:sz="8" w:space="0"/>
            </w:tcBorders>
            <w:noWrap w:val="0"/>
            <w:vAlign w:val="center"/>
          </w:tcPr>
          <w:p>
            <w:pPr>
              <w:widowControl/>
              <w:jc w:val="left"/>
              <w:rPr>
                <w:rFonts w:ascii="宋体" w:hAnsi="宋体" w:cs="宋体"/>
                <w:kern w:val="0"/>
                <w:sz w:val="24"/>
              </w:rPr>
            </w:pPr>
            <w:r>
              <w:rPr>
                <w:rFonts w:hint="eastAsia" w:ascii="宋体" w:hAnsi="宋体" w:cs="宋体"/>
                <w:kern w:val="0"/>
                <w:sz w:val="24"/>
              </w:rPr>
              <w:t>上海市房屋管理局</w:t>
            </w:r>
          </w:p>
        </w:tc>
        <w:tc>
          <w:tcPr>
            <w:tcW w:w="599" w:type="pct"/>
            <w:tcBorders>
              <w:top w:val="single" w:color="000000" w:sz="8" w:space="0"/>
              <w:left w:val="single" w:color="000000" w:sz="8" w:space="0"/>
              <w:bottom w:val="single" w:color="auto" w:sz="4" w:space="0"/>
              <w:right w:val="single" w:color="000000" w:sz="8" w:space="0"/>
            </w:tcBorders>
            <w:noWrap w:val="0"/>
            <w:vAlign w:val="center"/>
          </w:tcPr>
          <w:p>
            <w:pPr>
              <w:widowControl/>
              <w:jc w:val="left"/>
              <w:rPr>
                <w:rFonts w:ascii="宋体" w:hAnsi="宋体" w:cs="宋体"/>
                <w:kern w:val="0"/>
                <w:sz w:val="24"/>
              </w:rPr>
            </w:pPr>
            <w:r>
              <w:rPr>
                <w:rFonts w:hint="eastAsia" w:ascii="宋体" w:hAnsi="宋体" w:cs="宋体"/>
                <w:kern w:val="0"/>
                <w:sz w:val="24"/>
              </w:rPr>
              <w:t>天华建筑设计有限公司、华东建筑设计有限公司</w:t>
            </w:r>
          </w:p>
        </w:tc>
        <w:tc>
          <w:tcPr>
            <w:tcW w:w="885" w:type="pct"/>
            <w:tcBorders>
              <w:top w:val="single" w:color="000000" w:sz="8" w:space="0"/>
              <w:left w:val="single" w:color="000000" w:sz="8" w:space="0"/>
              <w:bottom w:val="single" w:color="auto" w:sz="4" w:space="0"/>
              <w:right w:val="single" w:color="000000" w:sz="8"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0" w:type="pct"/>
            <w:tcBorders>
              <w:top w:val="single" w:color="000000" w:sz="8" w:space="0"/>
              <w:left w:val="single" w:color="000000"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新编</w:t>
            </w:r>
          </w:p>
        </w:tc>
      </w:tr>
    </w:tbl>
    <w:p>
      <w:pPr>
        <w:rPr>
          <w:sz w:val="30"/>
          <w:szCs w:val="30"/>
        </w:rPr>
      </w:pPr>
    </w:p>
    <w:sectPr>
      <w:footerReference r:id="rId3" w:type="default"/>
      <w:pgSz w:w="16838" w:h="11906" w:orient="landscape"/>
      <w:pgMar w:top="1230" w:right="1134" w:bottom="1230" w:left="1134" w:header="851" w:footer="1531" w:gutter="0"/>
      <w:pgBorders>
        <w:top w:val="none" w:sz="0" w:space="0"/>
        <w:left w:val="none" w:sz="0" w:space="0"/>
        <w:bottom w:val="none" w:sz="0" w:space="0"/>
        <w:right w:val="none" w:sz="0" w:space="0"/>
      </w:pgBorders>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8509"/>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EC"/>
    <w:rsid w:val="00020283"/>
    <w:rsid w:val="0002671B"/>
    <w:rsid w:val="0005392A"/>
    <w:rsid w:val="00093B0A"/>
    <w:rsid w:val="00097275"/>
    <w:rsid w:val="001B763F"/>
    <w:rsid w:val="001D14D5"/>
    <w:rsid w:val="001D2621"/>
    <w:rsid w:val="00233353"/>
    <w:rsid w:val="00292A53"/>
    <w:rsid w:val="002C309D"/>
    <w:rsid w:val="002E7189"/>
    <w:rsid w:val="002F5B53"/>
    <w:rsid w:val="002F5DD3"/>
    <w:rsid w:val="00333F1C"/>
    <w:rsid w:val="003F192F"/>
    <w:rsid w:val="00413E42"/>
    <w:rsid w:val="0043114F"/>
    <w:rsid w:val="00487ACA"/>
    <w:rsid w:val="004E5941"/>
    <w:rsid w:val="00522533"/>
    <w:rsid w:val="005352EC"/>
    <w:rsid w:val="00555700"/>
    <w:rsid w:val="00697E4D"/>
    <w:rsid w:val="006B03F9"/>
    <w:rsid w:val="006C7CA3"/>
    <w:rsid w:val="007775C8"/>
    <w:rsid w:val="007910BC"/>
    <w:rsid w:val="007E1858"/>
    <w:rsid w:val="007F41E9"/>
    <w:rsid w:val="00805910"/>
    <w:rsid w:val="008060E1"/>
    <w:rsid w:val="00837D6B"/>
    <w:rsid w:val="008761A2"/>
    <w:rsid w:val="00A136D1"/>
    <w:rsid w:val="00A26C9B"/>
    <w:rsid w:val="00A74FAC"/>
    <w:rsid w:val="00BA45FB"/>
    <w:rsid w:val="00BC5D88"/>
    <w:rsid w:val="00BF5B94"/>
    <w:rsid w:val="00C659EC"/>
    <w:rsid w:val="00D12221"/>
    <w:rsid w:val="00D25627"/>
    <w:rsid w:val="00D604B5"/>
    <w:rsid w:val="00D84A57"/>
    <w:rsid w:val="00DA5740"/>
    <w:rsid w:val="00E03B6D"/>
    <w:rsid w:val="00E27836"/>
    <w:rsid w:val="00E34293"/>
    <w:rsid w:val="00E41D0E"/>
    <w:rsid w:val="00E633DB"/>
    <w:rsid w:val="00E72BCE"/>
    <w:rsid w:val="00EB5F7F"/>
    <w:rsid w:val="00F557D8"/>
    <w:rsid w:val="00F57762"/>
    <w:rsid w:val="00F90EEC"/>
    <w:rsid w:val="03C64F8B"/>
    <w:rsid w:val="0EEC56DE"/>
    <w:rsid w:val="13CF10B0"/>
    <w:rsid w:val="1BAF976C"/>
    <w:rsid w:val="2B4A7B4F"/>
    <w:rsid w:val="2CFE6E98"/>
    <w:rsid w:val="3259591E"/>
    <w:rsid w:val="35AB7691"/>
    <w:rsid w:val="37FFF5BE"/>
    <w:rsid w:val="4A7C1068"/>
    <w:rsid w:val="4BDF4721"/>
    <w:rsid w:val="516526DF"/>
    <w:rsid w:val="52B7CDA2"/>
    <w:rsid w:val="52D7C80F"/>
    <w:rsid w:val="562E7F57"/>
    <w:rsid w:val="60CD5563"/>
    <w:rsid w:val="66EE4D19"/>
    <w:rsid w:val="67FF7A92"/>
    <w:rsid w:val="705D278B"/>
    <w:rsid w:val="7394EAB3"/>
    <w:rsid w:val="77BF2EB5"/>
    <w:rsid w:val="79651E9D"/>
    <w:rsid w:val="7E301748"/>
    <w:rsid w:val="7FB7642F"/>
    <w:rsid w:val="9E9D1A5B"/>
    <w:rsid w:val="A73D42EB"/>
    <w:rsid w:val="E67D2AE8"/>
    <w:rsid w:val="EFE73D0E"/>
    <w:rsid w:val="EFF56955"/>
    <w:rsid w:val="FAFA6E8C"/>
    <w:rsid w:val="FD7F027B"/>
    <w:rsid w:val="FFFF11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kern w:val="2"/>
      <w:sz w:val="18"/>
      <w:szCs w:val="18"/>
    </w:rPr>
  </w:style>
  <w:style w:type="character" w:customStyle="1" w:styleId="8">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TotalTime>15.6666666666667</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2021-11-12T09:07:00Z</dcterms:created>
  <dc:creator>韩金峰:办公室领导审批</dc:creator>
  <cp:lastModifiedBy>zjw</cp:lastModifiedBy>
  <dcterms:modified xsi:type="dcterms:W3CDTF">2021-11-16T16:33:35Z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