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600" w:lineRule="exact"/>
        <w:jc w:val="both"/>
        <w:rPr>
          <w:rFonts w:ascii="仿宋_GB2312" w:hAnsi="仿宋_GB2312" w:eastAsia="仿宋_GB2312" w:cs="仿宋_GB2312"/>
          <w:color w:val="000000" w:themeColor="text1"/>
          <w:sz w:val="32"/>
          <w:szCs w:val="32"/>
          <w14:textFill>
            <w14:solidFill>
              <w14:schemeClr w14:val="tx1"/>
            </w14:solidFill>
          </w14:textFill>
        </w:rPr>
      </w:pPr>
    </w:p>
    <w:p>
      <w:pPr>
        <w:pStyle w:val="2"/>
        <w:spacing w:after="0" w:line="560" w:lineRule="exact"/>
        <w:jc w:val="left"/>
        <w:rPr>
          <w:rFonts w:ascii="黑体" w:hAnsi="黑体" w:eastAsia="黑体" w:cs="黑体"/>
          <w:bCs/>
          <w:color w:val="000000" w:themeColor="text1"/>
          <w:sz w:val="32"/>
          <w14:textFill>
            <w14:solidFill>
              <w14:schemeClr w14:val="tx1"/>
            </w14:solidFill>
          </w14:textFill>
        </w:rPr>
      </w:pPr>
      <w:r>
        <w:rPr>
          <w:rFonts w:hint="eastAsia" w:ascii="黑体" w:hAnsi="黑体" w:eastAsia="黑体" w:cs="黑体"/>
          <w:bCs/>
          <w:color w:val="000000" w:themeColor="text1"/>
          <w:sz w:val="32"/>
          <w14:textFill>
            <w14:solidFill>
              <w14:schemeClr w14:val="tx1"/>
            </w14:solidFill>
          </w14:textFill>
        </w:rPr>
        <w:t>附件</w:t>
      </w:r>
    </w:p>
    <w:p>
      <w:pPr>
        <w:pStyle w:val="2"/>
        <w:spacing w:after="0" w:line="560" w:lineRule="exact"/>
        <w:jc w:val="center"/>
        <w:rPr>
          <w:rFonts w:ascii="Times New Roman" w:hAnsi="Times New Roman" w:eastAsia="方正小标宋简体"/>
          <w:bCs/>
          <w:color w:val="000000" w:themeColor="text1"/>
          <w:sz w:val="44"/>
          <w:szCs w:val="44"/>
          <w14:textFill>
            <w14:solidFill>
              <w14:schemeClr w14:val="tx1"/>
            </w14:solidFill>
          </w14:textFill>
        </w:rPr>
      </w:pPr>
      <w:r>
        <w:rPr>
          <w:rFonts w:ascii="Times New Roman" w:hAnsi="Times New Roman" w:eastAsia="方正小标宋简体"/>
          <w:bCs/>
          <w:color w:val="000000" w:themeColor="text1"/>
          <w:sz w:val="44"/>
          <w:szCs w:val="44"/>
          <w14:textFill>
            <w14:solidFill>
              <w14:schemeClr w14:val="tx1"/>
            </w14:solidFill>
          </w14:textFill>
        </w:rPr>
        <w:t>四川省“省级百强中心镇”考核验收办法</w:t>
      </w:r>
    </w:p>
    <w:p>
      <w:pPr>
        <w:spacing w:line="560" w:lineRule="exact"/>
        <w:jc w:val="center"/>
        <w:rPr>
          <w:rFonts w:ascii="Times New Roman" w:hAnsi="Times New Roman" w:eastAsia="楷体"/>
          <w:b/>
          <w:bCs/>
          <w:color w:val="000000" w:themeColor="text1"/>
          <w:sz w:val="32"/>
          <w:szCs w:val="32"/>
          <w:lang w:val="zh-CN"/>
          <w14:textFill>
            <w14:solidFill>
              <w14:schemeClr w14:val="tx1"/>
            </w14:solidFill>
          </w14:textFill>
        </w:rPr>
      </w:pPr>
    </w:p>
    <w:p>
      <w:pPr>
        <w:pStyle w:val="2"/>
        <w:spacing w:after="0" w:line="560" w:lineRule="exact"/>
        <w:ind w:firstLine="640" w:firstLineChars="200"/>
        <w:jc w:val="center"/>
        <w:rPr>
          <w:rFonts w:ascii="Times New Roman" w:hAnsi="Times New Roman" w:eastAsia="仿宋"/>
          <w:color w:val="000000" w:themeColor="text1"/>
          <w:sz w:val="32"/>
          <w14:textFill>
            <w14:solidFill>
              <w14:schemeClr w14:val="tx1"/>
            </w14:solidFill>
          </w14:textFill>
        </w:rPr>
      </w:pPr>
    </w:p>
    <w:p>
      <w:pPr>
        <w:spacing w:line="560" w:lineRule="exact"/>
        <w:jc w:val="center"/>
        <w:rPr>
          <w:rFonts w:ascii="Times New Roman" w:hAnsi="Times New Roman" w:eastAsia="黑体"/>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第一章</w:t>
      </w:r>
      <w:r>
        <w:rPr>
          <w:rFonts w:ascii="Times New Roman" w:hAnsi="Times New Roman" w:eastAsia="黑体"/>
          <w:color w:val="000000" w:themeColor="text1"/>
          <w:sz w:val="32"/>
          <w:szCs w:val="32"/>
          <w14:textFill>
            <w14:solidFill>
              <w14:schemeClr w14:val="tx1"/>
            </w14:solidFill>
          </w14:textFill>
        </w:rPr>
        <w:t xml:space="preserve">  </w:t>
      </w:r>
      <w:r>
        <w:rPr>
          <w:rFonts w:ascii="Times New Roman" w:hAnsi="黑体" w:eastAsia="黑体"/>
          <w:color w:val="000000" w:themeColor="text1"/>
          <w:sz w:val="32"/>
          <w:szCs w:val="32"/>
          <w14:textFill>
            <w14:solidFill>
              <w14:schemeClr w14:val="tx1"/>
            </w14:solidFill>
          </w14:textFill>
        </w:rPr>
        <w:t>总则</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第一条</w:t>
      </w:r>
      <w:r>
        <w:rPr>
          <w:rFonts w:ascii="Times New Roman" w:hAnsi="Times New Roman" w:eastAsia="仿宋"/>
          <w:color w:val="000000" w:themeColor="text1"/>
          <w:sz w:val="32"/>
          <w:szCs w:val="32"/>
          <w14:textFill>
            <w14:solidFill>
              <w14:schemeClr w14:val="tx1"/>
            </w14:solidFill>
          </w14:textFill>
        </w:rPr>
        <w:t xml:space="preserve">  为推进中心镇改革发展，加快建设成为县域副中心，促进全省小城镇和县域经济高质量发展。依据《中共四川省委办公厅四川省人民政府办公厅关于推进中心镇改革发展的指导意见》（以下简称《指导意见》），特制定本办法。</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第二条</w:t>
      </w:r>
      <w:r>
        <w:rPr>
          <w:rFonts w:ascii="Times New Roman" w:hAnsi="Times New Roman" w:eastAsia="仿宋"/>
          <w:color w:val="000000" w:themeColor="text1"/>
          <w:sz w:val="32"/>
          <w:szCs w:val="32"/>
          <w14:textFill>
            <w14:solidFill>
              <w14:schemeClr w14:val="tx1"/>
            </w14:solidFill>
          </w14:textFill>
        </w:rPr>
        <w:t xml:space="preserve">  省级百强中心镇考核评选工作由四川省推进中心镇改革发展厅际联席会议办公室</w:t>
      </w:r>
      <w:r>
        <w:rPr>
          <w:rFonts w:hint="eastAsia" w:ascii="Times New Roman" w:hAnsi="Times New Roman" w:eastAsia="仿宋"/>
          <w:color w:val="000000" w:themeColor="text1"/>
          <w:sz w:val="32"/>
          <w:szCs w:val="32"/>
          <w:lang w:val="en"/>
          <w14:textFill>
            <w14:solidFill>
              <w14:schemeClr w14:val="tx1"/>
            </w14:solidFill>
          </w14:textFill>
        </w:rPr>
        <w:t>（</w:t>
      </w:r>
      <w:r>
        <w:rPr>
          <w:rFonts w:ascii="Times New Roman" w:hAnsi="Times New Roman" w:eastAsia="仿宋"/>
          <w:color w:val="000000" w:themeColor="text1"/>
          <w:sz w:val="32"/>
          <w:szCs w:val="32"/>
          <w:lang w:val="en"/>
          <w14:textFill>
            <w14:solidFill>
              <w14:schemeClr w14:val="tx1"/>
            </w14:solidFill>
          </w14:textFill>
        </w:rPr>
        <w:t>以下简称</w:t>
      </w:r>
      <w:r>
        <w:rPr>
          <w:rFonts w:ascii="Times New Roman" w:hAnsi="Times New Roman" w:eastAsia="仿宋"/>
          <w:color w:val="000000" w:themeColor="text1"/>
          <w:sz w:val="32"/>
          <w:szCs w:val="32"/>
          <w14:textFill>
            <w14:solidFill>
              <w14:schemeClr w14:val="tx1"/>
            </w14:solidFill>
          </w14:textFill>
        </w:rPr>
        <w:t>联席会议办公室</w:t>
      </w:r>
      <w:r>
        <w:rPr>
          <w:rFonts w:hint="eastAsia" w:ascii="Times New Roman" w:hAnsi="Times New Roman" w:eastAsia="仿宋"/>
          <w:color w:val="000000" w:themeColor="text1"/>
          <w:sz w:val="32"/>
          <w:szCs w:val="32"/>
          <w:lang w:val="en"/>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统筹推进。</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第三条</w:t>
      </w:r>
      <w:r>
        <w:rPr>
          <w:rFonts w:ascii="Times New Roman" w:hAnsi="Times New Roman" w:eastAsia="仿宋"/>
          <w:color w:val="000000" w:themeColor="text1"/>
          <w:sz w:val="32"/>
          <w:szCs w:val="32"/>
          <w14:textFill>
            <w14:solidFill>
              <w14:schemeClr w14:val="tx1"/>
            </w14:solidFill>
          </w14:textFill>
        </w:rPr>
        <w:t xml:space="preserve">  省级百强中心镇遵循“优中择优、分类培育、宁缺毋滥”的原则，公开、公平、公正组织实施，从2021年起，每年组织考核验收一批省级百强中心镇，到2025年，省级百强中心镇培育建设工作基本完成。</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第四条</w:t>
      </w:r>
      <w:r>
        <w:rPr>
          <w:rFonts w:ascii="Times New Roman" w:hAnsi="Times New Roman" w:eastAsia="仿宋"/>
          <w:color w:val="000000" w:themeColor="text1"/>
          <w:sz w:val="32"/>
          <w:szCs w:val="32"/>
          <w14:textFill>
            <w14:solidFill>
              <w14:schemeClr w14:val="tx1"/>
            </w14:solidFill>
          </w14:textFill>
        </w:rPr>
        <w:t xml:space="preserve">  省级百强中心镇从城市化发展区、农产品主产区和重点生态功能区三个方面（见附表1），主要采取量化计分的方式进行考核评分，减少主观因素。评分指标数据主要以统计监测结果为依据，未纳入统计监测的指标，以行政主管部门行业统计数据为依据。</w:t>
      </w:r>
    </w:p>
    <w:p>
      <w:pPr>
        <w:spacing w:line="560" w:lineRule="exact"/>
        <w:jc w:val="center"/>
        <w:rPr>
          <w:rFonts w:ascii="Times New Roman" w:hAnsi="Times New Roman" w:eastAsia="黑体"/>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第二章</w:t>
      </w:r>
      <w:r>
        <w:rPr>
          <w:rFonts w:ascii="Times New Roman" w:hAnsi="Times New Roman" w:eastAsia="黑体"/>
          <w:color w:val="000000" w:themeColor="text1"/>
          <w:sz w:val="32"/>
          <w:szCs w:val="32"/>
          <w14:textFill>
            <w14:solidFill>
              <w14:schemeClr w14:val="tx1"/>
            </w14:solidFill>
          </w14:textFill>
        </w:rPr>
        <w:t xml:space="preserve">  </w:t>
      </w:r>
      <w:r>
        <w:rPr>
          <w:rFonts w:ascii="Times New Roman" w:hAnsi="黑体" w:eastAsia="黑体"/>
          <w:color w:val="000000" w:themeColor="text1"/>
          <w:sz w:val="32"/>
          <w:szCs w:val="32"/>
          <w14:textFill>
            <w14:solidFill>
              <w14:schemeClr w14:val="tx1"/>
            </w14:solidFill>
          </w14:textFill>
        </w:rPr>
        <w:t>申报条件</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第五条</w:t>
      </w:r>
      <w:r>
        <w:rPr>
          <w:rFonts w:ascii="Times New Roman" w:hAnsi="Times New Roman" w:eastAsia="仿宋"/>
          <w:color w:val="000000" w:themeColor="text1"/>
          <w:sz w:val="32"/>
          <w:szCs w:val="32"/>
          <w14:textFill>
            <w14:solidFill>
              <w14:schemeClr w14:val="tx1"/>
            </w14:solidFill>
          </w14:textFill>
        </w:rPr>
        <w:t xml:space="preserve">  省级百强中心镇申报应具备以下基本条件：</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一）距离城区有一定距离，区位优势明显，交通便利，在一定片区范围内处于中心地位，对周边乡镇具有较强辐射带动能力。在县（市、区）国土空间总体规划的城镇体系等级结构中被明确为中心镇进行重点培育。</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（二）</w:t>
      </w:r>
      <w:r>
        <w:rPr>
          <w:rFonts w:ascii="Times New Roman" w:hAnsi="Times New Roman" w:eastAsia="仿宋"/>
          <w:color w:val="000000" w:themeColor="text1"/>
          <w:sz w:val="32"/>
          <w:szCs w:val="32"/>
          <w14:textFill>
            <w14:solidFill>
              <w14:schemeClr w14:val="tx1"/>
            </w14:solidFill>
          </w14:textFill>
        </w:rPr>
        <w:t>人口规模、</w:t>
      </w:r>
      <w:r>
        <w:rPr>
          <w:rFonts w:hint="eastAsia" w:ascii="Times New Roman" w:hAnsi="Times New Roman" w:eastAsia="仿宋"/>
          <w:color w:val="000000" w:themeColor="text1"/>
          <w:sz w:val="32"/>
          <w:szCs w:val="32"/>
          <w14:textFill>
            <w14:solidFill>
              <w14:schemeClr w14:val="tx1"/>
            </w14:solidFill>
          </w14:textFill>
        </w:rPr>
        <w:t>建成区</w:t>
      </w:r>
      <w:r>
        <w:rPr>
          <w:rFonts w:ascii="Times New Roman" w:hAnsi="Times New Roman" w:eastAsia="仿宋"/>
          <w:color w:val="000000" w:themeColor="text1"/>
          <w:sz w:val="32"/>
          <w:szCs w:val="32"/>
          <w14:textFill>
            <w14:solidFill>
              <w14:schemeClr w14:val="tx1"/>
            </w14:solidFill>
          </w14:textFill>
        </w:rPr>
        <w:t>面积等主要指标在本县（市、区）排名前列</w:t>
      </w:r>
      <w:r>
        <w:rPr>
          <w:rFonts w:ascii="Times New Roman" w:hAnsi="Times New Roman" w:eastAsia="仿宋"/>
          <w:color w:val="000000" w:themeColor="text1"/>
          <w:sz w:val="32"/>
          <w:szCs w:val="32"/>
          <w14:textFill>
            <w14:solidFill>
              <w14:schemeClr w14:val="tx1"/>
            </w14:solidFill>
          </w14:textFill>
        </w:rPr>
        <w:t>，户籍人口城镇化率高于全省同类乡镇平均水平，城镇基础设施和教育、卫生、养老、殡葬等公共服务设施配套齐全，商贸流通设施完善，具备发展成为县域副中心的潜力。</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（三）特色产业集聚发展，产镇融合效益明显，初步形成县域错位发展、分工明确、特色鲜明、优势互补的城镇产业发展新格局，吸引更多农业转移人口向镇区转移。</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（四）生态环境优</w:t>
      </w:r>
      <w:bookmarkStart w:id="0" w:name="_GoBack"/>
      <w:bookmarkEnd w:id="0"/>
      <w:r>
        <w:rPr>
          <w:rFonts w:ascii="Times New Roman" w:hAnsi="Times New Roman" w:eastAsia="仿宋"/>
          <w:color w:val="000000" w:themeColor="text1"/>
          <w:sz w:val="32"/>
          <w:szCs w:val="32"/>
          <w14:textFill>
            <w14:solidFill>
              <w14:schemeClr w14:val="tx1"/>
            </w14:solidFill>
          </w14:textFill>
        </w:rPr>
        <w:t>美宜人，生态品质优化提升，城镇风貌与当地的生态环境和区域文化相协调，彰显小城镇的特色。</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（五）顶层设计完善，建立健全相关规划体系，场镇规划布局科学合理有特色，制定出台相关改革措施并落实到位。</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（六）机构设置和职能配置科学合理，运行规范，职责分工得到有效落实。简约高效的管理体制和协同优化的运行机制得到构建，城镇精细化管理水平和能力得到明显提升。</w:t>
      </w:r>
    </w:p>
    <w:p>
      <w:pPr>
        <w:pStyle w:val="2"/>
        <w:rPr>
          <w:rFonts w:ascii="Times New Roman" w:hAnsi="Times New Roman"/>
          <w:color w:val="000000" w:themeColor="text1"/>
          <w14:textFill>
            <w14:solidFill>
              <w14:schemeClr w14:val="tx1"/>
            </w14:solidFill>
          </w14:textFill>
        </w:rPr>
      </w:pPr>
    </w:p>
    <w:p>
      <w:pPr>
        <w:spacing w:line="560" w:lineRule="exact"/>
        <w:jc w:val="center"/>
        <w:rPr>
          <w:rFonts w:ascii="Times New Roman" w:hAnsi="Times New Roman" w:eastAsia="黑体"/>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第三章</w:t>
      </w:r>
      <w:r>
        <w:rPr>
          <w:rFonts w:ascii="Times New Roman" w:hAnsi="Times New Roman" w:eastAsia="黑体"/>
          <w:color w:val="000000" w:themeColor="text1"/>
          <w:sz w:val="32"/>
          <w:szCs w:val="32"/>
          <w14:textFill>
            <w14:solidFill>
              <w14:schemeClr w14:val="tx1"/>
            </w14:solidFill>
          </w14:textFill>
        </w:rPr>
        <w:t xml:space="preserve">  </w:t>
      </w:r>
      <w:r>
        <w:rPr>
          <w:rFonts w:ascii="Times New Roman" w:hAnsi="黑体" w:eastAsia="黑体"/>
          <w:color w:val="000000" w:themeColor="text1"/>
          <w:sz w:val="32"/>
          <w:szCs w:val="32"/>
          <w14:textFill>
            <w14:solidFill>
              <w14:schemeClr w14:val="tx1"/>
            </w14:solidFill>
          </w14:textFill>
        </w:rPr>
        <w:t>评选程序</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第六条</w:t>
      </w:r>
      <w:r>
        <w:rPr>
          <w:rFonts w:ascii="Times New Roman" w:hAnsi="Times New Roman" w:eastAsia="仿宋"/>
          <w:color w:val="000000" w:themeColor="text1"/>
          <w:sz w:val="32"/>
          <w:szCs w:val="32"/>
          <w14:textFill>
            <w14:solidFill>
              <w14:schemeClr w14:val="tx1"/>
            </w14:solidFill>
          </w14:textFill>
        </w:rPr>
        <w:t xml:space="preserve">  省级百强中心镇评选按照“备案入库、区县自评、市州初评、考核验收”的程序进行。</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第七条</w:t>
      </w:r>
      <w:r>
        <w:rPr>
          <w:rFonts w:ascii="Times New Roman" w:hAnsi="Times New Roman" w:eastAsia="仿宋"/>
          <w:color w:val="000000" w:themeColor="text1"/>
          <w:sz w:val="32"/>
          <w:szCs w:val="32"/>
          <w14:textFill>
            <w14:solidFill>
              <w14:schemeClr w14:val="tx1"/>
            </w14:solidFill>
          </w14:textFill>
        </w:rPr>
        <w:t xml:space="preserve">  备案入库。原则上每个县（区）、国家级和省级新区推荐名额不超过2个，县级市和百万人口大县推荐名额不超过3个（国家级和省级开发区等可单独向所在市州申报，由市州平衡考虑）。2021年初，各县（市、区）人民政府明确中心镇培育数量，将未来5年拟申报为省级百强中心镇的推荐名单，经市（州）按照末位淘汰审核后报联席会议办公室。联席会议办公室组织专家进行筛选，确定备案入库名单。</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第八条</w:t>
      </w:r>
      <w:r>
        <w:rPr>
          <w:rFonts w:ascii="Times New Roman" w:hAnsi="Times New Roman" w:eastAsia="仿宋"/>
          <w:color w:val="000000" w:themeColor="text1"/>
          <w:sz w:val="32"/>
          <w:szCs w:val="32"/>
          <w14:textFill>
            <w14:solidFill>
              <w14:schemeClr w14:val="tx1"/>
            </w14:solidFill>
          </w14:textFill>
        </w:rPr>
        <w:t xml:space="preserve">  区县自评。各县（市、区）人民政府按照《指导意见》和《四川省“省级百强中心镇”建设技术指南》开展培育工作。每年10月前对自评满足省级百强中心镇申报条件和考核验收标准的入库中心镇，由所在县（市、区）人民政府提出考核验收申请。</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第九条</w:t>
      </w:r>
      <w:r>
        <w:rPr>
          <w:rFonts w:ascii="Times New Roman" w:hAnsi="Times New Roman" w:eastAsia="仿宋"/>
          <w:color w:val="000000" w:themeColor="text1"/>
          <w:sz w:val="32"/>
          <w:szCs w:val="32"/>
          <w14:textFill>
            <w14:solidFill>
              <w14:schemeClr w14:val="tx1"/>
            </w14:solidFill>
          </w14:textFill>
        </w:rPr>
        <w:t xml:space="preserve">  市州初评。每年11月前，市（州）人民政府根据县（市、区）推荐名单开展竞争性初评，将初评筛选后省级百强中心镇推荐名单，按照优先顺序推荐至联席会议办公室。原则上每年每个市（州）推荐名额不超过4个。</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第十条</w:t>
      </w:r>
      <w:r>
        <w:rPr>
          <w:rFonts w:ascii="Times New Roman" w:hAnsi="Times New Roman" w:eastAsia="仿宋"/>
          <w:color w:val="000000" w:themeColor="text1"/>
          <w:sz w:val="32"/>
          <w:szCs w:val="32"/>
          <w14:textFill>
            <w14:solidFill>
              <w14:schemeClr w14:val="tx1"/>
            </w14:solidFill>
          </w14:textFill>
        </w:rPr>
        <w:t xml:space="preserve">  考核验收。每年12月前，联席会议办公室会同相关省级部门成立专家评审组，对各市（州）推荐上报的申报材料进行严格审查，采取资料评审与实地核查相结合的方式进行考核验收，</w:t>
      </w:r>
      <w:r>
        <w:rPr>
          <w:rFonts w:ascii="Times New Roman" w:hAnsi="Times New Roman" w:eastAsia="仿宋"/>
          <w:color w:val="000000" w:themeColor="text1"/>
          <w:sz w:val="32"/>
          <w:szCs w:val="32"/>
          <w14:textFill>
            <w14:solidFill>
              <w14:schemeClr w14:val="tx1"/>
            </w14:solidFill>
          </w14:textFill>
        </w:rPr>
        <w:t>按照得分高低情况</w:t>
      </w:r>
      <w:r>
        <w:rPr>
          <w:rFonts w:ascii="Times New Roman" w:hAnsi="Times New Roman" w:eastAsia="仿宋"/>
          <w:color w:val="000000" w:themeColor="text1"/>
          <w:sz w:val="32"/>
          <w:szCs w:val="32"/>
          <w14:textFill>
            <w14:solidFill>
              <w14:schemeClr w14:val="tx1"/>
            </w14:solidFill>
          </w14:textFill>
        </w:rPr>
        <w:t>，每年确定一批省级百强中心镇名单，在征求相关省级部门意见后向社会公示（不少于5个工作日），并按程序报省政府批准后命名为“省级百强中心镇”。</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第十一条</w:t>
      </w:r>
      <w:r>
        <w:rPr>
          <w:rFonts w:ascii="Times New Roman" w:hAnsi="Times New Roman" w:eastAsia="黑体"/>
          <w:color w:val="000000" w:themeColor="text1"/>
          <w:sz w:val="32"/>
          <w:szCs w:val="32"/>
          <w14:textFill>
            <w14:solidFill>
              <w14:schemeClr w14:val="tx1"/>
            </w14:solidFill>
          </w14:textFill>
        </w:rPr>
        <w:t xml:space="preserve">  </w:t>
      </w:r>
      <w:r>
        <w:rPr>
          <w:rFonts w:ascii="Times New Roman" w:hAnsi="Times New Roman" w:eastAsia="仿宋"/>
          <w:color w:val="000000" w:themeColor="text1"/>
          <w:sz w:val="32"/>
          <w:szCs w:val="32"/>
          <w14:textFill>
            <w14:solidFill>
              <w14:schemeClr w14:val="tx1"/>
            </w14:solidFill>
          </w14:textFill>
        </w:rPr>
        <w:t>申报单位应提供以下材料</w:t>
      </w:r>
      <w:r>
        <w:rPr>
          <w:rFonts w:hint="eastAsia" w:ascii="Times New Roman" w:hAnsi="Times New Roman" w:eastAsia="仿宋"/>
          <w:color w:val="000000" w:themeColor="text1"/>
          <w:sz w:val="32"/>
          <w:szCs w:val="32"/>
          <w14:textFill>
            <w14:solidFill>
              <w14:schemeClr w14:val="tx1"/>
            </w14:solidFill>
          </w14:textFill>
        </w:rPr>
        <w:t>（相关表格、方案等材料另文发送）</w:t>
      </w:r>
      <w:r>
        <w:rPr>
          <w:rFonts w:ascii="Times New Roman" w:hAnsi="Times New Roman" w:eastAsia="仿宋"/>
          <w:color w:val="000000" w:themeColor="text1"/>
          <w:sz w:val="32"/>
          <w:szCs w:val="32"/>
          <w14:textFill>
            <w14:solidFill>
              <w14:schemeClr w14:val="tx1"/>
            </w14:solidFill>
          </w14:textFill>
        </w:rPr>
        <w:t>：</w:t>
      </w:r>
    </w:p>
    <w:p>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楷体" w:eastAsia="楷体"/>
          <w:b/>
          <w:color w:val="000000" w:themeColor="text1"/>
          <w:sz w:val="32"/>
          <w:szCs w:val="32"/>
          <w14:textFill>
            <w14:solidFill>
              <w14:schemeClr w14:val="tx1"/>
            </w14:solidFill>
          </w14:textFill>
        </w:rPr>
        <w:t>（一）备案入库阶段</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1.《四川省“省级百强中心镇”备案入库信息表》；</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2.省级百强中心镇培育工作方案（内容主要包括基本情况、特色亮点、潜力评估、下步培育思路及目标、主要任务、保障措施等）。</w:t>
      </w:r>
    </w:p>
    <w:p>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楷体" w:eastAsia="楷体"/>
          <w:b/>
          <w:color w:val="000000" w:themeColor="text1"/>
          <w:sz w:val="32"/>
          <w:szCs w:val="32"/>
          <w14:textFill>
            <w14:solidFill>
              <w14:schemeClr w14:val="tx1"/>
            </w14:solidFill>
          </w14:textFill>
        </w:rPr>
        <w:t>（二）考核验收阶段</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1.《四川省“省级百强中心镇”验收申请表》；</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2.《四川省“省级百强中心镇”考核评分表》及相应佐证资料。</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p>
    <w:p>
      <w:pPr>
        <w:spacing w:line="560" w:lineRule="exact"/>
        <w:jc w:val="center"/>
        <w:rPr>
          <w:rFonts w:ascii="Times New Roman" w:hAnsi="Times New Roman" w:eastAsia="黑体"/>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第四章</w:t>
      </w:r>
      <w:r>
        <w:rPr>
          <w:rFonts w:ascii="Times New Roman" w:hAnsi="Times New Roman" w:eastAsia="黑体"/>
          <w:color w:val="000000" w:themeColor="text1"/>
          <w:sz w:val="32"/>
          <w:szCs w:val="32"/>
          <w14:textFill>
            <w14:solidFill>
              <w14:schemeClr w14:val="tx1"/>
            </w14:solidFill>
          </w14:textFill>
        </w:rPr>
        <w:t xml:space="preserve">  </w:t>
      </w:r>
      <w:r>
        <w:rPr>
          <w:rFonts w:ascii="Times New Roman" w:hAnsi="黑体" w:eastAsia="黑体"/>
          <w:color w:val="000000" w:themeColor="text1"/>
          <w:sz w:val="32"/>
          <w:szCs w:val="32"/>
          <w14:textFill>
            <w14:solidFill>
              <w14:schemeClr w14:val="tx1"/>
            </w14:solidFill>
          </w14:textFill>
        </w:rPr>
        <w:t>监督管理</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第十二条</w:t>
      </w:r>
      <w:r>
        <w:rPr>
          <w:rFonts w:ascii="Times New Roman" w:hAnsi="Times New Roman" w:eastAsia="仿宋"/>
          <w:color w:val="000000" w:themeColor="text1"/>
          <w:sz w:val="32"/>
          <w:szCs w:val="32"/>
          <w14:textFill>
            <w14:solidFill>
              <w14:schemeClr w14:val="tx1"/>
            </w14:solidFill>
          </w14:textFill>
        </w:rPr>
        <w:t xml:space="preserve">  联席会议办公室加强对省级百强中心镇的常态督导和动态管理。各市（州）于每年11月前将省级百强中心镇培育工作开展情况报送联席会议办公室。联席会议办公室采取现场核查、委托第三方抽查等方式，定期对培育成效进行检查。根据各地重视程度、培育速度和质量，因地制宜对省级百强中心镇申报资格进行动态调整，对工作推进不力、不符合培育要求的中心镇予以取消备案入库资格。</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第十三条</w:t>
      </w:r>
      <w:r>
        <w:rPr>
          <w:rFonts w:ascii="Times New Roman" w:hAnsi="Times New Roman" w:eastAsia="仿宋"/>
          <w:color w:val="000000" w:themeColor="text1"/>
          <w:sz w:val="32"/>
          <w:szCs w:val="32"/>
          <w14:textFill>
            <w14:solidFill>
              <w14:schemeClr w14:val="tx1"/>
            </w14:solidFill>
          </w14:textFill>
        </w:rPr>
        <w:t xml:space="preserve">  联席会议办公室每两年对已评选公布的省级百强中心镇进行复核检查，对考评排名前列的省级百强中心镇，加大资金补助等方面支持力度；对工作推进不力、发展滞后的，由联席会议办公室给予限期一年整改；如整改达不到要求的，按程序报请省政府批准后撤销其“省级百强中心镇”称号。</w:t>
      </w:r>
    </w:p>
    <w:p>
      <w:pPr>
        <w:spacing w:line="560" w:lineRule="exact"/>
        <w:ind w:firstLine="640" w:firstLineChars="200"/>
        <w:jc w:val="center"/>
        <w:rPr>
          <w:rFonts w:ascii="Times New Roman" w:hAnsi="Times New Roman" w:eastAsia="仿宋"/>
          <w:color w:val="000000" w:themeColor="text1"/>
          <w:sz w:val="32"/>
          <w:szCs w:val="32"/>
          <w14:textFill>
            <w14:solidFill>
              <w14:schemeClr w14:val="tx1"/>
            </w14:solidFill>
          </w14:textFill>
        </w:rPr>
      </w:pPr>
    </w:p>
    <w:p>
      <w:pPr>
        <w:spacing w:line="560" w:lineRule="exact"/>
        <w:jc w:val="center"/>
        <w:rPr>
          <w:rFonts w:ascii="Times New Roman" w:hAnsi="Times New Roman" w:eastAsia="黑体"/>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第五章</w:t>
      </w:r>
      <w:r>
        <w:rPr>
          <w:rFonts w:ascii="Times New Roman" w:hAnsi="Times New Roman" w:eastAsia="黑体"/>
          <w:color w:val="000000" w:themeColor="text1"/>
          <w:sz w:val="32"/>
          <w:szCs w:val="32"/>
          <w14:textFill>
            <w14:solidFill>
              <w14:schemeClr w14:val="tx1"/>
            </w14:solidFill>
          </w14:textFill>
        </w:rPr>
        <w:t xml:space="preserve">  </w:t>
      </w:r>
      <w:r>
        <w:rPr>
          <w:rFonts w:ascii="Times New Roman" w:hAnsi="黑体" w:eastAsia="黑体"/>
          <w:color w:val="000000" w:themeColor="text1"/>
          <w:sz w:val="32"/>
          <w:szCs w:val="32"/>
          <w14:textFill>
            <w14:solidFill>
              <w14:schemeClr w14:val="tx1"/>
            </w14:solidFill>
          </w14:textFill>
        </w:rPr>
        <w:t>考核指标体系</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第十四条</w:t>
      </w:r>
      <w:r>
        <w:rPr>
          <w:rFonts w:ascii="Times New Roman" w:hAnsi="Times New Roman" w:eastAsia="仿宋"/>
          <w:color w:val="000000" w:themeColor="text1"/>
          <w:sz w:val="32"/>
          <w:szCs w:val="32"/>
          <w14:textFill>
            <w14:solidFill>
              <w14:schemeClr w14:val="tx1"/>
            </w14:solidFill>
          </w14:textFill>
        </w:rPr>
        <w:t xml:space="preserve">  省级百强中心镇考核指标体系包括共性指标、个性指标及满意度评价指标三部分内容，根据考核指标的重要性、难易程度等进行综合赋值，总分为100分。其中共性指标65分（见附表2），个性指标30分（见附表3），满意度评价指标5分（见附表4）。省级百强中心镇认定总得分原则上不得低于80分。另根据所获国家级及省级综合性荣誉称号设置加分项3分。</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第十五条</w:t>
      </w:r>
      <w:r>
        <w:rPr>
          <w:rFonts w:ascii="Times New Roman" w:hAnsi="Times New Roman" w:eastAsia="仿宋"/>
          <w:color w:val="000000" w:themeColor="text1"/>
          <w:sz w:val="32"/>
          <w:szCs w:val="32"/>
          <w14:textFill>
            <w14:solidFill>
              <w14:schemeClr w14:val="tx1"/>
            </w14:solidFill>
          </w14:textFill>
        </w:rPr>
        <w:t xml:space="preserve">  共性指标。共性指标为所有类型中心镇都应具备的基础性指标，对比《指导意见》“6大提升工程”“5项改革措施”，含11个方面共42项指标。各项指标的评分标准采用刚性数据量化与专家现场判断相结合的方式设定。</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第十六条</w:t>
      </w:r>
      <w:r>
        <w:rPr>
          <w:rFonts w:ascii="Times New Roman" w:hAnsi="Times New Roman" w:eastAsia="仿宋"/>
          <w:color w:val="000000" w:themeColor="text1"/>
          <w:sz w:val="32"/>
          <w:szCs w:val="32"/>
          <w14:textFill>
            <w14:solidFill>
              <w14:schemeClr w14:val="tx1"/>
            </w14:solidFill>
          </w14:textFill>
        </w:rPr>
        <w:t xml:space="preserve">  个性指标。个性指标主要针对城市化发展区、农产品主产区和重点生态功能区三种类型的中心镇提供个性化引导。其中城市化发展区含7个方面共14项指标，农产品主产区含6个方面共14项指标，重点生态功能区含7个方面共15项指标。各功能区考核指标侧重不同。</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第十七条</w:t>
      </w:r>
      <w:r>
        <w:rPr>
          <w:rFonts w:ascii="Times New Roman" w:hAnsi="Times New Roman" w:eastAsia="仿宋"/>
          <w:color w:val="000000" w:themeColor="text1"/>
          <w:sz w:val="32"/>
          <w:szCs w:val="32"/>
          <w14:textFill>
            <w14:solidFill>
              <w14:schemeClr w14:val="tx1"/>
            </w14:solidFill>
          </w14:textFill>
        </w:rPr>
        <w:t xml:space="preserve">  满意度评价指标。含城镇建设、生活服务、经济产业、文化保护、社会治理5个方面共10项指标。主要通过网络推广的方式进行民意调查。</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p>
    <w:p>
      <w:pPr>
        <w:spacing w:line="560" w:lineRule="exact"/>
        <w:jc w:val="center"/>
        <w:rPr>
          <w:rFonts w:ascii="Times New Roman" w:hAnsi="Times New Roman" w:eastAsia="黑体"/>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第六章</w:t>
      </w:r>
      <w:r>
        <w:rPr>
          <w:rFonts w:ascii="Times New Roman" w:hAnsi="Times New Roman" w:eastAsia="黑体"/>
          <w:color w:val="000000" w:themeColor="text1"/>
          <w:sz w:val="32"/>
          <w:szCs w:val="32"/>
          <w14:textFill>
            <w14:solidFill>
              <w14:schemeClr w14:val="tx1"/>
            </w14:solidFill>
          </w14:textFill>
        </w:rPr>
        <w:t xml:space="preserve">  </w:t>
      </w:r>
      <w:r>
        <w:rPr>
          <w:rFonts w:ascii="Times New Roman" w:hAnsi="黑体" w:eastAsia="黑体"/>
          <w:color w:val="000000" w:themeColor="text1"/>
          <w:sz w:val="32"/>
          <w:szCs w:val="32"/>
          <w14:textFill>
            <w14:solidFill>
              <w14:schemeClr w14:val="tx1"/>
            </w14:solidFill>
          </w14:textFill>
        </w:rPr>
        <w:t>附</w:t>
      </w:r>
      <w:r>
        <w:rPr>
          <w:rFonts w:ascii="Times New Roman" w:hAnsi="Times New Roman" w:eastAsia="黑体"/>
          <w:color w:val="000000" w:themeColor="text1"/>
          <w:sz w:val="32"/>
          <w:szCs w:val="32"/>
          <w14:textFill>
            <w14:solidFill>
              <w14:schemeClr w14:val="tx1"/>
            </w14:solidFill>
          </w14:textFill>
        </w:rPr>
        <w:t xml:space="preserve">  </w:t>
      </w:r>
      <w:r>
        <w:rPr>
          <w:rFonts w:ascii="Times New Roman" w:hAnsi="黑体" w:eastAsia="黑体"/>
          <w:color w:val="000000" w:themeColor="text1"/>
          <w:sz w:val="32"/>
          <w:szCs w:val="32"/>
          <w14:textFill>
            <w14:solidFill>
              <w14:schemeClr w14:val="tx1"/>
            </w14:solidFill>
          </w14:textFill>
        </w:rPr>
        <w:t>则</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第十八条</w:t>
      </w:r>
      <w:r>
        <w:rPr>
          <w:rFonts w:ascii="Times New Roman" w:hAnsi="Times New Roman" w:eastAsia="黑体"/>
          <w:color w:val="000000" w:themeColor="text1"/>
          <w:sz w:val="32"/>
          <w:szCs w:val="32"/>
          <w14:textFill>
            <w14:solidFill>
              <w14:schemeClr w14:val="tx1"/>
            </w14:solidFill>
          </w14:textFill>
        </w:rPr>
        <w:t xml:space="preserve"> </w:t>
      </w:r>
      <w:r>
        <w:rPr>
          <w:rFonts w:ascii="Times New Roman" w:hAnsi="Times New Roman" w:eastAsia="仿宋"/>
          <w:color w:val="000000" w:themeColor="text1"/>
          <w:sz w:val="32"/>
          <w:szCs w:val="32"/>
          <w14:textFill>
            <w14:solidFill>
              <w14:schemeClr w14:val="tx1"/>
            </w14:solidFill>
          </w14:textFill>
        </w:rPr>
        <w:t>《四川省“省级百强中心镇”建设技术指南》由联席会议办公室另行印发。</w:t>
      </w: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黑体" w:eastAsia="黑体"/>
          <w:color w:val="000000" w:themeColor="text1"/>
          <w:sz w:val="32"/>
          <w:szCs w:val="32"/>
          <w14:textFill>
            <w14:solidFill>
              <w14:schemeClr w14:val="tx1"/>
            </w14:solidFill>
          </w14:textFill>
        </w:rPr>
        <w:t>第十九条</w:t>
      </w:r>
      <w:r>
        <w:rPr>
          <w:rFonts w:ascii="Times New Roman" w:hAnsi="Times New Roman" w:eastAsia="仿宋"/>
          <w:color w:val="000000" w:themeColor="text1"/>
          <w:sz w:val="32"/>
          <w:szCs w:val="32"/>
          <w14:textFill>
            <w14:solidFill>
              <w14:schemeClr w14:val="tx1"/>
            </w14:solidFill>
          </w14:textFill>
        </w:rPr>
        <w:t xml:space="preserve">  本办法由联席会议办公室负责解释。本办法自发布之日起施行。</w:t>
      </w:r>
    </w:p>
    <w:p>
      <w:pPr>
        <w:spacing w:line="560" w:lineRule="exact"/>
        <w:ind w:firstLine="640" w:firstLineChars="200"/>
        <w:rPr>
          <w:rFonts w:ascii="Times New Roman" w:hAnsi="Times New Roman" w:eastAsia="仿宋"/>
          <w:color w:val="000000" w:themeColor="text1"/>
          <w:sz w:val="32"/>
          <w:szCs w:val="32"/>
          <w:lang w:val="zh-CN"/>
          <w14:textFill>
            <w14:solidFill>
              <w14:schemeClr w14:val="tx1"/>
            </w14:solidFill>
          </w14:textFill>
        </w:rPr>
      </w:pPr>
    </w:p>
    <w:p>
      <w:pPr>
        <w:spacing w:line="56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lang w:val="zh-CN"/>
          <w14:textFill>
            <w14:solidFill>
              <w14:schemeClr w14:val="tx1"/>
            </w14:solidFill>
          </w14:textFill>
        </w:rPr>
        <w:t>附表：</w:t>
      </w:r>
      <w:r>
        <w:rPr>
          <w:rFonts w:ascii="Times New Roman" w:hAnsi="Times New Roman" w:eastAsia="仿宋"/>
          <w:color w:val="000000" w:themeColor="text1"/>
          <w:sz w:val="32"/>
          <w:szCs w:val="32"/>
          <w14:textFill>
            <w14:solidFill>
              <w14:schemeClr w14:val="tx1"/>
            </w14:solidFill>
          </w14:textFill>
        </w:rPr>
        <w:t>1.四川省“省级百强中心镇”考核分区表</w:t>
      </w:r>
    </w:p>
    <w:p>
      <w:pPr>
        <w:spacing w:line="560" w:lineRule="exact"/>
        <w:ind w:firstLine="1600" w:firstLineChars="5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2.四川省“省级百强中心镇”考核共性指标</w:t>
      </w:r>
    </w:p>
    <w:p>
      <w:pPr>
        <w:spacing w:line="560" w:lineRule="exact"/>
        <w:ind w:firstLine="1600" w:firstLineChars="5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3.四川省“省级百强中心镇”考核个性指标</w:t>
      </w:r>
    </w:p>
    <w:p>
      <w:pPr>
        <w:pStyle w:val="5"/>
        <w:widowControl/>
        <w:spacing w:beforeAutospacing="0" w:afterAutospacing="0" w:line="600" w:lineRule="exact"/>
        <w:ind w:right="480" w:firstLine="1600" w:firstLineChars="500"/>
        <w:rPr>
          <w:rFonts w:ascii="Times New Roman" w:hAnsi="Times New Roman" w:eastAsia="仿宋"/>
          <w:color w:val="000000" w:themeColor="text1"/>
          <w:sz w:val="32"/>
          <w:szCs w:val="32"/>
          <w14:textFill>
            <w14:solidFill>
              <w14:schemeClr w14:val="tx1"/>
            </w14:solidFill>
          </w14:textFill>
        </w:rPr>
        <w:sectPr>
          <w:pgSz w:w="11906" w:h="16838"/>
          <w:pgMar w:top="2098" w:right="1474" w:bottom="1417" w:left="1587" w:header="851" w:footer="992" w:gutter="0"/>
          <w:cols w:space="425" w:num="1"/>
          <w:docGrid w:type="lines" w:linePitch="312" w:charSpace="0"/>
        </w:sectPr>
      </w:pPr>
      <w:r>
        <w:rPr>
          <w:rFonts w:ascii="Times New Roman" w:hAnsi="Times New Roman" w:eastAsia="仿宋"/>
          <w:color w:val="000000" w:themeColor="text1"/>
          <w:sz w:val="32"/>
          <w:szCs w:val="32"/>
          <w14:textFill>
            <w14:solidFill>
              <w14:schemeClr w14:val="tx1"/>
            </w14:solidFill>
          </w14:textFill>
        </w:rPr>
        <w:t>4.四川省“省级百强中心镇”考核满意度评价指标</w:t>
      </w:r>
    </w:p>
    <w:p>
      <w:pPr>
        <w:spacing w:line="60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附表1</w:t>
      </w:r>
    </w:p>
    <w:p>
      <w:pPr>
        <w:spacing w:line="600" w:lineRule="exact"/>
        <w:ind w:firstLine="880"/>
        <w:jc w:val="center"/>
        <w:rPr>
          <w:rFonts w:ascii="Times New Roman" w:hAnsi="Times New Roman" w:eastAsia="方正小标宋简体"/>
          <w:color w:val="000000" w:themeColor="text1"/>
          <w:sz w:val="44"/>
          <w:szCs w:val="44"/>
          <w14:textFill>
            <w14:solidFill>
              <w14:schemeClr w14:val="tx1"/>
            </w14:solidFill>
          </w14:textFill>
        </w:rPr>
      </w:pPr>
      <w:r>
        <w:rPr>
          <w:rFonts w:ascii="Times New Roman" w:hAnsi="Times New Roman" w:eastAsia="方正小标宋简体"/>
          <w:color w:val="000000" w:themeColor="text1"/>
          <w:sz w:val="44"/>
          <w:szCs w:val="44"/>
          <w14:textFill>
            <w14:solidFill>
              <w14:schemeClr w14:val="tx1"/>
            </w14:solidFill>
          </w14:textFill>
        </w:rPr>
        <w:t>四川省“省级百强中心镇”考核分区表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7"/>
        <w:gridCol w:w="4980"/>
        <w:gridCol w:w="3309"/>
        <w:gridCol w:w="5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317" w:type="dxa"/>
            <w:vAlign w:val="center"/>
          </w:tcPr>
          <w:p>
            <w:pPr>
              <w:pStyle w:val="11"/>
              <w:spacing w:line="360" w:lineRule="exact"/>
              <w:rPr>
                <w:rFonts w:ascii="Times New Roman" w:hAnsi="Times New Roman" w:eastAsia="仿宋" w:cs="Times New Roman"/>
                <w:b/>
                <w:color w:val="000000" w:themeColor="text1"/>
                <w14:textFill>
                  <w14:solidFill>
                    <w14:schemeClr w14:val="tx1"/>
                  </w14:solidFill>
                </w14:textFill>
              </w:rPr>
            </w:pPr>
            <w:r>
              <w:rPr>
                <w:rFonts w:ascii="Times New Roman" w:hAnsi="Times New Roman" w:eastAsia="仿宋" w:cs="Times New Roman"/>
                <w:b/>
                <w:color w:val="000000" w:themeColor="text1"/>
                <w14:textFill>
                  <w14:solidFill>
                    <w14:schemeClr w14:val="tx1"/>
                  </w14:solidFill>
                </w14:textFill>
              </w:rPr>
              <w:t>市（州）</w:t>
            </w:r>
          </w:p>
        </w:tc>
        <w:tc>
          <w:tcPr>
            <w:tcW w:w="4980" w:type="dxa"/>
            <w:vAlign w:val="center"/>
          </w:tcPr>
          <w:p>
            <w:pPr>
              <w:pStyle w:val="11"/>
              <w:spacing w:line="360" w:lineRule="exact"/>
              <w:ind w:firstLine="640"/>
              <w:rPr>
                <w:rFonts w:ascii="Times New Roman" w:hAnsi="Times New Roman" w:eastAsia="仿宋" w:cs="Times New Roman"/>
                <w:b/>
                <w:color w:val="000000" w:themeColor="text1"/>
                <w14:textFill>
                  <w14:solidFill>
                    <w14:schemeClr w14:val="tx1"/>
                  </w14:solidFill>
                </w14:textFill>
              </w:rPr>
            </w:pPr>
            <w:r>
              <w:rPr>
                <w:rFonts w:ascii="Times New Roman" w:hAnsi="Times New Roman" w:eastAsia="仿宋" w:cs="Times New Roman"/>
                <w:b/>
                <w:color w:val="000000" w:themeColor="text1"/>
                <w14:textFill>
                  <w14:solidFill>
                    <w14:schemeClr w14:val="tx1"/>
                  </w14:solidFill>
                </w14:textFill>
              </w:rPr>
              <w:t>城市化发展区（90个）</w:t>
            </w:r>
          </w:p>
        </w:tc>
        <w:tc>
          <w:tcPr>
            <w:tcW w:w="3309" w:type="dxa"/>
            <w:vAlign w:val="center"/>
          </w:tcPr>
          <w:p>
            <w:pPr>
              <w:pStyle w:val="11"/>
              <w:spacing w:line="360" w:lineRule="exact"/>
              <w:rPr>
                <w:rFonts w:ascii="Times New Roman" w:hAnsi="Times New Roman" w:eastAsia="仿宋" w:cs="Times New Roman"/>
                <w:b/>
                <w:color w:val="000000" w:themeColor="text1"/>
                <w14:textFill>
                  <w14:solidFill>
                    <w14:schemeClr w14:val="tx1"/>
                  </w14:solidFill>
                </w14:textFill>
              </w:rPr>
            </w:pPr>
            <w:r>
              <w:rPr>
                <w:rFonts w:ascii="Times New Roman" w:hAnsi="Times New Roman" w:eastAsia="仿宋" w:cs="Times New Roman"/>
                <w:b/>
                <w:color w:val="000000" w:themeColor="text1"/>
                <w14:textFill>
                  <w14:solidFill>
                    <w14:schemeClr w14:val="tx1"/>
                  </w14:solidFill>
                </w14:textFill>
              </w:rPr>
              <w:t>农产品主产区（35个）</w:t>
            </w:r>
          </w:p>
        </w:tc>
        <w:tc>
          <w:tcPr>
            <w:tcW w:w="5386" w:type="dxa"/>
            <w:vAlign w:val="center"/>
          </w:tcPr>
          <w:p>
            <w:pPr>
              <w:pStyle w:val="11"/>
              <w:spacing w:line="360" w:lineRule="exact"/>
              <w:ind w:firstLine="640"/>
              <w:rPr>
                <w:rFonts w:ascii="Times New Roman" w:hAnsi="Times New Roman" w:eastAsia="仿宋" w:cs="Times New Roman"/>
                <w:b/>
                <w:color w:val="000000" w:themeColor="text1"/>
                <w14:textFill>
                  <w14:solidFill>
                    <w14:schemeClr w14:val="tx1"/>
                  </w14:solidFill>
                </w14:textFill>
              </w:rPr>
            </w:pPr>
            <w:r>
              <w:rPr>
                <w:rFonts w:ascii="Times New Roman" w:hAnsi="Times New Roman" w:eastAsia="仿宋" w:cs="Times New Roman"/>
                <w:b/>
                <w:color w:val="000000" w:themeColor="text1"/>
                <w14:textFill>
                  <w14:solidFill>
                    <w14:schemeClr w14:val="tx1"/>
                  </w14:solidFill>
                </w14:textFill>
              </w:rPr>
              <w:t>重点生态功能区（58个）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成都市</w:t>
            </w:r>
          </w:p>
        </w:tc>
        <w:tc>
          <w:tcPr>
            <w:tcW w:w="4980" w:type="dxa"/>
            <w:vAlign w:val="center"/>
          </w:tcPr>
          <w:p>
            <w:pPr>
              <w:pStyle w:val="11"/>
              <w:spacing w:line="360" w:lineRule="exact"/>
              <w:jc w:val="lef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锦江区、青羊区、金牛区、武侯区、成华区、龙泉驿区、青白江区、新都区、温江区、双流区、郫都区、都江堰市、彭州市、邛崃市、崇州市、简阳市、金堂县、大邑县、蒲江县、新津区</w:t>
            </w:r>
          </w:p>
        </w:tc>
        <w:tc>
          <w:tcPr>
            <w:tcW w:w="3309" w:type="dxa"/>
            <w:vAlign w:val="center"/>
          </w:tcPr>
          <w:p>
            <w:pPr>
              <w:pStyle w:val="11"/>
              <w:spacing w:line="360" w:lineRule="exact"/>
              <w:ind w:firstLine="640"/>
              <w:rPr>
                <w:rFonts w:ascii="Times New Roman" w:hAnsi="Times New Roman" w:eastAsia="仿宋" w:cs="Times New Roman"/>
                <w:color w:val="000000" w:themeColor="text1"/>
                <w14:textFill>
                  <w14:solidFill>
                    <w14:schemeClr w14:val="tx1"/>
                  </w14:solidFill>
                </w14:textFill>
              </w:rPr>
            </w:pPr>
          </w:p>
        </w:tc>
        <w:tc>
          <w:tcPr>
            <w:tcW w:w="5386" w:type="dxa"/>
            <w:vAlign w:val="center"/>
          </w:tcPr>
          <w:p>
            <w:pPr>
              <w:pStyle w:val="11"/>
              <w:spacing w:line="360" w:lineRule="exact"/>
              <w:ind w:firstLine="640"/>
              <w:rPr>
                <w:rFonts w:ascii="Times New Roman" w:hAnsi="Times New Roman" w:eastAsia="仿宋"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自贡市</w:t>
            </w:r>
          </w:p>
        </w:tc>
        <w:tc>
          <w:tcPr>
            <w:tcW w:w="4980"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自流井区、贡井区、大安区、沿滩区、富顺县</w:t>
            </w:r>
          </w:p>
        </w:tc>
        <w:tc>
          <w:tcPr>
            <w:tcW w:w="3309"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荣县</w:t>
            </w:r>
          </w:p>
        </w:tc>
        <w:tc>
          <w:tcPr>
            <w:tcW w:w="5386" w:type="dxa"/>
            <w:vAlign w:val="center"/>
          </w:tcPr>
          <w:p>
            <w:pPr>
              <w:pStyle w:val="11"/>
              <w:spacing w:line="360" w:lineRule="exact"/>
              <w:ind w:firstLine="640"/>
              <w:rPr>
                <w:rFonts w:ascii="Times New Roman" w:hAnsi="Times New Roman" w:eastAsia="仿宋"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攀枝花</w:t>
            </w:r>
          </w:p>
        </w:tc>
        <w:tc>
          <w:tcPr>
            <w:tcW w:w="4980"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东区、西区、仁和区、盐边县</w:t>
            </w:r>
          </w:p>
        </w:tc>
        <w:tc>
          <w:tcPr>
            <w:tcW w:w="3309"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米易县</w:t>
            </w:r>
          </w:p>
        </w:tc>
        <w:tc>
          <w:tcPr>
            <w:tcW w:w="5386" w:type="dxa"/>
            <w:vAlign w:val="center"/>
          </w:tcPr>
          <w:p>
            <w:pPr>
              <w:pStyle w:val="11"/>
              <w:spacing w:line="360" w:lineRule="exact"/>
              <w:ind w:firstLine="640"/>
              <w:rPr>
                <w:rFonts w:ascii="Times New Roman" w:hAnsi="Times New Roman" w:eastAsia="仿宋"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泸州市</w:t>
            </w:r>
          </w:p>
        </w:tc>
        <w:tc>
          <w:tcPr>
            <w:tcW w:w="4980"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江阳区、龙马潭区、纳溪区、泸县、合江县</w:t>
            </w:r>
          </w:p>
        </w:tc>
        <w:tc>
          <w:tcPr>
            <w:tcW w:w="3309"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叙永县、古蔺县</w:t>
            </w:r>
          </w:p>
        </w:tc>
        <w:tc>
          <w:tcPr>
            <w:tcW w:w="5386" w:type="dxa"/>
            <w:vAlign w:val="center"/>
          </w:tcPr>
          <w:p>
            <w:pPr>
              <w:pStyle w:val="11"/>
              <w:spacing w:line="360" w:lineRule="exact"/>
              <w:ind w:firstLine="640"/>
              <w:rPr>
                <w:rFonts w:ascii="Times New Roman" w:hAnsi="Times New Roman" w:eastAsia="仿宋"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德阳市</w:t>
            </w:r>
          </w:p>
        </w:tc>
        <w:tc>
          <w:tcPr>
            <w:tcW w:w="4980"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旌阳区、罗江区、广汉市、什邡市、绵竹市</w:t>
            </w:r>
          </w:p>
        </w:tc>
        <w:tc>
          <w:tcPr>
            <w:tcW w:w="3309"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中江县</w:t>
            </w:r>
          </w:p>
        </w:tc>
        <w:tc>
          <w:tcPr>
            <w:tcW w:w="5386" w:type="dxa"/>
            <w:vAlign w:val="center"/>
          </w:tcPr>
          <w:p>
            <w:pPr>
              <w:pStyle w:val="11"/>
              <w:spacing w:line="360" w:lineRule="exact"/>
              <w:ind w:firstLine="640"/>
              <w:rPr>
                <w:rFonts w:ascii="Times New Roman" w:hAnsi="Times New Roman" w:eastAsia="仿宋"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绵阳市</w:t>
            </w:r>
          </w:p>
        </w:tc>
        <w:tc>
          <w:tcPr>
            <w:tcW w:w="4980"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涪城区、游仙区、安州区、江油市</w:t>
            </w:r>
          </w:p>
        </w:tc>
        <w:tc>
          <w:tcPr>
            <w:tcW w:w="3309"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梓潼县、三台县、盐亭县</w:t>
            </w:r>
          </w:p>
        </w:tc>
        <w:tc>
          <w:tcPr>
            <w:tcW w:w="5386"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平武县、北川县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广元市</w:t>
            </w:r>
          </w:p>
        </w:tc>
        <w:tc>
          <w:tcPr>
            <w:tcW w:w="4980"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利州区、昭化区、朝天区</w:t>
            </w:r>
          </w:p>
        </w:tc>
        <w:tc>
          <w:tcPr>
            <w:tcW w:w="3309"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剑阁县、苍溪县</w:t>
            </w:r>
          </w:p>
        </w:tc>
        <w:tc>
          <w:tcPr>
            <w:tcW w:w="5386"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旺苍县、青川县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遂宁市</w:t>
            </w:r>
          </w:p>
        </w:tc>
        <w:tc>
          <w:tcPr>
            <w:tcW w:w="4980"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船山区、安居区、射洪市、大英县</w:t>
            </w:r>
          </w:p>
        </w:tc>
        <w:tc>
          <w:tcPr>
            <w:tcW w:w="3309"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蓬溪县</w:t>
            </w:r>
          </w:p>
        </w:tc>
        <w:tc>
          <w:tcPr>
            <w:tcW w:w="5386" w:type="dxa"/>
            <w:vAlign w:val="center"/>
          </w:tcPr>
          <w:p>
            <w:pPr>
              <w:pStyle w:val="11"/>
              <w:spacing w:line="360" w:lineRule="exact"/>
              <w:ind w:firstLine="640"/>
              <w:rPr>
                <w:rFonts w:ascii="Times New Roman" w:hAnsi="Times New Roman" w:eastAsia="仿宋"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内江市</w:t>
            </w:r>
          </w:p>
        </w:tc>
        <w:tc>
          <w:tcPr>
            <w:tcW w:w="4980"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市中区、东兴区、威远县、隆昌市</w:t>
            </w:r>
          </w:p>
        </w:tc>
        <w:tc>
          <w:tcPr>
            <w:tcW w:w="3309"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资中县</w:t>
            </w:r>
          </w:p>
        </w:tc>
        <w:tc>
          <w:tcPr>
            <w:tcW w:w="5386" w:type="dxa"/>
            <w:vAlign w:val="center"/>
          </w:tcPr>
          <w:p>
            <w:pPr>
              <w:pStyle w:val="11"/>
              <w:spacing w:line="360" w:lineRule="exact"/>
              <w:ind w:firstLine="640"/>
              <w:rPr>
                <w:rFonts w:ascii="Times New Roman" w:hAnsi="Times New Roman" w:eastAsia="仿宋"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乐山市</w:t>
            </w:r>
          </w:p>
        </w:tc>
        <w:tc>
          <w:tcPr>
            <w:tcW w:w="4980"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市中区、五通桥区、沙湾区、夹江县、峨眉山市、</w:t>
            </w:r>
          </w:p>
          <w:p>
            <w:pPr>
              <w:pStyle w:val="11"/>
              <w:spacing w:line="360" w:lineRule="exact"/>
              <w:jc w:val="lef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犍为县</w:t>
            </w:r>
          </w:p>
        </w:tc>
        <w:tc>
          <w:tcPr>
            <w:tcW w:w="3309"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井研县</w:t>
            </w:r>
          </w:p>
        </w:tc>
        <w:tc>
          <w:tcPr>
            <w:tcW w:w="5386"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金口河区、沐川县、峨边县、马边县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南充市</w:t>
            </w:r>
          </w:p>
        </w:tc>
        <w:tc>
          <w:tcPr>
            <w:tcW w:w="4980"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顺庆区、高坪区、嘉陵区、阆中市、南部县</w:t>
            </w:r>
          </w:p>
        </w:tc>
        <w:tc>
          <w:tcPr>
            <w:tcW w:w="3309"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西充县、仪陇县、营山县、蓬安县</w:t>
            </w:r>
          </w:p>
        </w:tc>
        <w:tc>
          <w:tcPr>
            <w:tcW w:w="5386" w:type="dxa"/>
            <w:vAlign w:val="center"/>
          </w:tcPr>
          <w:p>
            <w:pPr>
              <w:pStyle w:val="11"/>
              <w:spacing w:line="360" w:lineRule="exact"/>
              <w:ind w:firstLine="640"/>
              <w:rPr>
                <w:rFonts w:ascii="Times New Roman" w:hAnsi="Times New Roman" w:eastAsia="仿宋"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宜宾市</w:t>
            </w:r>
          </w:p>
        </w:tc>
        <w:tc>
          <w:tcPr>
            <w:tcW w:w="4980"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翠屏区、南溪区、叙州区、江安县</w:t>
            </w:r>
          </w:p>
        </w:tc>
        <w:tc>
          <w:tcPr>
            <w:tcW w:w="3309" w:type="dxa"/>
            <w:vAlign w:val="center"/>
          </w:tcPr>
          <w:p>
            <w:pPr>
              <w:pStyle w:val="11"/>
              <w:spacing w:line="360" w:lineRule="exact"/>
              <w:jc w:val="lef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长宁县、高县、珙县、筠连县、兴文县</w:t>
            </w:r>
          </w:p>
        </w:tc>
        <w:tc>
          <w:tcPr>
            <w:tcW w:w="5386"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屏山县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广安市</w:t>
            </w:r>
          </w:p>
        </w:tc>
        <w:tc>
          <w:tcPr>
            <w:tcW w:w="4980"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广安区、前锋区、华蓥市、武胜县</w:t>
            </w:r>
          </w:p>
        </w:tc>
        <w:tc>
          <w:tcPr>
            <w:tcW w:w="3309"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岳池县、邻水县</w:t>
            </w:r>
          </w:p>
        </w:tc>
        <w:tc>
          <w:tcPr>
            <w:tcW w:w="5386" w:type="dxa"/>
            <w:vAlign w:val="center"/>
          </w:tcPr>
          <w:p>
            <w:pPr>
              <w:pStyle w:val="11"/>
              <w:spacing w:line="360" w:lineRule="exact"/>
              <w:ind w:firstLine="640"/>
              <w:rPr>
                <w:rFonts w:ascii="Times New Roman" w:hAnsi="Times New Roman" w:eastAsia="仿宋"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达州市</w:t>
            </w:r>
          </w:p>
        </w:tc>
        <w:tc>
          <w:tcPr>
            <w:tcW w:w="4980"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通川区、达川区、大竹县</w:t>
            </w:r>
          </w:p>
        </w:tc>
        <w:tc>
          <w:tcPr>
            <w:tcW w:w="3309"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宣汉县、开江县、渠县</w:t>
            </w:r>
          </w:p>
        </w:tc>
        <w:tc>
          <w:tcPr>
            <w:tcW w:w="5386"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万源市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巴中市</w:t>
            </w:r>
          </w:p>
        </w:tc>
        <w:tc>
          <w:tcPr>
            <w:tcW w:w="4980"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巴州区、恩阳区</w:t>
            </w:r>
          </w:p>
        </w:tc>
        <w:tc>
          <w:tcPr>
            <w:tcW w:w="3309"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平昌县</w:t>
            </w:r>
          </w:p>
        </w:tc>
        <w:tc>
          <w:tcPr>
            <w:tcW w:w="5386"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通江县、南江县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雅安市</w:t>
            </w:r>
          </w:p>
        </w:tc>
        <w:tc>
          <w:tcPr>
            <w:tcW w:w="4980"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雨城区、名山区、荥经县</w:t>
            </w:r>
          </w:p>
        </w:tc>
        <w:tc>
          <w:tcPr>
            <w:tcW w:w="3309"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汉源县、芦山县</w:t>
            </w:r>
          </w:p>
        </w:tc>
        <w:tc>
          <w:tcPr>
            <w:tcW w:w="5386"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天全县、宝兴县、石棉县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眉山市</w:t>
            </w:r>
          </w:p>
        </w:tc>
        <w:tc>
          <w:tcPr>
            <w:tcW w:w="4980"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东坡区、彭山区、丹棱县、青神县、仁寿县</w:t>
            </w:r>
          </w:p>
        </w:tc>
        <w:tc>
          <w:tcPr>
            <w:tcW w:w="3309"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洪雅县</w:t>
            </w:r>
          </w:p>
        </w:tc>
        <w:tc>
          <w:tcPr>
            <w:tcW w:w="5386" w:type="dxa"/>
            <w:vAlign w:val="center"/>
          </w:tcPr>
          <w:p>
            <w:pPr>
              <w:pStyle w:val="11"/>
              <w:spacing w:line="360" w:lineRule="exact"/>
              <w:ind w:firstLine="640"/>
              <w:rPr>
                <w:rFonts w:ascii="Times New Roman" w:hAnsi="Times New Roman" w:eastAsia="仿宋"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资阳市</w:t>
            </w:r>
          </w:p>
        </w:tc>
        <w:tc>
          <w:tcPr>
            <w:tcW w:w="4980"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雁江区</w:t>
            </w:r>
          </w:p>
        </w:tc>
        <w:tc>
          <w:tcPr>
            <w:tcW w:w="3309"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安岳县、乐至县</w:t>
            </w:r>
          </w:p>
        </w:tc>
        <w:tc>
          <w:tcPr>
            <w:tcW w:w="5386" w:type="dxa"/>
            <w:vAlign w:val="center"/>
          </w:tcPr>
          <w:p>
            <w:pPr>
              <w:pStyle w:val="11"/>
              <w:spacing w:line="360" w:lineRule="exact"/>
              <w:ind w:firstLine="640"/>
              <w:rPr>
                <w:rFonts w:ascii="Times New Roman" w:hAnsi="Times New Roman" w:eastAsia="仿宋"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阿坝州</w:t>
            </w:r>
          </w:p>
        </w:tc>
        <w:tc>
          <w:tcPr>
            <w:tcW w:w="4980" w:type="dxa"/>
            <w:vAlign w:val="center"/>
          </w:tcPr>
          <w:p>
            <w:pPr>
              <w:pStyle w:val="11"/>
              <w:spacing w:line="360" w:lineRule="exact"/>
              <w:ind w:firstLine="640"/>
              <w:rPr>
                <w:rFonts w:ascii="Times New Roman" w:hAnsi="Times New Roman" w:eastAsia="仿宋" w:cs="Times New Roman"/>
                <w:color w:val="000000" w:themeColor="text1"/>
                <w14:textFill>
                  <w14:solidFill>
                    <w14:schemeClr w14:val="tx1"/>
                  </w14:solidFill>
                </w14:textFill>
              </w:rPr>
            </w:pPr>
          </w:p>
        </w:tc>
        <w:tc>
          <w:tcPr>
            <w:tcW w:w="3309" w:type="dxa"/>
            <w:vAlign w:val="center"/>
          </w:tcPr>
          <w:p>
            <w:pPr>
              <w:pStyle w:val="11"/>
              <w:spacing w:line="360" w:lineRule="exact"/>
              <w:ind w:firstLine="640"/>
              <w:rPr>
                <w:rFonts w:ascii="Times New Roman" w:hAnsi="Times New Roman" w:eastAsia="仿宋" w:cs="Times New Roman"/>
                <w:color w:val="000000" w:themeColor="text1"/>
                <w14:textFill>
                  <w14:solidFill>
                    <w14:schemeClr w14:val="tx1"/>
                  </w14:solidFill>
                </w14:textFill>
              </w:rPr>
            </w:pPr>
          </w:p>
        </w:tc>
        <w:tc>
          <w:tcPr>
            <w:tcW w:w="5386" w:type="dxa"/>
            <w:vAlign w:val="center"/>
          </w:tcPr>
          <w:p>
            <w:pPr>
              <w:pStyle w:val="11"/>
              <w:spacing w:line="360" w:lineRule="exact"/>
              <w:jc w:val="lef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马尔康市、汶川县、理县、茂县、松潘县、九寨沟县、金川县、小金县、黑水县、壤塘县、阿坝县、若尔盖县、红原县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甘孜州</w:t>
            </w:r>
          </w:p>
        </w:tc>
        <w:tc>
          <w:tcPr>
            <w:tcW w:w="4980" w:type="dxa"/>
            <w:vAlign w:val="center"/>
          </w:tcPr>
          <w:p>
            <w:pPr>
              <w:pStyle w:val="11"/>
              <w:spacing w:line="360" w:lineRule="exact"/>
              <w:ind w:firstLine="640"/>
              <w:rPr>
                <w:rFonts w:ascii="Times New Roman" w:hAnsi="Times New Roman" w:eastAsia="仿宋" w:cs="Times New Roman"/>
                <w:color w:val="000000" w:themeColor="text1"/>
                <w14:textFill>
                  <w14:solidFill>
                    <w14:schemeClr w14:val="tx1"/>
                  </w14:solidFill>
                </w14:textFill>
              </w:rPr>
            </w:pPr>
          </w:p>
        </w:tc>
        <w:tc>
          <w:tcPr>
            <w:tcW w:w="3309" w:type="dxa"/>
            <w:vAlign w:val="center"/>
          </w:tcPr>
          <w:p>
            <w:pPr>
              <w:pStyle w:val="11"/>
              <w:spacing w:line="360" w:lineRule="exact"/>
              <w:ind w:firstLine="640"/>
              <w:rPr>
                <w:rFonts w:ascii="Times New Roman" w:hAnsi="Times New Roman" w:eastAsia="仿宋" w:cs="Times New Roman"/>
                <w:color w:val="000000" w:themeColor="text1"/>
                <w14:textFill>
                  <w14:solidFill>
                    <w14:schemeClr w14:val="tx1"/>
                  </w14:solidFill>
                </w14:textFill>
              </w:rPr>
            </w:pPr>
          </w:p>
        </w:tc>
        <w:tc>
          <w:tcPr>
            <w:tcW w:w="5386" w:type="dxa"/>
            <w:vAlign w:val="center"/>
          </w:tcPr>
          <w:p>
            <w:pPr>
              <w:pStyle w:val="11"/>
              <w:spacing w:line="360" w:lineRule="exact"/>
              <w:jc w:val="lef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康定市、泸定县、丹巴县、九龙县、雅江县、道孚县、炉霍县、甘孜县、新龙县、德格县、白玉县、石渠县、色达县、理塘县、巴塘县、乡城县、稻城县、得荣县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17"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凉山州</w:t>
            </w:r>
          </w:p>
        </w:tc>
        <w:tc>
          <w:tcPr>
            <w:tcW w:w="4980"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西昌市、冕宁县、会理县</w:t>
            </w:r>
          </w:p>
        </w:tc>
        <w:tc>
          <w:tcPr>
            <w:tcW w:w="3309" w:type="dxa"/>
            <w:vAlign w:val="center"/>
          </w:tcPr>
          <w:p>
            <w:pPr>
              <w:pStyle w:val="11"/>
              <w:spacing w:line="360" w:lineRule="exac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会东县、德昌县</w:t>
            </w:r>
          </w:p>
        </w:tc>
        <w:tc>
          <w:tcPr>
            <w:tcW w:w="5386" w:type="dxa"/>
            <w:vAlign w:val="center"/>
          </w:tcPr>
          <w:p>
            <w:pPr>
              <w:pStyle w:val="11"/>
              <w:spacing w:line="360" w:lineRule="exact"/>
              <w:jc w:val="lef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木里县、盐源县、宁南县、普格县、布拖县、金阳县、昭觉县、喜德县、越西县、甘洛县、美姑县、雷波县</w:t>
            </w:r>
          </w:p>
        </w:tc>
      </w:tr>
    </w:tbl>
    <w:p>
      <w:pPr>
        <w:spacing w:line="540" w:lineRule="exact"/>
        <w:ind w:firstLine="640"/>
        <w:rPr>
          <w:rFonts w:ascii="Times New Roman" w:hAnsi="Times New Roman" w:eastAsia="仿宋_GB2312"/>
          <w:color w:val="000000" w:themeColor="text1"/>
          <w:szCs w:val="32"/>
          <w14:textFill>
            <w14:solidFill>
              <w14:schemeClr w14:val="tx1"/>
            </w14:solidFill>
          </w14:textFill>
        </w:rPr>
        <w:sectPr>
          <w:pgSz w:w="16838" w:h="11906" w:orient="landscape"/>
          <w:pgMar w:top="2098" w:right="1474" w:bottom="1985" w:left="1588" w:header="851" w:footer="992" w:gutter="0"/>
          <w:cols w:space="720" w:num="1"/>
          <w:docGrid w:type="lines" w:linePitch="435" w:charSpace="0"/>
        </w:sectPr>
      </w:pPr>
    </w:p>
    <w:p>
      <w:pPr>
        <w:spacing w:line="54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 xml:space="preserve">附表2 </w:t>
      </w:r>
    </w:p>
    <w:p>
      <w:pPr>
        <w:spacing w:line="600" w:lineRule="exact"/>
        <w:jc w:val="center"/>
        <w:rPr>
          <w:rFonts w:ascii="Times New Roman" w:hAnsi="Times New Roman" w:eastAsia="方正小标宋简体"/>
          <w:bCs/>
          <w:color w:val="000000" w:themeColor="text1"/>
          <w:sz w:val="44"/>
          <w:szCs w:val="44"/>
          <w14:textFill>
            <w14:solidFill>
              <w14:schemeClr w14:val="tx1"/>
            </w14:solidFill>
          </w14:textFill>
        </w:rPr>
      </w:pPr>
      <w:r>
        <w:rPr>
          <w:rFonts w:ascii="Times New Roman" w:hAnsi="Times New Roman" w:eastAsia="方正小标宋简体"/>
          <w:bCs/>
          <w:color w:val="000000" w:themeColor="text1"/>
          <w:sz w:val="44"/>
          <w:szCs w:val="44"/>
          <w14:textFill>
            <w14:solidFill>
              <w14:schemeClr w14:val="tx1"/>
            </w14:solidFill>
          </w14:textFill>
        </w:rPr>
        <w:t>四川省</w:t>
      </w:r>
      <w:r>
        <w:rPr>
          <w:rFonts w:ascii="Times New Roman" w:hAnsi="Times New Roman" w:eastAsia="方正小标宋简体"/>
          <w:color w:val="000000" w:themeColor="text1"/>
          <w:sz w:val="44"/>
          <w:szCs w:val="44"/>
          <w14:textFill>
            <w14:solidFill>
              <w14:schemeClr w14:val="tx1"/>
            </w14:solidFill>
          </w14:textFill>
        </w:rPr>
        <w:t>“省级百强中心镇”</w:t>
      </w:r>
      <w:r>
        <w:rPr>
          <w:rFonts w:ascii="Times New Roman" w:hAnsi="Times New Roman" w:eastAsia="方正小标宋简体"/>
          <w:bCs/>
          <w:color w:val="000000" w:themeColor="text1"/>
          <w:sz w:val="44"/>
          <w:szCs w:val="44"/>
          <w14:textFill>
            <w14:solidFill>
              <w14:schemeClr w14:val="tx1"/>
            </w14:solidFill>
          </w14:textFill>
        </w:rPr>
        <w:t>考核共性指标（65分）</w:t>
      </w:r>
    </w:p>
    <w:p>
      <w:pPr>
        <w:pStyle w:val="11"/>
        <w:ind w:firstLine="640"/>
        <w:jc w:val="left"/>
        <w:rPr>
          <w:rFonts w:ascii="Times New Roman" w:hAnsi="Times New Roman" w:cs="Times New Roman"/>
          <w:color w:val="000000" w:themeColor="text1"/>
          <w:szCs w:val="21"/>
          <w14:textFill>
            <w14:solidFill>
              <w14:schemeClr w14:val="tx1"/>
            </w14:solidFill>
          </w14:textFill>
        </w:rPr>
      </w:pPr>
    </w:p>
    <w:tbl>
      <w:tblPr>
        <w:tblStyle w:val="6"/>
        <w:tblW w:w="15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1145"/>
        <w:gridCol w:w="700"/>
        <w:gridCol w:w="1735"/>
        <w:gridCol w:w="615"/>
        <w:gridCol w:w="7035"/>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1129" w:type="dxa"/>
            <w:tcMar>
              <w:top w:w="15" w:type="dxa"/>
              <w:left w:w="15" w:type="dxa"/>
              <w:right w:w="15" w:type="dxa"/>
            </w:tcMar>
            <w:vAlign w:val="center"/>
          </w:tcPr>
          <w:p>
            <w:pPr>
              <w:pStyle w:val="11"/>
              <w:spacing w:line="360" w:lineRule="exact"/>
              <w:rPr>
                <w:rFonts w:ascii="Times New Roman" w:hAnsi="Times New Roman" w:eastAsia="仿宋" w:cs="Times New Roman"/>
                <w:b/>
                <w:bCs/>
                <w:color w:val="000000" w:themeColor="text1"/>
                <w:szCs w:val="21"/>
                <w14:textFill>
                  <w14:solidFill>
                    <w14:schemeClr w14:val="tx1"/>
                  </w14:solidFill>
                </w14:textFill>
              </w:rPr>
            </w:pPr>
            <w:r>
              <w:rPr>
                <w:rFonts w:ascii="Times New Roman" w:hAnsi="Times New Roman" w:eastAsia="仿宋" w:cs="Times New Roman"/>
                <w:b/>
                <w:bCs/>
                <w:color w:val="000000" w:themeColor="text1"/>
                <w:szCs w:val="21"/>
                <w14:textFill>
                  <w14:solidFill>
                    <w14:schemeClr w14:val="tx1"/>
                  </w14:solidFill>
                </w14:textFill>
              </w:rPr>
              <w:t>考核内容</w:t>
            </w:r>
          </w:p>
        </w:tc>
        <w:tc>
          <w:tcPr>
            <w:tcW w:w="1145" w:type="dxa"/>
            <w:tcMar>
              <w:top w:w="15" w:type="dxa"/>
              <w:left w:w="15" w:type="dxa"/>
              <w:right w:w="15" w:type="dxa"/>
            </w:tcMar>
            <w:vAlign w:val="center"/>
          </w:tcPr>
          <w:p>
            <w:pPr>
              <w:pStyle w:val="11"/>
              <w:spacing w:line="360" w:lineRule="exact"/>
              <w:rPr>
                <w:rFonts w:ascii="Times New Roman" w:hAnsi="Times New Roman" w:eastAsia="仿宋" w:cs="Times New Roman"/>
                <w:b/>
                <w:bCs/>
                <w:color w:val="000000" w:themeColor="text1"/>
                <w:szCs w:val="21"/>
                <w14:textFill>
                  <w14:solidFill>
                    <w14:schemeClr w14:val="tx1"/>
                  </w14:solidFill>
                </w14:textFill>
              </w:rPr>
            </w:pPr>
            <w:r>
              <w:rPr>
                <w:rFonts w:ascii="Times New Roman" w:hAnsi="Times New Roman" w:eastAsia="仿宋" w:cs="Times New Roman"/>
                <w:b/>
                <w:bCs/>
                <w:color w:val="000000" w:themeColor="text1"/>
                <w:szCs w:val="21"/>
                <w14:textFill>
                  <w14:solidFill>
                    <w14:schemeClr w14:val="tx1"/>
                  </w14:solidFill>
                </w14:textFill>
              </w:rPr>
              <w:t>考核指标</w:t>
            </w:r>
          </w:p>
        </w:tc>
        <w:tc>
          <w:tcPr>
            <w:tcW w:w="700" w:type="dxa"/>
            <w:tcMar>
              <w:top w:w="15" w:type="dxa"/>
              <w:left w:w="15" w:type="dxa"/>
              <w:right w:w="15" w:type="dxa"/>
            </w:tcMar>
            <w:vAlign w:val="center"/>
          </w:tcPr>
          <w:p>
            <w:pPr>
              <w:pStyle w:val="11"/>
              <w:spacing w:line="360" w:lineRule="exact"/>
              <w:rPr>
                <w:rFonts w:ascii="Times New Roman" w:hAnsi="Times New Roman" w:eastAsia="仿宋" w:cs="Times New Roman"/>
                <w:b/>
                <w:bCs/>
                <w:color w:val="000000" w:themeColor="text1"/>
                <w:szCs w:val="21"/>
                <w14:textFill>
                  <w14:solidFill>
                    <w14:schemeClr w14:val="tx1"/>
                  </w14:solidFill>
                </w14:textFill>
              </w:rPr>
            </w:pPr>
            <w:r>
              <w:rPr>
                <w:rFonts w:ascii="Times New Roman" w:hAnsi="Times New Roman" w:eastAsia="仿宋" w:cs="Times New Roman"/>
                <w:b/>
                <w:bCs/>
                <w:color w:val="000000" w:themeColor="text1"/>
                <w:szCs w:val="21"/>
                <w14:textFill>
                  <w14:solidFill>
                    <w14:schemeClr w14:val="tx1"/>
                  </w14:solidFill>
                </w14:textFill>
              </w:rPr>
              <w:t>序号</w:t>
            </w:r>
          </w:p>
        </w:tc>
        <w:tc>
          <w:tcPr>
            <w:tcW w:w="1735" w:type="dxa"/>
            <w:tcMar>
              <w:top w:w="15" w:type="dxa"/>
              <w:left w:w="15" w:type="dxa"/>
              <w:right w:w="15" w:type="dxa"/>
            </w:tcMar>
            <w:vAlign w:val="center"/>
          </w:tcPr>
          <w:p>
            <w:pPr>
              <w:pStyle w:val="11"/>
              <w:spacing w:line="360" w:lineRule="exact"/>
              <w:rPr>
                <w:rFonts w:ascii="Times New Roman" w:hAnsi="Times New Roman" w:eastAsia="仿宋" w:cs="Times New Roman"/>
                <w:b/>
                <w:bCs/>
                <w:color w:val="000000" w:themeColor="text1"/>
                <w:szCs w:val="21"/>
                <w14:textFill>
                  <w14:solidFill>
                    <w14:schemeClr w14:val="tx1"/>
                  </w14:solidFill>
                </w14:textFill>
              </w:rPr>
            </w:pPr>
            <w:r>
              <w:rPr>
                <w:rFonts w:ascii="Times New Roman" w:hAnsi="Times New Roman" w:eastAsia="仿宋" w:cs="Times New Roman"/>
                <w:b/>
                <w:bCs/>
                <w:color w:val="000000" w:themeColor="text1"/>
                <w:szCs w:val="21"/>
                <w14:textFill>
                  <w14:solidFill>
                    <w14:schemeClr w14:val="tx1"/>
                  </w14:solidFill>
                </w14:textFill>
              </w:rPr>
              <w:t>考核要点</w:t>
            </w:r>
          </w:p>
        </w:tc>
        <w:tc>
          <w:tcPr>
            <w:tcW w:w="615" w:type="dxa"/>
            <w:tcMar>
              <w:top w:w="15" w:type="dxa"/>
              <w:left w:w="15" w:type="dxa"/>
              <w:right w:w="15" w:type="dxa"/>
            </w:tcMar>
            <w:vAlign w:val="center"/>
          </w:tcPr>
          <w:p>
            <w:pPr>
              <w:pStyle w:val="11"/>
              <w:spacing w:line="360" w:lineRule="exact"/>
              <w:rPr>
                <w:rFonts w:ascii="Times New Roman" w:hAnsi="Times New Roman" w:eastAsia="仿宋" w:cs="Times New Roman"/>
                <w:b/>
                <w:bCs/>
                <w:color w:val="000000" w:themeColor="text1"/>
                <w:szCs w:val="21"/>
                <w14:textFill>
                  <w14:solidFill>
                    <w14:schemeClr w14:val="tx1"/>
                  </w14:solidFill>
                </w14:textFill>
              </w:rPr>
            </w:pPr>
            <w:r>
              <w:rPr>
                <w:rFonts w:ascii="Times New Roman" w:hAnsi="Times New Roman" w:eastAsia="仿宋" w:cs="Times New Roman"/>
                <w:b/>
                <w:bCs/>
                <w:color w:val="000000" w:themeColor="text1"/>
                <w:szCs w:val="21"/>
                <w14:textFill>
                  <w14:solidFill>
                    <w14:schemeClr w14:val="tx1"/>
                  </w14:solidFill>
                </w14:textFill>
              </w:rPr>
              <w:t>分值</w:t>
            </w:r>
          </w:p>
        </w:tc>
        <w:tc>
          <w:tcPr>
            <w:tcW w:w="7035" w:type="dxa"/>
            <w:tcMar>
              <w:top w:w="15" w:type="dxa"/>
              <w:left w:w="15" w:type="dxa"/>
              <w:right w:w="15" w:type="dxa"/>
            </w:tcMar>
            <w:vAlign w:val="center"/>
          </w:tcPr>
          <w:p>
            <w:pPr>
              <w:pStyle w:val="11"/>
              <w:spacing w:line="360" w:lineRule="exact"/>
              <w:rPr>
                <w:rFonts w:ascii="Times New Roman" w:hAnsi="Times New Roman" w:eastAsia="仿宋" w:cs="Times New Roman"/>
                <w:b/>
                <w:bCs/>
                <w:color w:val="000000" w:themeColor="text1"/>
                <w:szCs w:val="21"/>
                <w14:textFill>
                  <w14:solidFill>
                    <w14:schemeClr w14:val="tx1"/>
                  </w14:solidFill>
                </w14:textFill>
              </w:rPr>
            </w:pPr>
            <w:r>
              <w:rPr>
                <w:rFonts w:ascii="Times New Roman" w:hAnsi="Times New Roman" w:eastAsia="仿宋" w:cs="Times New Roman"/>
                <w:b/>
                <w:bCs/>
                <w:color w:val="000000" w:themeColor="text1"/>
                <w:szCs w:val="21"/>
                <w14:textFill>
                  <w14:solidFill>
                    <w14:schemeClr w14:val="tx1"/>
                  </w14:solidFill>
                </w14:textFill>
              </w:rPr>
              <w:t>评分标准</w:t>
            </w:r>
          </w:p>
        </w:tc>
        <w:tc>
          <w:tcPr>
            <w:tcW w:w="3066" w:type="dxa"/>
            <w:tcMar>
              <w:top w:w="15" w:type="dxa"/>
              <w:left w:w="15" w:type="dxa"/>
              <w:right w:w="15" w:type="dxa"/>
            </w:tcMar>
            <w:vAlign w:val="center"/>
          </w:tcPr>
          <w:p>
            <w:pPr>
              <w:pStyle w:val="11"/>
              <w:spacing w:line="360" w:lineRule="exact"/>
              <w:rPr>
                <w:rFonts w:ascii="Times New Roman" w:hAnsi="Times New Roman" w:eastAsia="仿宋" w:cs="Times New Roman"/>
                <w:b/>
                <w:bCs/>
                <w:color w:val="000000" w:themeColor="text1"/>
                <w:szCs w:val="21"/>
                <w14:textFill>
                  <w14:solidFill>
                    <w14:schemeClr w14:val="tx1"/>
                  </w14:solidFill>
                </w14:textFill>
              </w:rPr>
            </w:pPr>
            <w:r>
              <w:rPr>
                <w:rFonts w:ascii="Times New Roman" w:hAnsi="Times New Roman" w:eastAsia="仿宋" w:cs="Times New Roman"/>
                <w:b/>
                <w:bCs/>
                <w:color w:val="000000" w:themeColor="text1"/>
                <w:szCs w:val="21"/>
                <w14:textFill>
                  <w14:solidFill>
                    <w14:schemeClr w14:val="tx1"/>
                  </w14:solidFill>
                </w14:textFill>
              </w:rPr>
              <w:t>评分指导点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9" w:hRule="atLeast"/>
          <w:jc w:val="center"/>
        </w:trPr>
        <w:tc>
          <w:tcPr>
            <w:tcW w:w="1129" w:type="dxa"/>
            <w:vMerge w:val="restart"/>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基础设施提升工程</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（8分）</w:t>
            </w:r>
          </w:p>
        </w:tc>
        <w:tc>
          <w:tcPr>
            <w:tcW w:w="1145" w:type="dxa"/>
            <w:vMerge w:val="restart"/>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构建便捷交通网络</w:t>
            </w:r>
          </w:p>
        </w:tc>
        <w:tc>
          <w:tcPr>
            <w:tcW w:w="700" w:type="dxa"/>
            <w:tcMar>
              <w:top w:w="15" w:type="dxa"/>
              <w:left w:w="15" w:type="dxa"/>
              <w:right w:w="15" w:type="dxa"/>
            </w:tcMar>
            <w:vAlign w:val="center"/>
          </w:tcPr>
          <w:p>
            <w:pPr>
              <w:spacing w:line="360" w:lineRule="exact"/>
              <w:ind w:firstLine="304" w:firstLineChars="145"/>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优化城镇交通组织</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升镇区对外交通联系，镇区车行15分钟内可到达高速公路出入口、高铁或动车站等重要交通枢纽或节点得1分，15—30分钟到达得0.5分，30分钟以上不得分；镇区内部交通组织合理得0.5分；镇区人均道路面积达15平方米得0.5分</w:t>
            </w:r>
          </w:p>
        </w:tc>
        <w:tc>
          <w:tcPr>
            <w:tcW w:w="3066" w:type="dxa"/>
            <w:vMerge w:val="restart"/>
            <w:tcMar>
              <w:top w:w="15" w:type="dxa"/>
              <w:left w:w="15" w:type="dxa"/>
              <w:right w:w="15" w:type="dxa"/>
            </w:tcMar>
            <w:vAlign w:val="center"/>
          </w:tcPr>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1.提供在线地图查询数据；</w:t>
            </w:r>
            <w:r>
              <w:rPr>
                <w:rFonts w:ascii="Times New Roman" w:hAnsi="Times New Roman" w:eastAsia="仿宋" w:cs="Times New Roman"/>
                <w:color w:val="000000" w:themeColor="text1"/>
                <w:szCs w:val="21"/>
                <w14:textFill>
                  <w14:solidFill>
                    <w14:schemeClr w14:val="tx1"/>
                  </w14:solidFill>
                </w14:textFill>
              </w:rPr>
              <w:br w:type="textWrapping"/>
            </w:r>
            <w:r>
              <w:rPr>
                <w:rFonts w:ascii="Times New Roman" w:hAnsi="Times New Roman" w:eastAsia="仿宋" w:cs="Times New Roman"/>
                <w:color w:val="000000" w:themeColor="text1"/>
                <w:szCs w:val="21"/>
                <w14:textFill>
                  <w14:solidFill>
                    <w14:schemeClr w14:val="tx1"/>
                  </w14:solidFill>
                </w14:textFill>
              </w:rPr>
              <w:t>2.提供镇区道路、农村道路与乡镇运输服务站的相关建设数据、图文或说明资料。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700" w:type="dxa"/>
            <w:tcMar>
              <w:top w:w="15" w:type="dxa"/>
              <w:left w:w="15" w:type="dxa"/>
              <w:right w:w="15" w:type="dxa"/>
            </w:tcMar>
            <w:vAlign w:val="center"/>
          </w:tcPr>
          <w:p>
            <w:pPr>
              <w:spacing w:line="360" w:lineRule="exact"/>
              <w:ind w:firstLine="304" w:firstLineChars="145"/>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加快农村道路建设</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农村地区路网完善，与镇区、城区通达性好得 0.5分（其中有三级及以上公路连接得 0.2 分；撤并建制村与新村委之间的直连道路全部畅通得 0.2分；30 户及以上自然村（组）硬化路得0.1分）；农村公路管养机制健全，落实乡镇管养取，配备专（兼）职养护人员，全面推行“路长制”得 0.5 分</w:t>
            </w:r>
          </w:p>
        </w:tc>
        <w:tc>
          <w:tcPr>
            <w:tcW w:w="3066" w:type="dxa"/>
            <w:vMerge w:val="continue"/>
            <w:tcMar>
              <w:top w:w="15" w:type="dxa"/>
              <w:left w:w="15" w:type="dxa"/>
              <w:right w:w="15" w:type="dxa"/>
            </w:tcMar>
            <w:vAlign w:val="center"/>
          </w:tcPr>
          <w:p>
            <w:pPr>
              <w:pStyle w:val="11"/>
              <w:spacing w:line="360" w:lineRule="exact"/>
              <w:ind w:firstLine="640"/>
              <w:jc w:val="both"/>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700" w:type="dxa"/>
            <w:tcMar>
              <w:top w:w="15" w:type="dxa"/>
              <w:left w:w="15" w:type="dxa"/>
              <w:right w:w="15" w:type="dxa"/>
            </w:tcMar>
            <w:vAlign w:val="center"/>
          </w:tcPr>
          <w:p>
            <w:pPr>
              <w:spacing w:line="360" w:lineRule="exact"/>
              <w:ind w:firstLine="304" w:firstLineChars="145"/>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3</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完善客运与物流配送体系</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建有具备客运功能且整合电商、邮政快递等资源或工业仓储、配送等农村物流公共服务的乡镇运输服务站得0.5分；面积1000平方米以上且正常运营得0.5分</w:t>
            </w:r>
          </w:p>
        </w:tc>
        <w:tc>
          <w:tcPr>
            <w:tcW w:w="3066" w:type="dxa"/>
            <w:vMerge w:val="continue"/>
            <w:tcMar>
              <w:top w:w="15" w:type="dxa"/>
              <w:left w:w="15" w:type="dxa"/>
              <w:right w:w="15" w:type="dxa"/>
            </w:tcMar>
            <w:vAlign w:val="center"/>
          </w:tcPr>
          <w:p>
            <w:pPr>
              <w:pStyle w:val="11"/>
              <w:spacing w:line="360" w:lineRule="exact"/>
              <w:ind w:firstLine="640"/>
              <w:jc w:val="both"/>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vMerge w:val="restart"/>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完善配套基础设施</w:t>
            </w:r>
          </w:p>
        </w:tc>
        <w:tc>
          <w:tcPr>
            <w:tcW w:w="700" w:type="dxa"/>
            <w:tcMar>
              <w:top w:w="15" w:type="dxa"/>
              <w:left w:w="15" w:type="dxa"/>
              <w:right w:w="15" w:type="dxa"/>
            </w:tcMar>
            <w:vAlign w:val="center"/>
          </w:tcPr>
          <w:p>
            <w:pPr>
              <w:spacing w:line="360" w:lineRule="exact"/>
              <w:ind w:firstLine="304" w:firstLineChars="145"/>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4</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镇区各类管线设施建设完善</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3</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镇区给水、排水、燃气、电力等市政管线设施总体建设完善，视情况酌情给分，最高1.5分；自来水普及率达95%以上，得0.5分；镇区生活污水处理率达70%或考核年较上年度增长10%得0.5分；实施雨污分流改造得0.5分</w:t>
            </w:r>
          </w:p>
        </w:tc>
        <w:tc>
          <w:tcPr>
            <w:tcW w:w="3066" w:type="dxa"/>
            <w:vMerge w:val="restart"/>
            <w:tcMar>
              <w:top w:w="15" w:type="dxa"/>
              <w:left w:w="15" w:type="dxa"/>
              <w:right w:w="15" w:type="dxa"/>
            </w:tcMar>
            <w:vAlign w:val="center"/>
          </w:tcPr>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1.提供镇区给水、排水、燃气、电力等市政基础设施建设情况的图文资料；</w:t>
            </w:r>
            <w:r>
              <w:rPr>
                <w:rFonts w:ascii="Times New Roman" w:hAnsi="Times New Roman" w:eastAsia="仿宋" w:cs="Times New Roman"/>
                <w:color w:val="000000" w:themeColor="text1"/>
                <w:szCs w:val="21"/>
                <w14:textFill>
                  <w14:solidFill>
                    <w14:schemeClr w14:val="tx1"/>
                  </w14:solidFill>
                </w14:textFill>
              </w:rPr>
              <w:br w:type="textWrapping"/>
            </w:r>
            <w:r>
              <w:rPr>
                <w:rFonts w:ascii="Times New Roman" w:hAnsi="Times New Roman" w:eastAsia="仿宋" w:cs="Times New Roman"/>
                <w:color w:val="000000" w:themeColor="text1"/>
                <w:szCs w:val="21"/>
                <w14:textFill>
                  <w14:solidFill>
                    <w14:schemeClr w14:val="tx1"/>
                  </w14:solidFill>
                </w14:textFill>
              </w:rPr>
              <w:t>2.提供城镇防灾减灾相关图文佐证资料。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700" w:type="dxa"/>
            <w:tcMar>
              <w:top w:w="15" w:type="dxa"/>
              <w:left w:w="15" w:type="dxa"/>
              <w:right w:w="15" w:type="dxa"/>
            </w:tcMar>
            <w:vAlign w:val="center"/>
          </w:tcPr>
          <w:p>
            <w:pPr>
              <w:spacing w:line="360" w:lineRule="exact"/>
              <w:ind w:firstLine="304" w:firstLineChars="145"/>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5</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大力提升城镇防灾减灾能力</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7035" w:type="dxa"/>
            <w:tcMar>
              <w:top w:w="15" w:type="dxa"/>
              <w:left w:w="15" w:type="dxa"/>
              <w:right w:w="15" w:type="dxa"/>
            </w:tcMar>
            <w:vAlign w:val="center"/>
          </w:tcPr>
          <w:p>
            <w:pPr>
              <w:spacing w:line="28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防洪排涝设施建设完善得0.3分；应急避难场所人均面积达1.5平方米得0.3分；建立消防机制及消防队伍得0.2分；每年开展防灾避灾宣传培训演练得0.2分</w:t>
            </w:r>
          </w:p>
        </w:tc>
        <w:tc>
          <w:tcPr>
            <w:tcW w:w="3066" w:type="dxa"/>
            <w:vMerge w:val="continue"/>
            <w:tcMar>
              <w:top w:w="15" w:type="dxa"/>
              <w:left w:w="15" w:type="dxa"/>
              <w:right w:w="15" w:type="dxa"/>
            </w:tcMar>
            <w:vAlign w:val="center"/>
          </w:tcPr>
          <w:p>
            <w:pPr>
              <w:pStyle w:val="11"/>
              <w:spacing w:line="360" w:lineRule="exact"/>
              <w:ind w:firstLine="640"/>
              <w:jc w:val="both"/>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1129" w:type="dxa"/>
            <w:vMerge w:val="restart"/>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公共服务提升工程</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（9分）</w:t>
            </w:r>
          </w:p>
        </w:tc>
        <w:tc>
          <w:tcPr>
            <w:tcW w:w="1145" w:type="dxa"/>
            <w:vMerge w:val="restart"/>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有效改善住房条件</w:t>
            </w:r>
          </w:p>
        </w:tc>
        <w:tc>
          <w:tcPr>
            <w:tcW w:w="700" w:type="dxa"/>
            <w:tcMar>
              <w:top w:w="15" w:type="dxa"/>
              <w:left w:w="15" w:type="dxa"/>
              <w:right w:w="15" w:type="dxa"/>
            </w:tcMar>
            <w:vAlign w:val="center"/>
          </w:tcPr>
          <w:p>
            <w:pPr>
              <w:spacing w:line="360" w:lineRule="exact"/>
              <w:ind w:firstLine="304" w:firstLineChars="145"/>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6</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规范农房建设管理</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农村宅基地审批和住房建设管理规范得0.3分；镇区无新增违规农民自建房得0.</w:t>
            </w:r>
            <w:r>
              <w:rPr>
                <w:rFonts w:hint="eastAsia" w:ascii="Times New Roman" w:hAnsi="Times New Roman" w:eastAsia="仿宋"/>
                <w:color w:val="000000" w:themeColor="text1"/>
                <w:szCs w:val="21"/>
                <w14:textFill>
                  <w14:solidFill>
                    <w14:schemeClr w14:val="tx1"/>
                  </w14:solidFill>
                </w14:textFill>
              </w:rPr>
              <w:t>3</w:t>
            </w:r>
            <w:r>
              <w:rPr>
                <w:rFonts w:ascii="Times New Roman" w:hAnsi="Times New Roman" w:eastAsia="仿宋"/>
                <w:color w:val="000000" w:themeColor="text1"/>
                <w:szCs w:val="21"/>
                <w14:textFill>
                  <w14:solidFill>
                    <w14:schemeClr w14:val="tx1"/>
                  </w14:solidFill>
                </w14:textFill>
              </w:rPr>
              <w:t>分；</w:t>
            </w:r>
            <w:r>
              <w:rPr>
                <w:rFonts w:hint="eastAsia" w:ascii="Times New Roman" w:hAnsi="Times New Roman" w:eastAsia="仿宋"/>
                <w:color w:val="000000" w:themeColor="text1"/>
                <w:szCs w:val="21"/>
                <w14:textFill>
                  <w14:solidFill>
                    <w14:schemeClr w14:val="tx1"/>
                  </w14:solidFill>
                </w14:textFill>
              </w:rPr>
              <w:t>完成农房安全隐患排查</w:t>
            </w:r>
            <w:r>
              <w:rPr>
                <w:rFonts w:ascii="Times New Roman" w:hAnsi="Times New Roman" w:eastAsia="仿宋"/>
                <w:color w:val="000000" w:themeColor="text1"/>
                <w:szCs w:val="21"/>
                <w14:textFill>
                  <w14:solidFill>
                    <w14:schemeClr w14:val="tx1"/>
                  </w14:solidFill>
                </w14:textFill>
              </w:rPr>
              <w:t>得0.</w:t>
            </w:r>
            <w:r>
              <w:rPr>
                <w:rFonts w:hint="eastAsia" w:ascii="Times New Roman" w:hAnsi="Times New Roman" w:eastAsia="仿宋"/>
                <w:color w:val="000000" w:themeColor="text1"/>
                <w:szCs w:val="21"/>
                <w14:textFill>
                  <w14:solidFill>
                    <w14:schemeClr w14:val="tx1"/>
                  </w14:solidFill>
                </w14:textFill>
              </w:rPr>
              <w:t>2</w:t>
            </w:r>
            <w:r>
              <w:rPr>
                <w:rFonts w:ascii="Times New Roman" w:hAnsi="Times New Roman" w:eastAsia="仿宋"/>
                <w:color w:val="000000" w:themeColor="text1"/>
                <w:szCs w:val="21"/>
                <w14:textFill>
                  <w14:solidFill>
                    <w14:schemeClr w14:val="tx1"/>
                  </w14:solidFill>
                </w14:textFill>
              </w:rPr>
              <w:t>分</w:t>
            </w:r>
            <w:r>
              <w:rPr>
                <w:rFonts w:hint="eastAsia" w:ascii="Times New Roman" w:hAnsi="Times New Roman" w:eastAsia="仿宋"/>
                <w:color w:val="000000" w:themeColor="text1"/>
                <w:szCs w:val="21"/>
                <w14:textFill>
                  <w14:solidFill>
                    <w14:schemeClr w14:val="tx1"/>
                  </w14:solidFill>
                </w14:textFill>
              </w:rPr>
              <w:t>；完成对存在安全隐患用作经营的农房的重点整治得0.2分</w:t>
            </w:r>
          </w:p>
        </w:tc>
        <w:tc>
          <w:tcPr>
            <w:tcW w:w="3066" w:type="dxa"/>
            <w:vMerge w:val="restart"/>
            <w:tcMar>
              <w:top w:w="15" w:type="dxa"/>
              <w:left w:w="15" w:type="dxa"/>
              <w:right w:w="15" w:type="dxa"/>
            </w:tcMar>
            <w:vAlign w:val="center"/>
          </w:tcPr>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1.</w:t>
            </w:r>
            <w:r>
              <w:rPr>
                <w:rFonts w:ascii="Times New Roman" w:hAnsi="Times New Roman" w:eastAsia="仿宋" w:cs="Times New Roman"/>
                <w:color w:val="000000" w:themeColor="text1"/>
                <w:szCs w:val="21"/>
                <w14:textFill>
                  <w14:solidFill>
                    <w14:schemeClr w14:val="tx1"/>
                  </w14:solidFill>
                </w14:textFill>
              </w:rPr>
              <w:t>提供农房建设管理相关情况说明</w:t>
            </w:r>
            <w:r>
              <w:rPr>
                <w:rFonts w:hint="eastAsia" w:ascii="Times New Roman" w:hAnsi="Times New Roman" w:eastAsia="仿宋" w:cs="Times New Roman"/>
                <w:color w:val="000000" w:themeColor="text1"/>
                <w:szCs w:val="21"/>
                <w14:textFill>
                  <w14:solidFill>
                    <w14:schemeClr w14:val="tx1"/>
                  </w14:solidFill>
                </w14:textFill>
              </w:rPr>
              <w:t>，提供</w:t>
            </w:r>
            <w:r>
              <w:rPr>
                <w:rFonts w:hint="eastAsia" w:ascii="Times New Roman" w:hAnsi="Times New Roman" w:eastAsia="仿宋"/>
                <w:color w:val="000000" w:themeColor="text1"/>
                <w:szCs w:val="21"/>
                <w14:textFill>
                  <w14:solidFill>
                    <w14:schemeClr w14:val="tx1"/>
                  </w14:solidFill>
                </w14:textFill>
              </w:rPr>
              <w:t>完成农房安全隐患排查和对存在安全隐患用作经营的农房的重点整治的佐证资料；</w:t>
            </w:r>
            <w:r>
              <w:rPr>
                <w:rFonts w:ascii="Times New Roman" w:hAnsi="Times New Roman" w:eastAsia="仿宋" w:cs="Times New Roman"/>
                <w:color w:val="000000" w:themeColor="text1"/>
                <w:szCs w:val="21"/>
                <w14:textFill>
                  <w14:solidFill>
                    <w14:schemeClr w14:val="tx1"/>
                  </w14:solidFill>
                </w14:textFill>
              </w:rPr>
              <w:br w:type="textWrapping"/>
            </w:r>
            <w:r>
              <w:rPr>
                <w:rFonts w:ascii="Times New Roman" w:hAnsi="Times New Roman" w:eastAsia="仿宋" w:cs="Times New Roman"/>
                <w:color w:val="000000" w:themeColor="text1"/>
                <w:szCs w:val="21"/>
                <w14:textFill>
                  <w14:solidFill>
                    <w14:schemeClr w14:val="tx1"/>
                  </w14:solidFill>
                </w14:textFill>
              </w:rPr>
              <w:t>2.提供镇区居住小区建设情况相关图文佐证资料。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700" w:type="dxa"/>
            <w:tcMar>
              <w:top w:w="15" w:type="dxa"/>
              <w:left w:w="15" w:type="dxa"/>
              <w:right w:w="15" w:type="dxa"/>
            </w:tcMar>
            <w:vAlign w:val="center"/>
          </w:tcPr>
          <w:p>
            <w:pPr>
              <w:spacing w:line="360" w:lineRule="exact"/>
              <w:ind w:firstLine="304" w:firstLineChars="145"/>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7</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完善住房公共服务配套，提升住房</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品质</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居住小区配套完善得0.5分；居住小区有专业化物业管理服务占比超过50%得0.3分；完善公租赁补贴发放制度得0.2分</w:t>
            </w:r>
          </w:p>
        </w:tc>
        <w:tc>
          <w:tcPr>
            <w:tcW w:w="3066" w:type="dxa"/>
            <w:vMerge w:val="continue"/>
            <w:tcMar>
              <w:top w:w="15" w:type="dxa"/>
              <w:left w:w="15" w:type="dxa"/>
              <w:right w:w="15" w:type="dxa"/>
            </w:tcMar>
            <w:vAlign w:val="center"/>
          </w:tcPr>
          <w:p>
            <w:pPr>
              <w:pStyle w:val="11"/>
              <w:spacing w:line="360" w:lineRule="exact"/>
              <w:ind w:firstLine="640"/>
              <w:jc w:val="both"/>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提升医疗卫生服务能力</w:t>
            </w:r>
          </w:p>
        </w:tc>
        <w:tc>
          <w:tcPr>
            <w:tcW w:w="700" w:type="dxa"/>
            <w:tcMar>
              <w:top w:w="15" w:type="dxa"/>
              <w:left w:w="15" w:type="dxa"/>
              <w:right w:w="15" w:type="dxa"/>
            </w:tcMar>
            <w:vAlign w:val="center"/>
          </w:tcPr>
          <w:p>
            <w:pPr>
              <w:spacing w:line="360" w:lineRule="exact"/>
              <w:ind w:firstLine="304" w:firstLineChars="145"/>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8</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打造县域次医疗中心，提高医疗卫生与殡葬服务能力</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中心镇卫生院（社区卫生服务中心）达到“优质服务基层行”推荐标准，得0.5分；全科医生配置数达到每万人2.5名，得0.5分；制定并实施县域医疗卫生次中心建设规划得0.5；建设有公益性骨灰安葬（安放）设施，满足群众基本安葬需求得0.5分</w:t>
            </w:r>
          </w:p>
        </w:tc>
        <w:tc>
          <w:tcPr>
            <w:tcW w:w="3066" w:type="dxa"/>
            <w:tcMar>
              <w:top w:w="15" w:type="dxa"/>
              <w:left w:w="15" w:type="dxa"/>
              <w:right w:w="15" w:type="dxa"/>
            </w:tcMar>
            <w:vAlign w:val="center"/>
          </w:tcPr>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提供医疗卫生和殡葬设施建设的相关统计数据和图文佐证资料。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vMerge w:val="restart"/>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促进教育文体均衡发展</w:t>
            </w:r>
          </w:p>
        </w:tc>
        <w:tc>
          <w:tcPr>
            <w:tcW w:w="700" w:type="dxa"/>
            <w:tcMar>
              <w:top w:w="15" w:type="dxa"/>
              <w:left w:w="15" w:type="dxa"/>
              <w:right w:w="15" w:type="dxa"/>
            </w:tcMar>
            <w:vAlign w:val="center"/>
          </w:tcPr>
          <w:p>
            <w:pPr>
              <w:spacing w:line="360" w:lineRule="exact"/>
              <w:ind w:firstLine="304" w:firstLineChars="145"/>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9</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优化教育资源</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配置</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1.5</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color w:val="000000" w:themeColor="text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有符合建设标准的公办幼儿园和义务教育学校得0.5分，公办中心幼儿园教职工、园舍、仪器设备符合幼儿园工作规程要求，得0.3分；义务教育学校教师、校舍、仪器设备符合义务教育优质均衡发展要求，得0.4分；根据“三通两平台”建设情况酌情给分，最高0.3分</w:t>
            </w:r>
          </w:p>
        </w:tc>
        <w:tc>
          <w:tcPr>
            <w:tcW w:w="3066" w:type="dxa"/>
            <w:tcMar>
              <w:top w:w="15" w:type="dxa"/>
              <w:left w:w="15" w:type="dxa"/>
              <w:right w:w="15" w:type="dxa"/>
            </w:tcMar>
            <w:vAlign w:val="center"/>
          </w:tcPr>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提供幼儿园、小学、初中等建设情况说明。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700" w:type="dxa"/>
            <w:tcMar>
              <w:top w:w="15" w:type="dxa"/>
              <w:left w:w="15" w:type="dxa"/>
              <w:right w:w="15" w:type="dxa"/>
            </w:tcMar>
            <w:vAlign w:val="center"/>
          </w:tcPr>
          <w:p>
            <w:pPr>
              <w:spacing w:line="360" w:lineRule="exact"/>
              <w:ind w:firstLine="210" w:firstLineChars="1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10</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建设多样化体育设施和群众文化娱乐场所</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1.5</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人均体育场地面积2.3平方米以上得0.5分；按照《乡镇综合文化站建设标准》，建设与服务人口相适应的文化站和文化活动广场等群众文化设施和活动阵地得0.4分；承办县级及以上文化、体育活动得0.3分；设有社会体育指导员得0.3分</w:t>
            </w:r>
          </w:p>
        </w:tc>
        <w:tc>
          <w:tcPr>
            <w:tcW w:w="3066" w:type="dxa"/>
            <w:tcMar>
              <w:top w:w="15" w:type="dxa"/>
              <w:left w:w="15" w:type="dxa"/>
              <w:right w:w="15" w:type="dxa"/>
            </w:tcMar>
            <w:vAlign w:val="center"/>
          </w:tcPr>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提供文化、体育设施建设相关情况说明资料。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加大养老扶幼支持力度</w:t>
            </w:r>
          </w:p>
        </w:tc>
        <w:tc>
          <w:tcPr>
            <w:tcW w:w="700" w:type="dxa"/>
            <w:tcMar>
              <w:top w:w="15" w:type="dxa"/>
              <w:left w:w="15" w:type="dxa"/>
              <w:right w:w="15" w:type="dxa"/>
            </w:tcMar>
            <w:vAlign w:val="center"/>
          </w:tcPr>
          <w:p>
            <w:pPr>
              <w:spacing w:line="360" w:lineRule="exact"/>
              <w:ind w:firstLine="210" w:firstLineChars="1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11</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完善健康养老服务，关爱幼小儿童</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1.5</w:t>
            </w:r>
          </w:p>
        </w:tc>
        <w:tc>
          <w:tcPr>
            <w:tcW w:w="7035" w:type="dxa"/>
            <w:tcMar>
              <w:top w:w="15" w:type="dxa"/>
              <w:left w:w="15" w:type="dxa"/>
              <w:right w:w="15" w:type="dxa"/>
            </w:tcMar>
            <w:vAlign w:val="center"/>
          </w:tcPr>
          <w:p>
            <w:pPr>
              <w:spacing w:line="28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城镇社区日间照料机构覆盖率达90%以上得0.5分；中心镇卫生院设立和增加康复、护理床位，开展医养结合服务得0.3分；养老机构护理型床位占比达50%以上得0.2分；村（社区）儿童关爱服务活动阵地覆盖率达100%得0.5分</w:t>
            </w:r>
          </w:p>
        </w:tc>
        <w:tc>
          <w:tcPr>
            <w:tcW w:w="3066" w:type="dxa"/>
            <w:tcMar>
              <w:top w:w="15" w:type="dxa"/>
              <w:left w:w="15" w:type="dxa"/>
              <w:right w:w="15" w:type="dxa"/>
            </w:tcMar>
            <w:vAlign w:val="center"/>
          </w:tcPr>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提供社区养老机构和养老服务设施数据、医养服务开展情况的相关说明。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1129" w:type="dxa"/>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提升商贸流通服务能力</w:t>
            </w:r>
          </w:p>
        </w:tc>
        <w:tc>
          <w:tcPr>
            <w:tcW w:w="700"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12</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建设商贸流通基础设施，打造镇村流通小商圈</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0.5</w:t>
            </w:r>
          </w:p>
        </w:tc>
        <w:tc>
          <w:tcPr>
            <w:tcW w:w="7035" w:type="dxa"/>
            <w:tcMar>
              <w:top w:w="15" w:type="dxa"/>
              <w:left w:w="15" w:type="dxa"/>
              <w:right w:w="15" w:type="dxa"/>
            </w:tcMa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商贸流通基础设施健全，农产品、生活消费品、农业生产资料等流通网络完善得0.3分；有农村电商服务体系，为农村居民提供代购代销、代收代发、缴费、小额取款等服务得0.2分。</w:t>
            </w:r>
          </w:p>
        </w:tc>
        <w:tc>
          <w:tcPr>
            <w:tcW w:w="3066" w:type="dxa"/>
            <w:tcMar>
              <w:top w:w="15" w:type="dxa"/>
              <w:left w:w="15" w:type="dxa"/>
              <w:right w:w="15" w:type="dxa"/>
            </w:tcMar>
          </w:tcPr>
          <w:p>
            <w:pPr>
              <w:spacing w:line="360" w:lineRule="exac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提供商贸流通基础设施相关情况说明资料</w:t>
            </w:r>
            <w:r>
              <w:rPr>
                <w:rFonts w:hint="eastAsia" w:ascii="Times New Roman" w:hAnsi="Times New Roman" w:eastAsia="仿宋"/>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5" w:hRule="atLeast"/>
          <w:jc w:val="center"/>
        </w:trPr>
        <w:tc>
          <w:tcPr>
            <w:tcW w:w="1129" w:type="dxa"/>
            <w:vMerge w:val="restart"/>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产业集聚提升工程</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（6分）</w:t>
            </w:r>
          </w:p>
        </w:tc>
        <w:tc>
          <w:tcPr>
            <w:tcW w:w="114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优化产业</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结构</w:t>
            </w:r>
          </w:p>
        </w:tc>
        <w:tc>
          <w:tcPr>
            <w:tcW w:w="700"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13</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强化主导产业发展，优化产业格局，打造特色品牌</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主导产业特色鲜明，形成县域错位发展、优势互补的产业格局得0.5分；有“国字号”特色产品或品牌每项得1分，“川字号”每项得0.5分，市级每项0.2分，最高1.5分</w:t>
            </w:r>
          </w:p>
        </w:tc>
        <w:tc>
          <w:tcPr>
            <w:tcW w:w="3066" w:type="dxa"/>
            <w:tcMar>
              <w:top w:w="15" w:type="dxa"/>
              <w:left w:w="15" w:type="dxa"/>
              <w:right w:w="15" w:type="dxa"/>
            </w:tcMar>
            <w:vAlign w:val="center"/>
          </w:tcPr>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1.提供县域及本镇主导产业发展等情况说明；</w:t>
            </w:r>
          </w:p>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2.提供由相关行政主管部门认定（或评定）的工业产品、地理标志农产品、文旅资源认定文件等佐证资料。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做强产业</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平台</w:t>
            </w:r>
          </w:p>
        </w:tc>
        <w:tc>
          <w:tcPr>
            <w:tcW w:w="700"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14</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建有特色产业基地</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3</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建有产业园区、新型产业示范基地、特色产业基地或小微企业创业创新示范基地，每处得1分，最高3分</w:t>
            </w:r>
          </w:p>
        </w:tc>
        <w:tc>
          <w:tcPr>
            <w:tcW w:w="3066" w:type="dxa"/>
            <w:tcMar>
              <w:top w:w="15" w:type="dxa"/>
              <w:left w:w="15" w:type="dxa"/>
              <w:right w:w="15" w:type="dxa"/>
            </w:tcMar>
            <w:vAlign w:val="center"/>
          </w:tcPr>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提供产业园区、各类产业基地建设情况等佐证资料。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创新产业</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业态</w:t>
            </w:r>
          </w:p>
        </w:tc>
        <w:tc>
          <w:tcPr>
            <w:tcW w:w="700"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15</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大力发展新兴业态</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出台新兴业态鼓励支持政策得0.5分；视新兴业态发展情况酌情给分，最高0.5分</w:t>
            </w:r>
          </w:p>
        </w:tc>
        <w:tc>
          <w:tcPr>
            <w:tcW w:w="3066" w:type="dxa"/>
            <w:tcMar>
              <w:top w:w="15" w:type="dxa"/>
              <w:left w:w="15" w:type="dxa"/>
              <w:right w:w="15" w:type="dxa"/>
            </w:tcMar>
            <w:vAlign w:val="center"/>
          </w:tcPr>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提供新兴业态鼓励政策文件及发展情况说明。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1129" w:type="dxa"/>
            <w:vMerge w:val="restart"/>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环境风貌提升工程</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（7.5分）</w:t>
            </w:r>
          </w:p>
        </w:tc>
        <w:tc>
          <w:tcPr>
            <w:tcW w:w="1145" w:type="dxa"/>
            <w:vMerge w:val="restart"/>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强化生态</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环境保护</w:t>
            </w:r>
          </w:p>
        </w:tc>
        <w:tc>
          <w:tcPr>
            <w:tcW w:w="700"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16</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各类生态要素得到有效保护和治理</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山水城格局有机融合，镇区原有山水格局、河流水系、森林湿地等自然生态资源得到有效保护得1分；发现1 处违规改变自然地貌、开山采石、填埋水体、污染水体或土壤、过度硬化河湖岸线及水底等现象的扣 0.5 分，扣完为止</w:t>
            </w:r>
          </w:p>
        </w:tc>
        <w:tc>
          <w:tcPr>
            <w:tcW w:w="3066" w:type="dxa"/>
            <w:tcMar>
              <w:top w:w="15" w:type="dxa"/>
              <w:left w:w="15" w:type="dxa"/>
              <w:right w:w="15" w:type="dxa"/>
            </w:tcMar>
            <w:vAlign w:val="center"/>
          </w:tcPr>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提供生态环境保护相关情况说明；结合现场检查情况。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700"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17</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因地制宜开展公共绿地建设</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1.5</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合理布局镇区公共绿地，建有公园、小广场等公共活动空间每处0.5分，最高1分；根据道路、河堤等绿化布置及管护情况酌情给分，最高0.5分</w:t>
            </w:r>
          </w:p>
        </w:tc>
        <w:tc>
          <w:tcPr>
            <w:tcW w:w="3066" w:type="dxa"/>
            <w:tcMar>
              <w:top w:w="15" w:type="dxa"/>
              <w:left w:w="15" w:type="dxa"/>
              <w:right w:w="15" w:type="dxa"/>
            </w:tcMar>
            <w:vAlign w:val="center"/>
          </w:tcPr>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提供相关数据及反映公园建设情况的图文材料。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vMerge w:val="restart"/>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加强城镇</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风貌管理</w:t>
            </w:r>
          </w:p>
        </w:tc>
        <w:tc>
          <w:tcPr>
            <w:tcW w:w="700"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18</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开展整体风貌设计或城市设计</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编制中心镇整体风貌设计或城市设计得0.5分；根据实施成效酌情给分，最高0.5分</w:t>
            </w:r>
          </w:p>
        </w:tc>
        <w:tc>
          <w:tcPr>
            <w:tcW w:w="3066" w:type="dxa"/>
            <w:tcMar>
              <w:top w:w="15" w:type="dxa"/>
              <w:left w:w="15" w:type="dxa"/>
              <w:right w:w="15" w:type="dxa"/>
            </w:tcMar>
            <w:vAlign w:val="center"/>
          </w:tcPr>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提供风貌设计或城市设计成果。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700"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19</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塑造重要节点</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景观</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打造镇区入口、重要公共空间等节点景观，每处0.2分，最高1分；视景观效果酌情扣分</w:t>
            </w:r>
          </w:p>
        </w:tc>
        <w:tc>
          <w:tcPr>
            <w:tcW w:w="3066" w:type="dxa"/>
            <w:tcMar>
              <w:top w:w="15" w:type="dxa"/>
              <w:left w:w="15" w:type="dxa"/>
              <w:right w:w="15" w:type="dxa"/>
            </w:tcMar>
            <w:vAlign w:val="center"/>
          </w:tcPr>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提供重要节点景观相关图文佐证资料。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700"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20</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提升城镇建筑</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风貌</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1.5</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整治违搭乱建，开展城镇风貌整治，体现地域风貌特色，并与周边环境相协调，视情况酌情给分，最高1分；开展城镇老旧小区改造0.5分</w:t>
            </w:r>
          </w:p>
        </w:tc>
        <w:tc>
          <w:tcPr>
            <w:tcW w:w="3066" w:type="dxa"/>
            <w:tcMar>
              <w:top w:w="15" w:type="dxa"/>
              <w:left w:w="15" w:type="dxa"/>
              <w:right w:w="15" w:type="dxa"/>
            </w:tcMar>
            <w:vAlign w:val="center"/>
          </w:tcPr>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提供城镇风貌整治及老旧小区改造相关图文佐证资料。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改善农村</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人居环境</w:t>
            </w:r>
          </w:p>
        </w:tc>
        <w:tc>
          <w:tcPr>
            <w:tcW w:w="700"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21</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提升农村厕所、生活垃圾与污水处理水平</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1.5</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开展生活垃圾分类，农村生活垃圾收转运处置体系覆盖全部行政村得0.5分；农村户用卫生厕所普及率达到年度目标任务得0.5分；行政村生活污水得到有效治理率达到年度目标任务得0.5分</w:t>
            </w:r>
          </w:p>
        </w:tc>
        <w:tc>
          <w:tcPr>
            <w:tcW w:w="3066" w:type="dxa"/>
            <w:tcMar>
              <w:top w:w="15" w:type="dxa"/>
              <w:left w:w="15" w:type="dxa"/>
              <w:right w:w="15" w:type="dxa"/>
            </w:tcMar>
            <w:vAlign w:val="center"/>
          </w:tcPr>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提供农村厕所、生活垃圾与污水处理相关情况说明。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129" w:type="dxa"/>
            <w:vMerge w:val="restart"/>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文化传承提升工程</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（5分）</w:t>
            </w:r>
          </w:p>
        </w:tc>
        <w:tc>
          <w:tcPr>
            <w:tcW w:w="1145" w:type="dxa"/>
            <w:vMerge w:val="restart"/>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保护传承</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文化遗产</w:t>
            </w:r>
          </w:p>
        </w:tc>
        <w:tc>
          <w:tcPr>
            <w:tcW w:w="700"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22</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保护历史文化遗产，传承优秀传统文化</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视古镇古村落、历史建筑、古树名木、工业遗产、非物质文化遗产等文化遗产的保护利用情况酌情给分，最高1分；建有任意类型的文化遗产保护传承示范基地或农村生产生活遗产保护传承基地，国家级得1分，省级得0.5分，省级以下得0.3分，最高1分</w:t>
            </w:r>
          </w:p>
        </w:tc>
        <w:tc>
          <w:tcPr>
            <w:tcW w:w="3066" w:type="dxa"/>
            <w:tcMar>
              <w:top w:w="15" w:type="dxa"/>
              <w:left w:w="15" w:type="dxa"/>
              <w:right w:w="15" w:type="dxa"/>
            </w:tcMar>
            <w:vAlign w:val="center"/>
          </w:tcPr>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1.提供历史文化遗产保护与传承相关工作开展的情况说明；</w:t>
            </w:r>
          </w:p>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2.提供各类保护传承基地的图文资料。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700"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23</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加强传承人队伍建设</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建立乡土工匠管理台账得0.3分；建立文化遗产传承人培育、管理制度得0.3分；视非物质文化遗产传承人、乡土工匠和农村生产生活遗产传承人传帮带工作开展情况酌情给分，最高0.4分</w:t>
            </w:r>
          </w:p>
        </w:tc>
        <w:tc>
          <w:tcPr>
            <w:tcW w:w="3066" w:type="dxa"/>
            <w:tcMar>
              <w:top w:w="15" w:type="dxa"/>
              <w:left w:w="15" w:type="dxa"/>
              <w:right w:w="15" w:type="dxa"/>
            </w:tcMar>
            <w:vAlign w:val="center"/>
          </w:tcPr>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提供乡土工匠、文化遗产传承人培养计划、传承情况等佐证资料。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创新发展</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传统文化</w:t>
            </w:r>
          </w:p>
        </w:tc>
        <w:tc>
          <w:tcPr>
            <w:tcW w:w="700"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24</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文旅融合发展</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035" w:type="dxa"/>
            <w:tcMar>
              <w:top w:w="15" w:type="dxa"/>
              <w:left w:w="15" w:type="dxa"/>
              <w:right w:w="15" w:type="dxa"/>
            </w:tcMar>
            <w:vAlign w:val="center"/>
          </w:tcPr>
          <w:p>
            <w:pPr>
              <w:spacing w:line="24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开展文旅融合项目建设得0.5分；镇域内有国家5A级旅游景区或国家级旅游度假区、国家级生态旅游示范区、中国民间文化艺术之乡，每个得0.5分，有国家4A级旅游景区或省级旅游度假区、省级生态旅游示范区、省级民间文化艺术之乡、全国乡村旅游重点村或其他省级文化旅游品牌的，每个得0.2分，国家3A级旅游景区或省级乡村旅游重点村的，每个得0.1分，最高得1.5分</w:t>
            </w:r>
          </w:p>
        </w:tc>
        <w:tc>
          <w:tcPr>
            <w:tcW w:w="3066" w:type="dxa"/>
            <w:tcMar>
              <w:top w:w="15" w:type="dxa"/>
              <w:left w:w="15" w:type="dxa"/>
              <w:right w:w="15" w:type="dxa"/>
            </w:tcMar>
            <w:vAlign w:val="center"/>
          </w:tcPr>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提供文旅融合发展相关佐证资料</w:t>
            </w:r>
            <w:r>
              <w:rPr>
                <w:rFonts w:ascii="Times New Roman" w:hAnsi="Times New Roman" w:eastAsia="仿宋" w:cs="Times New Roman"/>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9" w:type="dxa"/>
            <w:vMerge w:val="restart"/>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城镇治理提升工程</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（6分）</w:t>
            </w:r>
          </w:p>
        </w:tc>
        <w:tc>
          <w:tcPr>
            <w:tcW w:w="1145" w:type="dxa"/>
            <w:vMerge w:val="restart"/>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建立完善基层治理体系</w:t>
            </w:r>
          </w:p>
        </w:tc>
        <w:tc>
          <w:tcPr>
            <w:tcW w:w="700"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25</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建立统一服务平台</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深化“最多跑一次”改革，建立统一服务平台得1分</w:t>
            </w:r>
          </w:p>
        </w:tc>
        <w:tc>
          <w:tcPr>
            <w:tcW w:w="3066" w:type="dxa"/>
            <w:tcMar>
              <w:top w:w="15" w:type="dxa"/>
              <w:left w:w="15" w:type="dxa"/>
              <w:right w:w="15" w:type="dxa"/>
            </w:tcMar>
            <w:vAlign w:val="center"/>
          </w:tcPr>
          <w:p>
            <w:pPr>
              <w:pStyle w:val="11"/>
              <w:spacing w:line="360" w:lineRule="exact"/>
              <w:jc w:val="both"/>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提供统一服务平台建设佐证资料（可依托县级平台）。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700"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26</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开展“美好环境与幸福生活共同</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缔造”活动</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开展“美好环境与幸福生活共同缔造”活动得0.5分；纳入省级以上试点得0.5分</w:t>
            </w:r>
          </w:p>
        </w:tc>
        <w:tc>
          <w:tcPr>
            <w:tcW w:w="3066" w:type="dxa"/>
            <w:tcMar>
              <w:top w:w="15" w:type="dxa"/>
              <w:left w:w="15" w:type="dxa"/>
              <w:right w:w="15" w:type="dxa"/>
            </w:tcMar>
            <w:vAlign w:val="center"/>
          </w:tcPr>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提供已开展的“共同缔造”活动相关佐证资料。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700" w:type="dxa"/>
            <w:tcMar>
              <w:top w:w="15" w:type="dxa"/>
              <w:left w:w="15" w:type="dxa"/>
              <w:right w:w="15" w:type="dxa"/>
            </w:tcMar>
            <w:vAlign w:val="center"/>
          </w:tcPr>
          <w:p>
            <w:pPr>
              <w:spacing w:line="360" w:lineRule="exact"/>
              <w:ind w:firstLine="210" w:firstLineChars="1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27</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深化法治乡镇创建，以党建引领</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乡镇发展</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7035" w:type="dxa"/>
            <w:tcMar>
              <w:top w:w="15" w:type="dxa"/>
              <w:left w:w="15" w:type="dxa"/>
              <w:right w:w="15" w:type="dxa"/>
            </w:tcMar>
            <w:vAlign w:val="center"/>
          </w:tcPr>
          <w:p>
            <w:pPr>
              <w:pStyle w:val="2"/>
              <w:ind w:firstLine="420" w:firstLineChars="200"/>
              <w:rPr>
                <w:rFonts w:ascii="Times New Roman" w:hAnsi="Times New Roman"/>
                <w:color w:val="000000" w:themeColor="text1"/>
                <w14:textFill>
                  <w14:solidFill>
                    <w14:schemeClr w14:val="tx1"/>
                  </w14:solidFill>
                </w14:textFill>
              </w:rPr>
            </w:pPr>
            <w:r>
              <w:rPr>
                <w:rFonts w:ascii="Times New Roman" w:hAnsi="Times New Roman" w:eastAsia="仿宋"/>
                <w:color w:val="000000" w:themeColor="text1"/>
                <w:kern w:val="2"/>
                <w:szCs w:val="21"/>
                <w14:textFill>
                  <w14:solidFill>
                    <w14:schemeClr w14:val="tx1"/>
                  </w14:solidFill>
                </w14:textFill>
              </w:rPr>
              <w:t>推广新时代“枫桥经验”，实现人民调解组织全覆盖，加强人民调解员队伍建设，大力开展法治示范创建活动得1分</w:t>
            </w:r>
          </w:p>
        </w:tc>
        <w:tc>
          <w:tcPr>
            <w:tcW w:w="3066" w:type="dxa"/>
            <w:tcMar>
              <w:top w:w="15" w:type="dxa"/>
              <w:left w:w="15" w:type="dxa"/>
              <w:right w:w="15" w:type="dxa"/>
            </w:tcMar>
            <w:vAlign w:val="center"/>
          </w:tcPr>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提供乡镇法治建设相关佐证资料</w:t>
            </w:r>
            <w:r>
              <w:rPr>
                <w:rFonts w:hint="eastAsia" w:ascii="Times New Roman" w:hAnsi="Times New Roman" w:eastAsia="仿宋"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vMerge w:val="restart"/>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推进城镇</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治理精细化</w:t>
            </w:r>
          </w:p>
        </w:tc>
        <w:tc>
          <w:tcPr>
            <w:tcW w:w="700" w:type="dxa"/>
            <w:tcMar>
              <w:top w:w="15" w:type="dxa"/>
              <w:left w:w="15" w:type="dxa"/>
              <w:right w:w="15" w:type="dxa"/>
            </w:tcMar>
            <w:vAlign w:val="center"/>
          </w:tcPr>
          <w:p>
            <w:pPr>
              <w:spacing w:line="360" w:lineRule="exact"/>
              <w:ind w:firstLine="210" w:firstLineChars="1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28</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完善“党建引领、综合服务、综治保障”的社区治理</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机制</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社区综合服务设施面积达到400平方米，得0.3分；建立社工站，以镇为单位建立购买社会组织服务工作机制，购买社会组织服务项目不少于10个，得0.3分；纳入省市社区治理试点示范，得0.2分；</w:t>
            </w:r>
            <w:r>
              <w:rPr>
                <w:rFonts w:hint="eastAsia" w:ascii="Times New Roman" w:hAnsi="Times New Roman" w:eastAsia="仿宋"/>
                <w:color w:val="000000" w:themeColor="text1"/>
                <w:szCs w:val="21"/>
                <w14:textFill>
                  <w14:solidFill>
                    <w14:schemeClr w14:val="tx1"/>
                  </w14:solidFill>
                </w14:textFill>
              </w:rPr>
              <w:t>强化</w:t>
            </w:r>
            <w:r>
              <w:rPr>
                <w:rFonts w:ascii="Times New Roman" w:hAnsi="Times New Roman" w:eastAsia="仿宋"/>
                <w:color w:val="000000" w:themeColor="text1"/>
                <w:szCs w:val="21"/>
                <w14:textFill>
                  <w14:solidFill>
                    <w14:schemeClr w14:val="tx1"/>
                  </w14:solidFill>
                </w14:textFill>
              </w:rPr>
              <w:t>党</w:t>
            </w:r>
            <w:r>
              <w:rPr>
                <w:rFonts w:hint="eastAsia" w:ascii="Times New Roman" w:hAnsi="Times New Roman" w:eastAsia="仿宋"/>
                <w:color w:val="000000" w:themeColor="text1"/>
                <w:szCs w:val="21"/>
                <w14:textFill>
                  <w14:solidFill>
                    <w14:schemeClr w14:val="tx1"/>
                  </w14:solidFill>
                </w14:textFill>
              </w:rPr>
              <w:t>建</w:t>
            </w:r>
            <w:r>
              <w:rPr>
                <w:rFonts w:ascii="Times New Roman" w:hAnsi="Times New Roman" w:eastAsia="仿宋"/>
                <w:color w:val="000000" w:themeColor="text1"/>
                <w:szCs w:val="21"/>
                <w14:textFill>
                  <w14:solidFill>
                    <w14:schemeClr w14:val="tx1"/>
                  </w14:solidFill>
                </w14:textFill>
              </w:rPr>
              <w:t>引领、</w:t>
            </w:r>
            <w:r>
              <w:rPr>
                <w:rFonts w:hint="eastAsia" w:ascii="Times New Roman" w:hAnsi="Times New Roman" w:eastAsia="仿宋"/>
                <w:color w:val="000000" w:themeColor="text1"/>
                <w:szCs w:val="21"/>
                <w14:textFill>
                  <w14:solidFill>
                    <w14:schemeClr w14:val="tx1"/>
                  </w14:solidFill>
                </w14:textFill>
              </w:rPr>
              <w:t>加强</w:t>
            </w:r>
            <w:r>
              <w:rPr>
                <w:rFonts w:ascii="Times New Roman" w:hAnsi="Times New Roman" w:eastAsia="仿宋"/>
                <w:color w:val="000000" w:themeColor="text1"/>
                <w:szCs w:val="21"/>
                <w14:textFill>
                  <w14:solidFill>
                    <w14:schemeClr w14:val="tx1"/>
                  </w14:solidFill>
                </w14:textFill>
              </w:rPr>
              <w:t>镇党委对</w:t>
            </w:r>
            <w:r>
              <w:rPr>
                <w:rFonts w:hint="eastAsia" w:ascii="Times New Roman" w:hAnsi="Times New Roman" w:eastAsia="仿宋"/>
                <w:color w:val="000000" w:themeColor="text1"/>
                <w:szCs w:val="21"/>
                <w14:textFill>
                  <w14:solidFill>
                    <w14:schemeClr w14:val="tx1"/>
                  </w14:solidFill>
                </w14:textFill>
              </w:rPr>
              <w:t>基层治理的全面领导</w:t>
            </w:r>
            <w:r>
              <w:rPr>
                <w:rFonts w:ascii="Times New Roman" w:hAnsi="Times New Roman" w:eastAsia="仿宋"/>
                <w:color w:val="000000" w:themeColor="text1"/>
                <w:szCs w:val="21"/>
                <w14:textFill>
                  <w14:solidFill>
                    <w14:schemeClr w14:val="tx1"/>
                  </w14:solidFill>
                </w14:textFill>
              </w:rPr>
              <w:t>，得0.2分</w:t>
            </w:r>
          </w:p>
        </w:tc>
        <w:tc>
          <w:tcPr>
            <w:tcW w:w="3066" w:type="dxa"/>
            <w:tcMar>
              <w:top w:w="15" w:type="dxa"/>
              <w:left w:w="15" w:type="dxa"/>
              <w:right w:w="15" w:type="dxa"/>
            </w:tcMar>
            <w:vAlign w:val="center"/>
          </w:tcPr>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提供相关佐证资料</w:t>
            </w:r>
            <w:r>
              <w:rPr>
                <w:rFonts w:hint="eastAsia" w:ascii="Times New Roman" w:hAnsi="Times New Roman" w:eastAsia="仿宋"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vMerge w:val="continue"/>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p>
        </w:tc>
        <w:tc>
          <w:tcPr>
            <w:tcW w:w="700" w:type="dxa"/>
            <w:tcMar>
              <w:top w:w="15" w:type="dxa"/>
              <w:left w:w="15" w:type="dxa"/>
              <w:right w:w="15" w:type="dxa"/>
            </w:tcMar>
            <w:vAlign w:val="center"/>
          </w:tcPr>
          <w:p>
            <w:pPr>
              <w:spacing w:line="360" w:lineRule="exact"/>
              <w:ind w:firstLine="210" w:firstLineChars="1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29</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推进基础要素管理精细化与雪亮工程建设</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建有综合数字化管理平台，根据镇区数字化管理面积覆盖率酌情给分，最高0.5分；全面完成地址信息调整规范、人口信息维护更新得0.2分；“雪亮”工程建设达标率90%以上得0.3分</w:t>
            </w:r>
          </w:p>
        </w:tc>
        <w:tc>
          <w:tcPr>
            <w:tcW w:w="3066" w:type="dxa"/>
            <w:tcMar>
              <w:top w:w="15" w:type="dxa"/>
              <w:left w:w="15" w:type="dxa"/>
              <w:right w:w="15" w:type="dxa"/>
            </w:tcMar>
            <w:vAlign w:val="center"/>
          </w:tcPr>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1.提供综合数字化管理平台及“雪亮工程”建设相关佐证资料；</w:t>
            </w:r>
          </w:p>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2.地址及人口信息通过警务系统后台倒查，现场实地抽查。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700" w:type="dxa"/>
            <w:tcMar>
              <w:top w:w="15" w:type="dxa"/>
              <w:left w:w="15" w:type="dxa"/>
              <w:right w:w="15" w:type="dxa"/>
            </w:tcMar>
            <w:vAlign w:val="center"/>
          </w:tcPr>
          <w:p>
            <w:pPr>
              <w:spacing w:line="360" w:lineRule="exact"/>
              <w:ind w:firstLine="210" w:firstLineChars="1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30</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推进综合行政执法改革</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合理配置与中心镇发展实际相适应的综合执法力量，实行‘一支队伍管执法’得0.5分；根据综合执法开展情况酌情给分，最高0.5分</w:t>
            </w:r>
          </w:p>
        </w:tc>
        <w:tc>
          <w:tcPr>
            <w:tcW w:w="3066" w:type="dxa"/>
            <w:tcMar>
              <w:top w:w="15" w:type="dxa"/>
              <w:left w:w="15" w:type="dxa"/>
              <w:right w:w="15" w:type="dxa"/>
            </w:tcMar>
            <w:vAlign w:val="center"/>
          </w:tcPr>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提供综合执法队伍建设、服务情况说明。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1129" w:type="dxa"/>
            <w:vMerge w:val="restart"/>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创新规划编制</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（4.5分）</w:t>
            </w:r>
          </w:p>
        </w:tc>
        <w:tc>
          <w:tcPr>
            <w:tcW w:w="114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强化国土空间规划引领</w:t>
            </w:r>
          </w:p>
        </w:tc>
        <w:tc>
          <w:tcPr>
            <w:tcW w:w="700" w:type="dxa"/>
            <w:tcMar>
              <w:top w:w="15" w:type="dxa"/>
              <w:left w:w="15" w:type="dxa"/>
              <w:right w:w="15" w:type="dxa"/>
            </w:tcMar>
            <w:vAlign w:val="center"/>
          </w:tcPr>
          <w:p>
            <w:pPr>
              <w:spacing w:line="360" w:lineRule="exact"/>
              <w:ind w:firstLine="210" w:firstLineChars="1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31</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完善国土空间规划编制</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在县（市、区）国土空间总体规划的城镇体系等级结构中被明确为中心镇进行重点培育得0.5分；启动中心镇国土空间总体规划编制得1分；镇区中心镇详细规划覆盖率达50%以上得0.5分</w:t>
            </w:r>
          </w:p>
        </w:tc>
        <w:tc>
          <w:tcPr>
            <w:tcW w:w="3066" w:type="dxa"/>
            <w:tcMar>
              <w:top w:w="15" w:type="dxa"/>
              <w:left w:w="15" w:type="dxa"/>
              <w:right w:w="15" w:type="dxa"/>
            </w:tcMar>
            <w:vAlign w:val="center"/>
          </w:tcPr>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提供县区国土空间总体规划、镇国土空间总体规划和详细规划的前期研究或相关成果材料。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完善专项</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规划编制</w:t>
            </w:r>
          </w:p>
        </w:tc>
        <w:tc>
          <w:tcPr>
            <w:tcW w:w="700" w:type="dxa"/>
            <w:tcMar>
              <w:top w:w="15" w:type="dxa"/>
              <w:left w:w="15" w:type="dxa"/>
              <w:right w:w="15" w:type="dxa"/>
            </w:tcMar>
            <w:vAlign w:val="center"/>
          </w:tcPr>
          <w:p>
            <w:pPr>
              <w:spacing w:line="360" w:lineRule="exact"/>
              <w:ind w:firstLine="210" w:firstLineChars="1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32</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配套制定各类专项规划</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2.5</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完成中心镇建设专项规划，主要包括市政基础设施、公共服务设施、绿化景观、历史文化保护、乡村振兴等内容，每项0.5分，最高2分；编制中心镇重大项目清单，明确建设任务及时限，有序推进项目建设得0.5分</w:t>
            </w:r>
          </w:p>
        </w:tc>
        <w:tc>
          <w:tcPr>
            <w:tcW w:w="3066" w:type="dxa"/>
            <w:tcMar>
              <w:top w:w="15" w:type="dxa"/>
              <w:left w:w="15" w:type="dxa"/>
              <w:right w:w="15" w:type="dxa"/>
            </w:tcMar>
            <w:vAlign w:val="center"/>
          </w:tcPr>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Cs w:val="21"/>
                <w14:textFill>
                  <w14:solidFill>
                    <w14:schemeClr w14:val="tx1"/>
                  </w14:solidFill>
                </w14:textFill>
              </w:rPr>
              <w:t>1.</w:t>
            </w:r>
            <w:r>
              <w:rPr>
                <w:rFonts w:ascii="Times New Roman" w:hAnsi="Times New Roman" w:eastAsia="仿宋" w:cs="Times New Roman"/>
                <w:color w:val="000000" w:themeColor="text1"/>
                <w:szCs w:val="21"/>
                <w14:textFill>
                  <w14:solidFill>
                    <w14:schemeClr w14:val="tx1"/>
                  </w14:solidFill>
                </w14:textFill>
              </w:rPr>
              <w:t>提供合并编制的中心镇建设专项规划或分别编制的各类专项规划成果；</w:t>
            </w:r>
          </w:p>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2.提供重大项目清单资料。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129" w:type="dxa"/>
            <w:vMerge w:val="restart"/>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深化行政管理体制改革</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（5分）</w:t>
            </w:r>
          </w:p>
        </w:tc>
        <w:tc>
          <w:tcPr>
            <w:tcW w:w="114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推动扩权</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赋能</w:t>
            </w:r>
          </w:p>
        </w:tc>
        <w:tc>
          <w:tcPr>
            <w:tcW w:w="700" w:type="dxa"/>
            <w:tcMar>
              <w:top w:w="15" w:type="dxa"/>
              <w:left w:w="15" w:type="dxa"/>
              <w:right w:w="15" w:type="dxa"/>
            </w:tcMar>
            <w:vAlign w:val="center"/>
          </w:tcPr>
          <w:p>
            <w:pPr>
              <w:spacing w:line="360" w:lineRule="exac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 xml:space="preserve">  33</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依法承接县级行政权力事项</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制定权责清单，拟制中心镇法定事项目录和承接事项目录得1分；根据中心镇履行法定权力、承接并行使县级行政权力情况酌情给分，最高得1分</w:t>
            </w:r>
          </w:p>
        </w:tc>
        <w:tc>
          <w:tcPr>
            <w:tcW w:w="3066" w:type="dxa"/>
            <w:tcMar>
              <w:top w:w="15" w:type="dxa"/>
              <w:left w:w="15" w:type="dxa"/>
              <w:right w:w="15" w:type="dxa"/>
            </w:tcMar>
            <w:vAlign w:val="center"/>
          </w:tcPr>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提供拟定的中心镇法定事项目录、承接事项目录和落实情况说明</w:t>
            </w:r>
            <w:r>
              <w:rPr>
                <w:rFonts w:hint="eastAsia" w:ascii="Times New Roman" w:hAnsi="Times New Roman" w:eastAsia="仿宋" w:cs="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体制机制</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创新</w:t>
            </w:r>
          </w:p>
        </w:tc>
        <w:tc>
          <w:tcPr>
            <w:tcW w:w="700" w:type="dxa"/>
            <w:tcMar>
              <w:top w:w="15" w:type="dxa"/>
              <w:left w:w="15" w:type="dxa"/>
              <w:right w:w="15" w:type="dxa"/>
            </w:tcMar>
            <w:vAlign w:val="center"/>
          </w:tcPr>
          <w:p>
            <w:pPr>
              <w:spacing w:line="360" w:lineRule="exac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 xml:space="preserve">  34</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推动基层“扁平化”管理</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中心镇政府职能配置合理，统筹使用工作力量，得0.5分；在中心镇派出所管辖的社区配备2名辅警、村配备1名辅警得0.5分；建立健全县（市、区）职能部门派出机构纳入中心镇统一指导和协调的工作机制，推动管理‘扁平化’，得1分</w:t>
            </w:r>
          </w:p>
        </w:tc>
        <w:tc>
          <w:tcPr>
            <w:tcW w:w="3066" w:type="dxa"/>
            <w:tcMar>
              <w:top w:w="15" w:type="dxa"/>
              <w:left w:w="15" w:type="dxa"/>
              <w:right w:w="15" w:type="dxa"/>
            </w:tcMar>
            <w:vAlign w:val="center"/>
          </w:tcPr>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提供中心镇行政机构设置及管理的相应佐证资料。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完善运行</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机制</w:t>
            </w:r>
          </w:p>
        </w:tc>
        <w:tc>
          <w:tcPr>
            <w:tcW w:w="700" w:type="dxa"/>
            <w:tcMar>
              <w:top w:w="15" w:type="dxa"/>
              <w:left w:w="15" w:type="dxa"/>
              <w:right w:w="15" w:type="dxa"/>
            </w:tcMar>
            <w:vAlign w:val="center"/>
          </w:tcPr>
          <w:p>
            <w:pPr>
              <w:spacing w:line="360" w:lineRule="exac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 xml:space="preserve">  35</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完善各项制度，保障运行高效</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根据中心镇健全完善权责清单管理制度情况酌情给分，最高得0.5分；建立完善中心镇信息公开制度，畅通群众监督投诉渠道得0.5分</w:t>
            </w:r>
          </w:p>
        </w:tc>
        <w:tc>
          <w:tcPr>
            <w:tcW w:w="3066" w:type="dxa"/>
            <w:tcMar>
              <w:top w:w="15" w:type="dxa"/>
              <w:left w:w="15" w:type="dxa"/>
              <w:right w:w="15" w:type="dxa"/>
            </w:tcMar>
            <w:vAlign w:val="center"/>
          </w:tcPr>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提供中心镇健全完善权责清单管理制度及运行情况、信息公开情况的佐证资料。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129" w:type="dxa"/>
            <w:vMerge w:val="restart"/>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深化财政融资制度改革（5分）</w:t>
            </w:r>
          </w:p>
        </w:tc>
        <w:tc>
          <w:tcPr>
            <w:tcW w:w="114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建立财政</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管理体制</w:t>
            </w:r>
          </w:p>
        </w:tc>
        <w:tc>
          <w:tcPr>
            <w:tcW w:w="700" w:type="dxa"/>
            <w:tcMar>
              <w:top w:w="15" w:type="dxa"/>
              <w:left w:w="15" w:type="dxa"/>
              <w:right w:w="15" w:type="dxa"/>
            </w:tcMar>
            <w:vAlign w:val="center"/>
          </w:tcPr>
          <w:p>
            <w:pPr>
              <w:spacing w:line="360" w:lineRule="exac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 xml:space="preserve">  36</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完善县本级与中心镇的财政体制</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县（市、区）建立激励中心镇发展的财政奖补机制得1分；合理划分县本级与中心镇的财政收入和支出责任得1分</w:t>
            </w:r>
          </w:p>
        </w:tc>
        <w:tc>
          <w:tcPr>
            <w:tcW w:w="3066" w:type="dxa"/>
            <w:tcMar>
              <w:top w:w="15" w:type="dxa"/>
              <w:left w:w="15" w:type="dxa"/>
              <w:right w:w="15" w:type="dxa"/>
            </w:tcMar>
            <w:vAlign w:val="center"/>
          </w:tcPr>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提供县（市、区）、中心镇财税分成机制、支持力度相关佐证资料。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拓宽投融资渠道</w:t>
            </w:r>
          </w:p>
        </w:tc>
        <w:tc>
          <w:tcPr>
            <w:tcW w:w="700" w:type="dxa"/>
            <w:tcMar>
              <w:top w:w="15" w:type="dxa"/>
              <w:left w:w="15" w:type="dxa"/>
              <w:right w:w="15" w:type="dxa"/>
            </w:tcMar>
            <w:vAlign w:val="center"/>
          </w:tcPr>
          <w:p>
            <w:pPr>
              <w:spacing w:line="360" w:lineRule="exac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 xml:space="preserve">  37</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加强投融资政策支撑，强化平台建设</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3</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创新出台支持中心镇建设发展的投融资政策得1分；建有投融资平台得1分；设立中心镇建设基金得1分</w:t>
            </w:r>
          </w:p>
        </w:tc>
        <w:tc>
          <w:tcPr>
            <w:tcW w:w="3066" w:type="dxa"/>
            <w:tcMar>
              <w:top w:w="15" w:type="dxa"/>
              <w:left w:w="15" w:type="dxa"/>
              <w:right w:w="15" w:type="dxa"/>
            </w:tcMar>
            <w:vAlign w:val="center"/>
          </w:tcPr>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提供投融资政策及平台建设相关佐证资料。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jc w:val="center"/>
        </w:trPr>
        <w:tc>
          <w:tcPr>
            <w:tcW w:w="1129" w:type="dxa"/>
            <w:vMerge w:val="restart"/>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深化农村产权制度改革（5分）</w:t>
            </w:r>
          </w:p>
        </w:tc>
        <w:tc>
          <w:tcPr>
            <w:tcW w:w="114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加强农村产权流转交易体系建设</w:t>
            </w:r>
          </w:p>
        </w:tc>
        <w:tc>
          <w:tcPr>
            <w:tcW w:w="700" w:type="dxa"/>
            <w:tcMar>
              <w:top w:w="15" w:type="dxa"/>
              <w:left w:w="15" w:type="dxa"/>
              <w:right w:w="15" w:type="dxa"/>
            </w:tcMar>
            <w:vAlign w:val="center"/>
          </w:tcPr>
          <w:p>
            <w:pPr>
              <w:spacing w:line="360" w:lineRule="exact"/>
              <w:ind w:firstLine="210" w:firstLineChars="1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38</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建立农村产权流转交易机制</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1.5</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建立中心镇农村产权流转交易机制得1分（原则与所属县级平台一体化运行），视机制运行效果酌情给分，最高0.5分</w:t>
            </w:r>
          </w:p>
        </w:tc>
        <w:tc>
          <w:tcPr>
            <w:tcW w:w="3066" w:type="dxa"/>
            <w:tcMar>
              <w:top w:w="15" w:type="dxa"/>
              <w:left w:w="15" w:type="dxa"/>
              <w:right w:w="15" w:type="dxa"/>
            </w:tcMar>
            <w:vAlign w:val="center"/>
          </w:tcPr>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提供农村产权流转交易机制建设相关佐证资料。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9"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拓宽农村集体经济发展路径</w:t>
            </w:r>
          </w:p>
        </w:tc>
        <w:tc>
          <w:tcPr>
            <w:tcW w:w="700" w:type="dxa"/>
            <w:tcMar>
              <w:top w:w="15" w:type="dxa"/>
              <w:left w:w="15" w:type="dxa"/>
              <w:right w:w="15" w:type="dxa"/>
            </w:tcMar>
            <w:vAlign w:val="center"/>
          </w:tcPr>
          <w:p>
            <w:pPr>
              <w:spacing w:line="360" w:lineRule="exact"/>
              <w:ind w:firstLine="210" w:firstLineChars="1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39</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推进集体资源资产“三权分置”改革</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1.5</w:t>
            </w:r>
          </w:p>
        </w:tc>
        <w:tc>
          <w:tcPr>
            <w:tcW w:w="7035" w:type="dxa"/>
            <w:tcMar>
              <w:top w:w="15" w:type="dxa"/>
              <w:left w:w="15" w:type="dxa"/>
              <w:right w:w="15" w:type="dxa"/>
            </w:tcMar>
            <w:vAlign w:val="center"/>
          </w:tcPr>
          <w:p>
            <w:pPr>
              <w:spacing w:line="360" w:lineRule="exact"/>
              <w:ind w:firstLine="42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探索盘活利用闲置宅基地、闲置农房和整合零星分散存量建设用地等资产资源，有具体实施方案并按方案推进得0.5分；有具体案例每项0.5分，最高1分</w:t>
            </w:r>
          </w:p>
        </w:tc>
        <w:tc>
          <w:tcPr>
            <w:tcW w:w="3066" w:type="dxa"/>
            <w:tcMar>
              <w:top w:w="15" w:type="dxa"/>
              <w:left w:w="15" w:type="dxa"/>
              <w:right w:w="15" w:type="dxa"/>
            </w:tcMar>
            <w:vAlign w:val="center"/>
          </w:tcPr>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提供改革实施方案和具体案例相关佐证资料。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9" w:type="dxa"/>
            <w:vMerge w:val="continue"/>
            <w:tcMar>
              <w:top w:w="15" w:type="dxa"/>
              <w:left w:w="15" w:type="dxa"/>
              <w:right w:w="15" w:type="dxa"/>
            </w:tcMar>
            <w:vAlign w:val="center"/>
          </w:tcPr>
          <w:p>
            <w:pPr>
              <w:spacing w:line="360" w:lineRule="exact"/>
              <w:ind w:firstLine="420"/>
              <w:jc w:val="center"/>
              <w:rPr>
                <w:rFonts w:ascii="Times New Roman" w:hAnsi="Times New Roman" w:eastAsia="仿宋"/>
                <w:color w:val="000000" w:themeColor="text1"/>
                <w:szCs w:val="21"/>
                <w14:textFill>
                  <w14:solidFill>
                    <w14:schemeClr w14:val="tx1"/>
                  </w14:solidFill>
                </w14:textFill>
              </w:rPr>
            </w:pPr>
          </w:p>
        </w:tc>
        <w:tc>
          <w:tcPr>
            <w:tcW w:w="114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强化用地保障和管理</w:t>
            </w:r>
          </w:p>
        </w:tc>
        <w:tc>
          <w:tcPr>
            <w:tcW w:w="700" w:type="dxa"/>
            <w:tcMar>
              <w:top w:w="15" w:type="dxa"/>
              <w:left w:w="15" w:type="dxa"/>
              <w:right w:w="15" w:type="dxa"/>
            </w:tcMar>
            <w:vAlign w:val="center"/>
          </w:tcPr>
          <w:p>
            <w:pPr>
              <w:spacing w:line="360" w:lineRule="exac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 xml:space="preserve">  40</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保障中心镇发展空间</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035" w:type="dxa"/>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县域新增建设用地指标向中心镇倾斜，视倾斜支持力度酌情给分，最高0.5分；依法开展全域土地综合整治得0.5分；根据农旅、文旅等项目“点状供地”情况酌情给分，最高0.5分；依法合规用地，完成耕地保护目标得0.5分</w:t>
            </w:r>
          </w:p>
        </w:tc>
        <w:tc>
          <w:tcPr>
            <w:tcW w:w="3066" w:type="dxa"/>
            <w:tcMar>
              <w:top w:w="15" w:type="dxa"/>
              <w:left w:w="15" w:type="dxa"/>
              <w:right w:w="15" w:type="dxa"/>
            </w:tcMar>
            <w:vAlign w:val="center"/>
          </w:tcPr>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1.提供建设用地支持、土地综合整治数据相关佐证资料；</w:t>
            </w:r>
          </w:p>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2.提供点状供地、耕地保护相关佐证资料。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1129" w:type="dxa"/>
            <w:vMerge w:val="restart"/>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完善人才振兴制度（4分）</w:t>
            </w:r>
          </w:p>
        </w:tc>
        <w:tc>
          <w:tcPr>
            <w:tcW w:w="114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夯实基层</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队伍</w:t>
            </w:r>
          </w:p>
        </w:tc>
        <w:tc>
          <w:tcPr>
            <w:tcW w:w="700"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41</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建立人才引进培养机制</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3</w:t>
            </w:r>
          </w:p>
        </w:tc>
        <w:tc>
          <w:tcPr>
            <w:tcW w:w="7035" w:type="dxa"/>
            <w:tcMar>
              <w:top w:w="15" w:type="dxa"/>
              <w:left w:w="15" w:type="dxa"/>
              <w:right w:w="15" w:type="dxa"/>
            </w:tcMar>
            <w:vAlign w:val="center"/>
          </w:tcPr>
          <w:p>
            <w:pPr>
              <w:spacing w:line="360" w:lineRule="exact"/>
              <w:ind w:firstLine="420"/>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建立人才培养制度，优化中心镇编制资源配置得1分；镇与上级部门、企业、高校等有干部交流、挂职等得2分</w:t>
            </w:r>
          </w:p>
        </w:tc>
        <w:tc>
          <w:tcPr>
            <w:tcW w:w="3066" w:type="dxa"/>
            <w:tcMar>
              <w:top w:w="15" w:type="dxa"/>
              <w:left w:w="15" w:type="dxa"/>
              <w:right w:w="15" w:type="dxa"/>
            </w:tcMar>
            <w:vAlign w:val="center"/>
          </w:tcPr>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提供人才引进培养相关佐证资料。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129" w:type="dxa"/>
            <w:vMerge w:val="continue"/>
            <w:tcMar>
              <w:top w:w="15" w:type="dxa"/>
              <w:left w:w="15" w:type="dxa"/>
              <w:right w:w="15" w:type="dxa"/>
            </w:tcMar>
            <w:vAlign w:val="center"/>
          </w:tcPr>
          <w:p>
            <w:pPr>
              <w:spacing w:line="360" w:lineRule="exact"/>
              <w:ind w:firstLine="420"/>
              <w:rPr>
                <w:rFonts w:ascii="Times New Roman" w:hAnsi="Times New Roman" w:eastAsia="仿宋"/>
                <w:color w:val="000000" w:themeColor="text1"/>
                <w:szCs w:val="21"/>
                <w14:textFill>
                  <w14:solidFill>
                    <w14:schemeClr w14:val="tx1"/>
                  </w14:solidFill>
                </w14:textFill>
              </w:rPr>
            </w:pPr>
          </w:p>
        </w:tc>
        <w:tc>
          <w:tcPr>
            <w:tcW w:w="114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深化就业和社会保障制度改革</w:t>
            </w:r>
          </w:p>
        </w:tc>
        <w:tc>
          <w:tcPr>
            <w:tcW w:w="700" w:type="dxa"/>
            <w:tcMar>
              <w:top w:w="15" w:type="dxa"/>
              <w:left w:w="15" w:type="dxa"/>
              <w:right w:w="15" w:type="dxa"/>
            </w:tcMar>
            <w:vAlign w:val="center"/>
          </w:tcPr>
          <w:p>
            <w:pPr>
              <w:spacing w:line="360" w:lineRule="exac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 xml:space="preserve">  42</w:t>
            </w:r>
          </w:p>
        </w:tc>
        <w:tc>
          <w:tcPr>
            <w:tcW w:w="173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提升农业转移人口就业保障</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7035" w:type="dxa"/>
            <w:tcMar>
              <w:top w:w="15" w:type="dxa"/>
              <w:left w:w="15" w:type="dxa"/>
              <w:right w:w="15" w:type="dxa"/>
            </w:tcMar>
            <w:vAlign w:val="center"/>
          </w:tcPr>
          <w:p>
            <w:pPr>
              <w:spacing w:line="360" w:lineRule="exact"/>
              <w:ind w:firstLine="420"/>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年均就业培训人数增长10%得0.5分，每再增长5%增得0.3分，最高1分</w:t>
            </w:r>
          </w:p>
        </w:tc>
        <w:tc>
          <w:tcPr>
            <w:tcW w:w="3066" w:type="dxa"/>
            <w:tcMar>
              <w:top w:w="15" w:type="dxa"/>
              <w:left w:w="15" w:type="dxa"/>
              <w:right w:w="15" w:type="dxa"/>
            </w:tcMar>
            <w:vAlign w:val="center"/>
          </w:tcPr>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提供相关佐证资料。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709" w:type="dxa"/>
            <w:gridSpan w:val="4"/>
            <w:tcMar>
              <w:top w:w="15" w:type="dxa"/>
              <w:left w:w="15" w:type="dxa"/>
              <w:right w:w="15" w:type="dxa"/>
            </w:tcMar>
            <w:vAlign w:val="center"/>
          </w:tcPr>
          <w:p>
            <w:pPr>
              <w:spacing w:line="360" w:lineRule="exact"/>
              <w:ind w:firstLine="420"/>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加分项</w:t>
            </w:r>
          </w:p>
        </w:tc>
        <w:tc>
          <w:tcPr>
            <w:tcW w:w="615" w:type="dxa"/>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3</w:t>
            </w:r>
          </w:p>
        </w:tc>
        <w:tc>
          <w:tcPr>
            <w:tcW w:w="7035" w:type="dxa"/>
            <w:tcMar>
              <w:top w:w="15" w:type="dxa"/>
              <w:left w:w="15" w:type="dxa"/>
              <w:right w:w="15" w:type="dxa"/>
            </w:tcMar>
            <w:vAlign w:val="center"/>
          </w:tcPr>
          <w:p>
            <w:pPr>
              <w:spacing w:line="360" w:lineRule="exact"/>
              <w:ind w:firstLine="420"/>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获得全国重点镇、“百镇建设行动”试点镇、经济发达镇行政管理体制改革试点镇、乡村振兴战略工作先进镇等反映经济社会发展的综合性荣誉称号可获得加分，国家级称号每项1分、省级每项0.5分，最高3分。</w:t>
            </w:r>
          </w:p>
        </w:tc>
        <w:tc>
          <w:tcPr>
            <w:tcW w:w="3066" w:type="dxa"/>
            <w:tcMar>
              <w:top w:w="15" w:type="dxa"/>
              <w:left w:w="15" w:type="dxa"/>
              <w:right w:w="15" w:type="dxa"/>
            </w:tcMar>
            <w:vAlign w:val="center"/>
          </w:tcPr>
          <w:p>
            <w:pPr>
              <w:pStyle w:val="11"/>
              <w:spacing w:line="360" w:lineRule="exact"/>
              <w:jc w:val="lef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提供相应佐证资料。</w:t>
            </w:r>
          </w:p>
        </w:tc>
      </w:tr>
    </w:tbl>
    <w:p>
      <w:pPr>
        <w:pStyle w:val="11"/>
        <w:ind w:firstLine="105" w:firstLineChars="50"/>
        <w:jc w:val="lef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注：</w:t>
      </w:r>
      <w:r>
        <w:rPr>
          <w:rFonts w:ascii="Times New Roman" w:hAnsi="Times New Roman" w:eastAsia="仿宋" w:cs="Times New Roman"/>
          <w:color w:val="000000" w:themeColor="text1"/>
          <w14:textFill>
            <w14:solidFill>
              <w14:schemeClr w14:val="tx1"/>
            </w14:solidFill>
          </w14:textFill>
        </w:rPr>
        <w:t>（1）评价中涉及的县域排名原则上不包含城关镇（含附表2、附表3涉及排名的内容，若三州推荐城关镇申报，则应包含城关镇）；</w:t>
      </w:r>
    </w:p>
    <w:p>
      <w:pPr>
        <w:pStyle w:val="11"/>
        <w:ind w:firstLine="525" w:firstLineChars="250"/>
        <w:jc w:val="left"/>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（2）第15项中新业态包括文化创意、现代物流、电子商务、健康养生、“宅经济”等；</w:t>
      </w:r>
    </w:p>
    <w:p>
      <w:pPr>
        <w:pStyle w:val="11"/>
        <w:ind w:firstLine="525" w:firstLineChars="250"/>
        <w:jc w:val="left"/>
        <w:rPr>
          <w:rFonts w:ascii="Times New Roman" w:hAnsi="Times New Roman" w:eastAsia="仿宋" w:cs="Times New Roman"/>
          <w:color w:val="000000" w:themeColor="text1"/>
          <w:szCs w:val="21"/>
          <w14:textFill>
            <w14:solidFill>
              <w14:schemeClr w14:val="tx1"/>
            </w14:solidFill>
          </w14:textFill>
        </w:rPr>
        <w:sectPr>
          <w:pgSz w:w="16838" w:h="11906" w:orient="landscape"/>
          <w:pgMar w:top="2098" w:right="1474" w:bottom="1985" w:left="1588" w:header="708" w:footer="708" w:gutter="0"/>
          <w:cols w:space="720" w:num="1"/>
          <w:docGrid w:linePitch="435" w:charSpace="0"/>
        </w:sectPr>
      </w:pPr>
      <w:r>
        <w:rPr>
          <w:rFonts w:ascii="Times New Roman" w:hAnsi="Times New Roman" w:eastAsia="仿宋" w:cs="Times New Roman"/>
          <w:color w:val="000000" w:themeColor="text1"/>
          <w14:textFill>
            <w14:solidFill>
              <w14:schemeClr w14:val="tx1"/>
            </w14:solidFill>
          </w14:textFill>
        </w:rPr>
        <w:t>（3）第21项中年度目标以相关部门或地方政府确定的年度目标任务为准。</w:t>
      </w:r>
    </w:p>
    <w:p>
      <w:pPr>
        <w:spacing w:line="540" w:lineRule="exac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 xml:space="preserve">附表3 </w:t>
      </w:r>
    </w:p>
    <w:p>
      <w:pPr>
        <w:spacing w:line="600" w:lineRule="exact"/>
        <w:ind w:firstLine="880"/>
        <w:jc w:val="center"/>
        <w:rPr>
          <w:rFonts w:ascii="Times New Roman" w:hAnsi="Times New Roman" w:eastAsia="方正小标宋简体"/>
          <w:bCs/>
          <w:color w:val="000000" w:themeColor="text1"/>
          <w:sz w:val="44"/>
          <w:szCs w:val="44"/>
          <w14:textFill>
            <w14:solidFill>
              <w14:schemeClr w14:val="tx1"/>
            </w14:solidFill>
          </w14:textFill>
        </w:rPr>
      </w:pPr>
      <w:r>
        <w:rPr>
          <w:rFonts w:ascii="Times New Roman" w:hAnsi="Times New Roman" w:eastAsia="方正小标宋简体"/>
          <w:bCs/>
          <w:color w:val="000000" w:themeColor="text1"/>
          <w:sz w:val="44"/>
          <w:szCs w:val="44"/>
          <w14:textFill>
            <w14:solidFill>
              <w14:schemeClr w14:val="tx1"/>
            </w14:solidFill>
          </w14:textFill>
        </w:rPr>
        <w:t>四川省</w:t>
      </w:r>
      <w:r>
        <w:rPr>
          <w:rFonts w:ascii="Times New Roman" w:hAnsi="Times New Roman" w:eastAsia="方正小标宋简体"/>
          <w:color w:val="000000" w:themeColor="text1"/>
          <w:sz w:val="44"/>
          <w:szCs w:val="44"/>
          <w14:textFill>
            <w14:solidFill>
              <w14:schemeClr w14:val="tx1"/>
            </w14:solidFill>
          </w14:textFill>
        </w:rPr>
        <w:t>“省级百强中心镇”</w:t>
      </w:r>
      <w:r>
        <w:rPr>
          <w:rFonts w:ascii="Times New Roman" w:hAnsi="Times New Roman" w:eastAsia="方正小标宋简体"/>
          <w:bCs/>
          <w:color w:val="000000" w:themeColor="text1"/>
          <w:sz w:val="44"/>
          <w:szCs w:val="44"/>
          <w14:textFill>
            <w14:solidFill>
              <w14:schemeClr w14:val="tx1"/>
            </w14:solidFill>
          </w14:textFill>
        </w:rPr>
        <w:t>考核个性指标（30分）</w:t>
      </w:r>
    </w:p>
    <w:p>
      <w:pPr>
        <w:spacing w:line="500" w:lineRule="exact"/>
        <w:ind w:firstLine="640"/>
        <w:jc w:val="center"/>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（一）城市化发展区中心镇</w:t>
      </w:r>
    </w:p>
    <w:tbl>
      <w:tblPr>
        <w:tblStyle w:val="6"/>
        <w:tblW w:w="15425" w:type="dxa"/>
        <w:jc w:val="center"/>
        <w:tblLayout w:type="fixed"/>
        <w:tblCellMar>
          <w:top w:w="0" w:type="dxa"/>
          <w:left w:w="0" w:type="dxa"/>
          <w:bottom w:w="0" w:type="dxa"/>
          <w:right w:w="0" w:type="dxa"/>
        </w:tblCellMar>
      </w:tblPr>
      <w:tblGrid>
        <w:gridCol w:w="1524"/>
        <w:gridCol w:w="667"/>
        <w:gridCol w:w="1583"/>
        <w:gridCol w:w="567"/>
        <w:gridCol w:w="7623"/>
        <w:gridCol w:w="3461"/>
      </w:tblGrid>
      <w:tr>
        <w:tblPrEx>
          <w:tblCellMar>
            <w:top w:w="0" w:type="dxa"/>
            <w:left w:w="0" w:type="dxa"/>
            <w:bottom w:w="0" w:type="dxa"/>
            <w:right w:w="0" w:type="dxa"/>
          </w:tblCellMar>
        </w:tblPrEx>
        <w:trPr>
          <w:trHeight w:val="317" w:hRule="atLeast"/>
          <w:tblHeader/>
          <w:jc w:val="center"/>
        </w:trPr>
        <w:tc>
          <w:tcPr>
            <w:tcW w:w="1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173" w:firstLineChars="82"/>
              <w:jc w:val="center"/>
              <w:textAlignment w:val="center"/>
              <w:rPr>
                <w:rFonts w:ascii="Times New Roman" w:hAnsi="Times New Roman" w:eastAsia="仿宋"/>
                <w:b/>
                <w:color w:val="000000" w:themeColor="text1"/>
                <w:szCs w:val="21"/>
                <w14:textFill>
                  <w14:solidFill>
                    <w14:schemeClr w14:val="tx1"/>
                  </w14:solidFill>
                </w14:textFill>
              </w:rPr>
            </w:pPr>
            <w:r>
              <w:rPr>
                <w:rFonts w:ascii="Times New Roman" w:hAnsi="Times New Roman" w:eastAsia="仿宋"/>
                <w:b/>
                <w:color w:val="000000" w:themeColor="text1"/>
                <w:szCs w:val="21"/>
                <w14:textFill>
                  <w14:solidFill>
                    <w14:schemeClr w14:val="tx1"/>
                  </w14:solidFill>
                </w14:textFill>
              </w:rPr>
              <w:t>考核内容</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b/>
                <w:color w:val="000000" w:themeColor="text1"/>
                <w:szCs w:val="21"/>
                <w14:textFill>
                  <w14:solidFill>
                    <w14:schemeClr w14:val="tx1"/>
                  </w14:solidFill>
                </w14:textFill>
              </w:rPr>
            </w:pPr>
            <w:r>
              <w:rPr>
                <w:rFonts w:ascii="Times New Roman" w:hAnsi="Times New Roman" w:eastAsia="仿宋"/>
                <w:b/>
                <w:color w:val="000000" w:themeColor="text1"/>
                <w:szCs w:val="21"/>
                <w14:textFill>
                  <w14:solidFill>
                    <w14:schemeClr w14:val="tx1"/>
                  </w14:solidFill>
                </w14:textFill>
              </w:rPr>
              <w:t>序号</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b/>
                <w:color w:val="000000" w:themeColor="text1"/>
                <w:szCs w:val="21"/>
                <w14:textFill>
                  <w14:solidFill>
                    <w14:schemeClr w14:val="tx1"/>
                  </w14:solidFill>
                </w14:textFill>
              </w:rPr>
            </w:pPr>
            <w:r>
              <w:rPr>
                <w:rFonts w:ascii="Times New Roman" w:hAnsi="Times New Roman" w:eastAsia="仿宋"/>
                <w:b/>
                <w:color w:val="000000" w:themeColor="text1"/>
                <w:szCs w:val="21"/>
                <w14:textFill>
                  <w14:solidFill>
                    <w14:schemeClr w14:val="tx1"/>
                  </w14:solidFill>
                </w14:textFill>
              </w:rPr>
              <w:t>考核指标</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b/>
                <w:color w:val="000000" w:themeColor="text1"/>
                <w:szCs w:val="21"/>
                <w14:textFill>
                  <w14:solidFill>
                    <w14:schemeClr w14:val="tx1"/>
                  </w14:solidFill>
                </w14:textFill>
              </w:rPr>
            </w:pPr>
            <w:r>
              <w:rPr>
                <w:rFonts w:ascii="Times New Roman" w:hAnsi="Times New Roman" w:eastAsia="仿宋"/>
                <w:b/>
                <w:color w:val="000000" w:themeColor="text1"/>
                <w:szCs w:val="21"/>
                <w14:textFill>
                  <w14:solidFill>
                    <w14:schemeClr w14:val="tx1"/>
                  </w14:solidFill>
                </w14:textFill>
              </w:rPr>
              <w:t>分值</w:t>
            </w:r>
          </w:p>
        </w:tc>
        <w:tc>
          <w:tcPr>
            <w:tcW w:w="7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b/>
                <w:color w:val="000000" w:themeColor="text1"/>
                <w:szCs w:val="21"/>
                <w14:textFill>
                  <w14:solidFill>
                    <w14:schemeClr w14:val="tx1"/>
                  </w14:solidFill>
                </w14:textFill>
              </w:rPr>
            </w:pPr>
            <w:r>
              <w:rPr>
                <w:rFonts w:ascii="Times New Roman" w:hAnsi="Times New Roman" w:eastAsia="仿宋"/>
                <w:b/>
                <w:color w:val="000000" w:themeColor="text1"/>
                <w:szCs w:val="21"/>
                <w14:textFill>
                  <w14:solidFill>
                    <w14:schemeClr w14:val="tx1"/>
                  </w14:solidFill>
                </w14:textFill>
              </w:rPr>
              <w:t>评分标准</w:t>
            </w:r>
          </w:p>
        </w:tc>
        <w:tc>
          <w:tcPr>
            <w:tcW w:w="3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b/>
                <w:color w:val="000000" w:themeColor="text1"/>
                <w:szCs w:val="21"/>
                <w14:textFill>
                  <w14:solidFill>
                    <w14:schemeClr w14:val="tx1"/>
                  </w14:solidFill>
                </w14:textFill>
              </w:rPr>
            </w:pPr>
            <w:r>
              <w:rPr>
                <w:rFonts w:ascii="Times New Roman" w:hAnsi="Times New Roman" w:eastAsia="仿宋"/>
                <w:b/>
                <w:color w:val="000000" w:themeColor="text1"/>
                <w:szCs w:val="21"/>
                <w14:textFill>
                  <w14:solidFill>
                    <w14:schemeClr w14:val="tx1"/>
                  </w14:solidFill>
                </w14:textFill>
              </w:rPr>
              <w:t>评分指导点</w:t>
            </w:r>
          </w:p>
        </w:tc>
      </w:tr>
      <w:tr>
        <w:tblPrEx>
          <w:tblCellMar>
            <w:top w:w="0" w:type="dxa"/>
            <w:left w:w="0" w:type="dxa"/>
            <w:bottom w:w="0" w:type="dxa"/>
            <w:right w:w="0" w:type="dxa"/>
          </w:tblCellMar>
        </w:tblPrEx>
        <w:trPr>
          <w:trHeight w:val="699" w:hRule="atLeast"/>
          <w:jc w:val="center"/>
        </w:trPr>
        <w:tc>
          <w:tcPr>
            <w:tcW w:w="15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城镇化水平和</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经济实力</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（7分）</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镇区常住人口</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5</w:t>
            </w:r>
          </w:p>
        </w:tc>
        <w:tc>
          <w:tcPr>
            <w:tcW w:w="7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考核年镇区常住人口≥1.5万人得1分，≥2万人得2分，≥2.5万人得3分；较2020年年均增长1%得0.5分，最高2分</w:t>
            </w:r>
          </w:p>
        </w:tc>
        <w:tc>
          <w:tcPr>
            <w:tcW w:w="3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提供相关人口统计数据。</w:t>
            </w:r>
          </w:p>
        </w:tc>
      </w:tr>
      <w:tr>
        <w:tblPrEx>
          <w:tblCellMar>
            <w:top w:w="0" w:type="dxa"/>
            <w:left w:w="0" w:type="dxa"/>
            <w:bottom w:w="0" w:type="dxa"/>
            <w:right w:w="0" w:type="dxa"/>
          </w:tblCellMar>
        </w:tblPrEx>
        <w:trPr>
          <w:trHeight w:val="669" w:hRule="atLeast"/>
          <w:jc w:val="center"/>
        </w:trPr>
        <w:tc>
          <w:tcPr>
            <w:tcW w:w="152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城镇人均可支配收入水平</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城镇居民人均可支配收入县域排名第一得2分、第二得1分、第三得0.5分</w:t>
            </w:r>
          </w:p>
        </w:tc>
        <w:tc>
          <w:tcPr>
            <w:tcW w:w="3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提供相关经济统计数据。</w:t>
            </w:r>
          </w:p>
        </w:tc>
      </w:tr>
      <w:tr>
        <w:tblPrEx>
          <w:tblCellMar>
            <w:top w:w="0" w:type="dxa"/>
            <w:left w:w="0" w:type="dxa"/>
            <w:bottom w:w="0" w:type="dxa"/>
            <w:right w:w="0" w:type="dxa"/>
          </w:tblCellMar>
        </w:tblPrEx>
        <w:trPr>
          <w:trHeight w:val="716" w:hRule="atLeast"/>
          <w:jc w:val="center"/>
        </w:trPr>
        <w:tc>
          <w:tcPr>
            <w:tcW w:w="15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产业优势</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（5分）</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strike/>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3</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strike/>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龙头企业</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strike/>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3</w:t>
            </w:r>
          </w:p>
        </w:tc>
        <w:tc>
          <w:tcPr>
            <w:tcW w:w="7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strike/>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设有全国500强企业每家得1分，省百强企业每家得0.5分，市级重点企业每家得0.3分，最高3分</w:t>
            </w:r>
          </w:p>
        </w:tc>
        <w:tc>
          <w:tcPr>
            <w:tcW w:w="346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提供相关经济统计数据和企业信息情况佐证资料。</w:t>
            </w:r>
          </w:p>
        </w:tc>
      </w:tr>
      <w:tr>
        <w:tblPrEx>
          <w:tblCellMar>
            <w:top w:w="0" w:type="dxa"/>
            <w:left w:w="0" w:type="dxa"/>
            <w:bottom w:w="0" w:type="dxa"/>
            <w:right w:w="0" w:type="dxa"/>
          </w:tblCellMar>
        </w:tblPrEx>
        <w:trPr>
          <w:trHeight w:val="537" w:hRule="atLeast"/>
          <w:jc w:val="center"/>
        </w:trPr>
        <w:tc>
          <w:tcPr>
            <w:tcW w:w="15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80"/>
              <w:jc w:val="center"/>
              <w:rPr>
                <w:rFonts w:ascii="Times New Roman" w:hAnsi="Times New Roman" w:eastAsia="仿宋"/>
                <w:color w:val="000000" w:themeColor="text1"/>
                <w:szCs w:val="21"/>
                <w14:textFill>
                  <w14:solidFill>
                    <w14:schemeClr w14:val="tx1"/>
                  </w14:solidFill>
                </w14:textFill>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4</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生产性服务水平</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 xml:space="preserve">有研发与设计服务、科技成果转化服务、知识产权及相关法律服务、货物运输等生产性服务组织，每个0.5分，最高2分 </w:t>
            </w:r>
          </w:p>
        </w:tc>
        <w:tc>
          <w:tcPr>
            <w:tcW w:w="34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94" w:hRule="atLeast"/>
          <w:jc w:val="center"/>
        </w:trPr>
        <w:tc>
          <w:tcPr>
            <w:tcW w:w="15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高品质城乡建设</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（7分）</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5</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住房市场供给</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品质</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引入品牌开发商建设居住小区每个得0.5分，最高1.5分；根据小区物业管理专业化服务水平酌情给分，最高0.5分</w:t>
            </w:r>
          </w:p>
        </w:tc>
        <w:tc>
          <w:tcPr>
            <w:tcW w:w="3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提供居住小区及物业管理相关佐证资料。</w:t>
            </w:r>
          </w:p>
        </w:tc>
      </w:tr>
      <w:tr>
        <w:tblPrEx>
          <w:tblCellMar>
            <w:top w:w="0" w:type="dxa"/>
            <w:left w:w="0" w:type="dxa"/>
            <w:bottom w:w="0" w:type="dxa"/>
            <w:right w:w="0" w:type="dxa"/>
          </w:tblCellMar>
        </w:tblPrEx>
        <w:trPr>
          <w:trHeight w:val="434" w:hRule="atLeast"/>
          <w:jc w:val="center"/>
        </w:trPr>
        <w:tc>
          <w:tcPr>
            <w:tcW w:w="15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80"/>
              <w:jc w:val="center"/>
              <w:rPr>
                <w:rFonts w:ascii="Times New Roman" w:hAnsi="Times New Roman" w:eastAsia="仿宋"/>
                <w:color w:val="000000" w:themeColor="text1"/>
                <w:szCs w:val="21"/>
                <w14:textFill>
                  <w14:solidFill>
                    <w14:schemeClr w14:val="tx1"/>
                  </w14:solidFill>
                </w14:textFill>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6</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地下空间开发</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7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建有复合商业、文体、停车等多功能地下空间开发利用项目，每处得0.5分，最高1分</w:t>
            </w:r>
          </w:p>
        </w:tc>
        <w:tc>
          <w:tcPr>
            <w:tcW w:w="3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提供地下空间开发利用相关佐证资料。</w:t>
            </w:r>
          </w:p>
        </w:tc>
      </w:tr>
      <w:tr>
        <w:tblPrEx>
          <w:tblCellMar>
            <w:top w:w="0" w:type="dxa"/>
            <w:left w:w="0" w:type="dxa"/>
            <w:bottom w:w="0" w:type="dxa"/>
            <w:right w:w="0" w:type="dxa"/>
          </w:tblCellMar>
        </w:tblPrEx>
        <w:trPr>
          <w:trHeight w:val="822" w:hRule="atLeast"/>
          <w:jc w:val="center"/>
        </w:trPr>
        <w:tc>
          <w:tcPr>
            <w:tcW w:w="15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80"/>
              <w:jc w:val="center"/>
              <w:rPr>
                <w:rFonts w:ascii="Times New Roman" w:hAnsi="Times New Roman" w:eastAsia="仿宋"/>
                <w:color w:val="000000" w:themeColor="text1"/>
                <w:szCs w:val="21"/>
                <w14:textFill>
                  <w14:solidFill>
                    <w14:schemeClr w14:val="tx1"/>
                  </w14:solidFill>
                </w14:textFill>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7</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高品质建筑</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建有装配式建筑应用项目每项得0.5分，最高1分；依托县级农村住房建设管理信息平台开展“数字农房”建设，探索农村住房建设全过程精细化管理，得1分</w:t>
            </w:r>
          </w:p>
        </w:tc>
        <w:tc>
          <w:tcPr>
            <w:tcW w:w="3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提供装配式建筑和“数字农房”建设相关情况说明。</w:t>
            </w:r>
          </w:p>
        </w:tc>
      </w:tr>
      <w:tr>
        <w:tblPrEx>
          <w:tblCellMar>
            <w:top w:w="0" w:type="dxa"/>
            <w:left w:w="0" w:type="dxa"/>
            <w:bottom w:w="0" w:type="dxa"/>
            <w:right w:w="0" w:type="dxa"/>
          </w:tblCellMar>
        </w:tblPrEx>
        <w:trPr>
          <w:trHeight w:val="587" w:hRule="atLeast"/>
          <w:jc w:val="center"/>
        </w:trPr>
        <w:tc>
          <w:tcPr>
            <w:tcW w:w="15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80"/>
              <w:jc w:val="center"/>
              <w:rPr>
                <w:rFonts w:ascii="Times New Roman" w:hAnsi="Times New Roman" w:eastAsia="仿宋"/>
                <w:color w:val="000000" w:themeColor="text1"/>
                <w:szCs w:val="21"/>
                <w14:textFill>
                  <w14:solidFill>
                    <w14:schemeClr w14:val="tx1"/>
                  </w14:solidFill>
                </w14:textFill>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8</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基础设施建设（含新基建）</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镇区每平方公里设有公共厕所数量≥5个得0.5分，≥8个得1分；建有5G基站、新能源汽车充电桩等新型基础设施或重大基础设施，每类得0.5分，最高1分</w:t>
            </w:r>
          </w:p>
        </w:tc>
        <w:tc>
          <w:tcPr>
            <w:tcW w:w="3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提供相关佐证资料。</w:t>
            </w:r>
          </w:p>
        </w:tc>
      </w:tr>
      <w:tr>
        <w:tblPrEx>
          <w:tblCellMar>
            <w:top w:w="0" w:type="dxa"/>
            <w:left w:w="0" w:type="dxa"/>
            <w:bottom w:w="0" w:type="dxa"/>
            <w:right w:w="0" w:type="dxa"/>
          </w:tblCellMar>
        </w:tblPrEx>
        <w:trPr>
          <w:trHeight w:val="572" w:hRule="atLeast"/>
          <w:jc w:val="center"/>
        </w:trPr>
        <w:tc>
          <w:tcPr>
            <w:tcW w:w="15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高品质公共服务</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（5分）</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9</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教育与文体设施</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1.5</w:t>
            </w:r>
          </w:p>
        </w:tc>
        <w:tc>
          <w:tcPr>
            <w:tcW w:w="7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建有高中或职业学校得0.5分；建有县级文化馆、图书馆分馆得0.5分；建有乡镇健身中心，室内面积不低于300平方米，室外不低于1000平方米得0.5分</w:t>
            </w:r>
          </w:p>
        </w:tc>
        <w:tc>
          <w:tcPr>
            <w:tcW w:w="3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提供教育与文体设施建设相关佐证资料。</w:t>
            </w:r>
          </w:p>
        </w:tc>
      </w:tr>
      <w:tr>
        <w:tblPrEx>
          <w:tblCellMar>
            <w:top w:w="0" w:type="dxa"/>
            <w:left w:w="0" w:type="dxa"/>
            <w:bottom w:w="0" w:type="dxa"/>
            <w:right w:w="0" w:type="dxa"/>
          </w:tblCellMar>
        </w:tblPrEx>
        <w:trPr>
          <w:trHeight w:val="547" w:hRule="atLeast"/>
          <w:jc w:val="center"/>
        </w:trPr>
        <w:tc>
          <w:tcPr>
            <w:tcW w:w="15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80"/>
              <w:jc w:val="center"/>
              <w:rPr>
                <w:rFonts w:ascii="Times New Roman" w:hAnsi="Times New Roman" w:eastAsia="仿宋"/>
                <w:color w:val="000000" w:themeColor="text1"/>
                <w:szCs w:val="21"/>
                <w14:textFill>
                  <w14:solidFill>
                    <w14:schemeClr w14:val="tx1"/>
                  </w14:solidFill>
                </w14:textFill>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医疗与养老服务</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中心镇卫生院（社区卫生服务中心）创建为二级及以上综合医院得1分；与县级、市、省综合医院开展医共体建设得0.5分；建有社区养老服务综合体得0.5分</w:t>
            </w:r>
          </w:p>
        </w:tc>
        <w:tc>
          <w:tcPr>
            <w:tcW w:w="3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提供医疗与养老服务相关佐证资料。</w:t>
            </w:r>
          </w:p>
        </w:tc>
      </w:tr>
      <w:tr>
        <w:tblPrEx>
          <w:tblCellMar>
            <w:top w:w="0" w:type="dxa"/>
            <w:left w:w="0" w:type="dxa"/>
            <w:bottom w:w="0" w:type="dxa"/>
            <w:right w:w="0" w:type="dxa"/>
          </w:tblCellMar>
        </w:tblPrEx>
        <w:trPr>
          <w:trHeight w:val="550" w:hRule="atLeast"/>
          <w:jc w:val="center"/>
        </w:trPr>
        <w:tc>
          <w:tcPr>
            <w:tcW w:w="15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80"/>
              <w:jc w:val="center"/>
              <w:rPr>
                <w:rFonts w:ascii="Times New Roman" w:hAnsi="Times New Roman" w:eastAsia="仿宋"/>
                <w:color w:val="000000" w:themeColor="text1"/>
                <w:szCs w:val="21"/>
                <w14:textFill>
                  <w14:solidFill>
                    <w14:schemeClr w14:val="tx1"/>
                  </w14:solidFill>
                </w14:textFill>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11</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商业服务</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1.5</w:t>
            </w:r>
          </w:p>
        </w:tc>
        <w:tc>
          <w:tcPr>
            <w:tcW w:w="7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镇区建有大型商场、商贸特色街、商贸综合体、高标准农贸市场每处得0.5分，最高1.5分</w:t>
            </w:r>
          </w:p>
        </w:tc>
        <w:tc>
          <w:tcPr>
            <w:tcW w:w="3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提供商业设施相关佐证资料。</w:t>
            </w:r>
          </w:p>
        </w:tc>
      </w:tr>
      <w:tr>
        <w:tblPrEx>
          <w:tblCellMar>
            <w:top w:w="0" w:type="dxa"/>
            <w:left w:w="0" w:type="dxa"/>
            <w:bottom w:w="0" w:type="dxa"/>
            <w:right w:w="0" w:type="dxa"/>
          </w:tblCellMar>
        </w:tblPrEx>
        <w:trPr>
          <w:trHeight w:val="466" w:hRule="atLeast"/>
          <w:jc w:val="center"/>
        </w:trPr>
        <w:tc>
          <w:tcPr>
            <w:tcW w:w="1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城乡融合</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（2分）</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12</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城乡可支配</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收入比</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城镇与农村人均可支配收入比小于2得0.5分，每减小0.2得0.5分，最高1.5分；农村居民人均可支配收入较2020年逐年稳步增长得0.5分</w:t>
            </w:r>
          </w:p>
        </w:tc>
        <w:tc>
          <w:tcPr>
            <w:tcW w:w="3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提供城镇、农村人均可支配收入数据。</w:t>
            </w:r>
          </w:p>
        </w:tc>
      </w:tr>
      <w:tr>
        <w:tblPrEx>
          <w:tblCellMar>
            <w:top w:w="0" w:type="dxa"/>
            <w:left w:w="0" w:type="dxa"/>
            <w:bottom w:w="0" w:type="dxa"/>
            <w:right w:w="0" w:type="dxa"/>
          </w:tblCellMar>
        </w:tblPrEx>
        <w:trPr>
          <w:trHeight w:val="275" w:hRule="atLeast"/>
          <w:jc w:val="center"/>
        </w:trPr>
        <w:tc>
          <w:tcPr>
            <w:tcW w:w="1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人才聚集</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（2分）</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13</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高层次人才聚集</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高层次人才数量占全镇常住人口数量比高于万分之二得0.5分，每增加万分之一得0.5分，最高2分</w:t>
            </w:r>
          </w:p>
        </w:tc>
        <w:tc>
          <w:tcPr>
            <w:tcW w:w="3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提供高层次人才情况佐证资料。</w:t>
            </w:r>
          </w:p>
        </w:tc>
      </w:tr>
      <w:tr>
        <w:tblPrEx>
          <w:tblCellMar>
            <w:top w:w="0" w:type="dxa"/>
            <w:left w:w="0" w:type="dxa"/>
            <w:bottom w:w="0" w:type="dxa"/>
            <w:right w:w="0" w:type="dxa"/>
          </w:tblCellMar>
        </w:tblPrEx>
        <w:trPr>
          <w:trHeight w:val="584" w:hRule="atLeast"/>
          <w:jc w:val="center"/>
        </w:trPr>
        <w:tc>
          <w:tcPr>
            <w:tcW w:w="15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智慧发展</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（2分）</w:t>
            </w: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14</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智慧城镇建设</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6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开展智慧园区、智慧城管、智慧教育、智慧医疗、智慧养老等智慧城镇项目建设，每个案例或项目得0.5分，最高2分</w:t>
            </w:r>
          </w:p>
        </w:tc>
        <w:tc>
          <w:tcPr>
            <w:tcW w:w="34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提供智慧城镇项目相关佐证资料。</w:t>
            </w:r>
          </w:p>
        </w:tc>
      </w:tr>
    </w:tbl>
    <w:p>
      <w:pPr>
        <w:pStyle w:val="2"/>
        <w:spacing w:line="500" w:lineRule="exact"/>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注：第13项中高层次人才包括：拥有硕士以上学历、副高以上职称、高级技工以上技能等级人才。</w:t>
      </w:r>
    </w:p>
    <w:p>
      <w:pPr>
        <w:spacing w:line="500" w:lineRule="exact"/>
        <w:ind w:firstLine="640"/>
        <w:jc w:val="center"/>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color w:val="000000" w:themeColor="text1"/>
          <w14:textFill>
            <w14:solidFill>
              <w14:schemeClr w14:val="tx1"/>
            </w14:solidFill>
          </w14:textFill>
        </w:rPr>
        <w:br w:type="page"/>
      </w:r>
      <w:r>
        <w:rPr>
          <w:rFonts w:ascii="Times New Roman" w:hAnsi="Times New Roman" w:eastAsia="楷体"/>
          <w:b/>
          <w:color w:val="000000" w:themeColor="text1"/>
          <w:sz w:val="32"/>
          <w:szCs w:val="32"/>
          <w14:textFill>
            <w14:solidFill>
              <w14:schemeClr w14:val="tx1"/>
            </w14:solidFill>
          </w14:textFill>
        </w:rPr>
        <w:t>（二）农产品主产区中心镇</w:t>
      </w:r>
    </w:p>
    <w:tbl>
      <w:tblPr>
        <w:tblStyle w:val="6"/>
        <w:tblW w:w="15461" w:type="dxa"/>
        <w:jc w:val="center"/>
        <w:tblLayout w:type="fixed"/>
        <w:tblCellMar>
          <w:top w:w="0" w:type="dxa"/>
          <w:left w:w="0" w:type="dxa"/>
          <w:bottom w:w="0" w:type="dxa"/>
          <w:right w:w="0" w:type="dxa"/>
        </w:tblCellMar>
      </w:tblPr>
      <w:tblGrid>
        <w:gridCol w:w="1551"/>
        <w:gridCol w:w="669"/>
        <w:gridCol w:w="1492"/>
        <w:gridCol w:w="638"/>
        <w:gridCol w:w="7632"/>
        <w:gridCol w:w="3479"/>
      </w:tblGrid>
      <w:tr>
        <w:tblPrEx>
          <w:tblCellMar>
            <w:top w:w="0" w:type="dxa"/>
            <w:left w:w="0" w:type="dxa"/>
            <w:bottom w:w="0" w:type="dxa"/>
            <w:right w:w="0" w:type="dxa"/>
          </w:tblCellMar>
        </w:tblPrEx>
        <w:trPr>
          <w:cantSplit/>
          <w:trHeight w:val="317" w:hRule="atLeast"/>
          <w:tblHeader/>
          <w:jc w:val="center"/>
        </w:trPr>
        <w:tc>
          <w:tcPr>
            <w:tcW w:w="1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226" w:firstLineChars="94"/>
              <w:jc w:val="center"/>
              <w:textAlignment w:val="center"/>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一级指标</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序号</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二级指标</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分值</w:t>
            </w:r>
          </w:p>
        </w:tc>
        <w:tc>
          <w:tcPr>
            <w:tcW w:w="7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评分标准</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评分指导点</w:t>
            </w:r>
          </w:p>
        </w:tc>
      </w:tr>
      <w:tr>
        <w:tblPrEx>
          <w:tblCellMar>
            <w:top w:w="0" w:type="dxa"/>
            <w:left w:w="0" w:type="dxa"/>
            <w:bottom w:w="0" w:type="dxa"/>
            <w:right w:w="0" w:type="dxa"/>
          </w:tblCellMar>
        </w:tblPrEx>
        <w:trPr>
          <w:cantSplit/>
          <w:trHeight w:val="752" w:hRule="atLeast"/>
          <w:jc w:val="center"/>
        </w:trPr>
        <w:tc>
          <w:tcPr>
            <w:tcW w:w="155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城镇化水平和</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经济实力</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（7分）</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镇区常住人口</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5</w:t>
            </w:r>
          </w:p>
        </w:tc>
        <w:tc>
          <w:tcPr>
            <w:tcW w:w="7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spacing w:line="360" w:lineRule="exact"/>
              <w:ind w:firstLine="420" w:firstLineChars="20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考核年镇区常住人口≥1万人得1分，≥1.5万人得2分，≥2万人得3分；较2020年年均增长0.5%得0.5分，最高2分</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提供相关人口统计数据。</w:t>
            </w:r>
          </w:p>
        </w:tc>
      </w:tr>
      <w:tr>
        <w:tblPrEx>
          <w:tblCellMar>
            <w:top w:w="0" w:type="dxa"/>
            <w:left w:w="0" w:type="dxa"/>
            <w:bottom w:w="0" w:type="dxa"/>
            <w:right w:w="0" w:type="dxa"/>
          </w:tblCellMar>
        </w:tblPrEx>
        <w:trPr>
          <w:cantSplit/>
          <w:trHeight w:val="640" w:hRule="atLeast"/>
          <w:jc w:val="center"/>
        </w:trPr>
        <w:tc>
          <w:tcPr>
            <w:tcW w:w="155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城镇人均可支配收入水平</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城镇居民人均可支配收入县域排名第一得2分、第二得1分、第三得0.5分</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提供相关经济统计数据。</w:t>
            </w:r>
          </w:p>
        </w:tc>
      </w:tr>
      <w:tr>
        <w:tblPrEx>
          <w:tblCellMar>
            <w:top w:w="0" w:type="dxa"/>
            <w:left w:w="0" w:type="dxa"/>
            <w:bottom w:w="0" w:type="dxa"/>
            <w:right w:w="0" w:type="dxa"/>
          </w:tblCellMar>
        </w:tblPrEx>
        <w:trPr>
          <w:cantSplit/>
          <w:trHeight w:val="647" w:hRule="atLeast"/>
          <w:jc w:val="center"/>
        </w:trPr>
        <w:tc>
          <w:tcPr>
            <w:tcW w:w="15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农业高品质发展（8分）</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3</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主导产业</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在省内占有优势地位的农业特色主导产业得1分，市内占有优势的农业主导产业得0.5分，最高1分；主导产业形成生产、加工、销售全产业链得1分</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提供相关经济统计数据和主导产业发展情况说明。</w:t>
            </w:r>
          </w:p>
        </w:tc>
      </w:tr>
      <w:tr>
        <w:tblPrEx>
          <w:tblCellMar>
            <w:top w:w="0" w:type="dxa"/>
            <w:left w:w="0" w:type="dxa"/>
            <w:bottom w:w="0" w:type="dxa"/>
            <w:right w:w="0" w:type="dxa"/>
          </w:tblCellMar>
        </w:tblPrEx>
        <w:trPr>
          <w:cantSplit/>
          <w:trHeight w:val="647" w:hRule="atLeast"/>
          <w:jc w:val="center"/>
        </w:trPr>
        <w:tc>
          <w:tcPr>
            <w:tcW w:w="1551" w:type="dxa"/>
            <w:vMerge w:val="continue"/>
            <w:tcBorders>
              <w:left w:val="single" w:color="000000" w:sz="4" w:space="0"/>
              <w:right w:val="single" w:color="000000" w:sz="4" w:space="0"/>
            </w:tcBorders>
            <w:tcMar>
              <w:top w:w="15" w:type="dxa"/>
              <w:left w:w="15" w:type="dxa"/>
              <w:right w:w="15" w:type="dxa"/>
            </w:tcMar>
            <w:vAlign w:val="center"/>
          </w:tcPr>
          <w:p>
            <w:pPr>
              <w:spacing w:line="360" w:lineRule="exact"/>
              <w:ind w:firstLine="480"/>
              <w:jc w:val="center"/>
              <w:textAlignment w:val="center"/>
              <w:rPr>
                <w:rFonts w:ascii="Times New Roman" w:hAnsi="Times New Roman" w:eastAsia="仿宋"/>
                <w:color w:val="000000" w:themeColor="text1"/>
                <w:szCs w:val="21"/>
                <w14:textFill>
                  <w14:solidFill>
                    <w14:schemeClr w14:val="tx1"/>
                  </w14:solidFill>
                </w14:textFill>
              </w:rPr>
            </w:pP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4</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生产性服务</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水平</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有农村集体经济组织、农民合作社、专业服务公司等提供农产品初加工、仓储保鲜服务、农机作业及维修、农业信息和营销服务等农业生产性服务组织，每个0.5分，最高2分</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提供农业生产性服务组织相关数据及情况说明。</w:t>
            </w:r>
          </w:p>
        </w:tc>
      </w:tr>
      <w:tr>
        <w:tblPrEx>
          <w:tblCellMar>
            <w:top w:w="0" w:type="dxa"/>
            <w:left w:w="0" w:type="dxa"/>
            <w:bottom w:w="0" w:type="dxa"/>
            <w:right w:w="0" w:type="dxa"/>
          </w:tblCellMar>
        </w:tblPrEx>
        <w:trPr>
          <w:cantSplit/>
          <w:trHeight w:val="693" w:hRule="atLeast"/>
          <w:jc w:val="center"/>
        </w:trPr>
        <w:tc>
          <w:tcPr>
            <w:tcW w:w="15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80"/>
              <w:jc w:val="center"/>
              <w:rPr>
                <w:rFonts w:ascii="Times New Roman" w:hAnsi="Times New Roman" w:eastAsia="仿宋"/>
                <w:color w:val="000000" w:themeColor="text1"/>
                <w:szCs w:val="21"/>
                <w14:textFill>
                  <w14:solidFill>
                    <w14:schemeClr w14:val="tx1"/>
                  </w14:solidFill>
                </w14:textFill>
              </w:rPr>
            </w:pP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5</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科技创新</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设有省级科研院所、高等学校分支机构得1分，市（州）级得0.7分，最高1分；开展农业科技企业孵化、先进成果转化、实用技术推广，每个成功案例得0.2分，最高1分</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提供农业科技创新相关佐证资料。</w:t>
            </w:r>
          </w:p>
        </w:tc>
      </w:tr>
      <w:tr>
        <w:tblPrEx>
          <w:tblCellMar>
            <w:top w:w="0" w:type="dxa"/>
            <w:left w:w="0" w:type="dxa"/>
            <w:bottom w:w="0" w:type="dxa"/>
            <w:right w:w="0" w:type="dxa"/>
          </w:tblCellMar>
        </w:tblPrEx>
        <w:trPr>
          <w:cantSplit/>
          <w:trHeight w:val="679" w:hRule="atLeast"/>
          <w:jc w:val="center"/>
        </w:trPr>
        <w:tc>
          <w:tcPr>
            <w:tcW w:w="15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80"/>
              <w:jc w:val="center"/>
              <w:rPr>
                <w:rFonts w:ascii="Times New Roman" w:hAnsi="Times New Roman" w:eastAsia="仿宋"/>
                <w:color w:val="000000" w:themeColor="text1"/>
                <w:szCs w:val="21"/>
                <w14:textFill>
                  <w14:solidFill>
                    <w14:schemeClr w14:val="tx1"/>
                  </w14:solidFill>
                </w14:textFill>
              </w:rPr>
            </w:pP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6</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新型农业经营主体</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设有省级以上农业产业化龙头企业每个得1分、市级每个得0.5分，农民合作社省级示范社或家庭农场每个得0.3分、市级每个得0.1分，最高2分</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提供龙头企业和其他经营主体相关佐证资料。</w:t>
            </w:r>
          </w:p>
        </w:tc>
      </w:tr>
      <w:tr>
        <w:tblPrEx>
          <w:tblCellMar>
            <w:top w:w="0" w:type="dxa"/>
            <w:left w:w="0" w:type="dxa"/>
            <w:bottom w:w="0" w:type="dxa"/>
            <w:right w:w="0" w:type="dxa"/>
          </w:tblCellMar>
        </w:tblPrEx>
        <w:trPr>
          <w:cantSplit/>
          <w:trHeight w:val="1014" w:hRule="atLeast"/>
          <w:jc w:val="center"/>
        </w:trPr>
        <w:tc>
          <w:tcPr>
            <w:tcW w:w="15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高品质城乡建设（6分）</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7</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住房市场供给品质</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引入品牌开发商建设居住小区或代建农房集聚区每个项目得0.5分，最高1.5分；根据小区物业管理专业化服务水平酌情给分，最高0.5分</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提供居住小区及物业管理相关佐证资料。</w:t>
            </w:r>
          </w:p>
        </w:tc>
      </w:tr>
      <w:tr>
        <w:tblPrEx>
          <w:tblCellMar>
            <w:top w:w="0" w:type="dxa"/>
            <w:left w:w="0" w:type="dxa"/>
            <w:bottom w:w="0" w:type="dxa"/>
            <w:right w:w="0" w:type="dxa"/>
          </w:tblCellMar>
        </w:tblPrEx>
        <w:trPr>
          <w:cantSplit/>
          <w:trHeight w:val="439" w:hRule="atLeast"/>
          <w:jc w:val="center"/>
        </w:trPr>
        <w:tc>
          <w:tcPr>
            <w:tcW w:w="15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80"/>
              <w:jc w:val="center"/>
              <w:rPr>
                <w:rFonts w:ascii="Times New Roman" w:hAnsi="Times New Roman" w:eastAsia="仿宋"/>
                <w:color w:val="000000" w:themeColor="text1"/>
                <w:szCs w:val="21"/>
                <w14:textFill>
                  <w14:solidFill>
                    <w14:schemeClr w14:val="tx1"/>
                  </w14:solidFill>
                </w14:textFill>
              </w:rPr>
            </w:pP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8</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配套设施完善</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建有5G基站、新能源汽车充电桩等新型基础设施或重大基础设施，每类得0.5分，最高1分；水、电、路、讯、网络等现代农业基础设施配套完善得1分</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提供相关佐证资料。</w:t>
            </w:r>
          </w:p>
        </w:tc>
      </w:tr>
      <w:tr>
        <w:tblPrEx>
          <w:tblCellMar>
            <w:top w:w="0" w:type="dxa"/>
            <w:left w:w="0" w:type="dxa"/>
            <w:bottom w:w="0" w:type="dxa"/>
            <w:right w:w="0" w:type="dxa"/>
          </w:tblCellMar>
        </w:tblPrEx>
        <w:trPr>
          <w:cantSplit/>
          <w:trHeight w:val="438" w:hRule="atLeast"/>
          <w:jc w:val="center"/>
        </w:trPr>
        <w:tc>
          <w:tcPr>
            <w:tcW w:w="15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80"/>
              <w:jc w:val="center"/>
              <w:rPr>
                <w:rFonts w:ascii="Times New Roman" w:hAnsi="Times New Roman" w:eastAsia="仿宋"/>
                <w:color w:val="000000" w:themeColor="text1"/>
                <w:szCs w:val="21"/>
                <w14:textFill>
                  <w14:solidFill>
                    <w14:schemeClr w14:val="tx1"/>
                  </w14:solidFill>
                </w14:textFill>
              </w:rPr>
            </w:pP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9</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高品质建筑</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整体农房建设品质较好，风貌体现地域文化特色得1分；依托县级农村住房建设管理信息平台开展“数字农房“建设，探索农村住房建设全过程精细化管理，得1分</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提供农房建设相关情况说明。</w:t>
            </w:r>
          </w:p>
        </w:tc>
      </w:tr>
      <w:tr>
        <w:tblPrEx>
          <w:tblCellMar>
            <w:top w:w="0" w:type="dxa"/>
            <w:left w:w="0" w:type="dxa"/>
            <w:bottom w:w="0" w:type="dxa"/>
            <w:right w:w="0" w:type="dxa"/>
          </w:tblCellMar>
        </w:tblPrEx>
        <w:trPr>
          <w:cantSplit/>
          <w:trHeight w:val="90" w:hRule="atLeast"/>
          <w:jc w:val="center"/>
        </w:trPr>
        <w:tc>
          <w:tcPr>
            <w:tcW w:w="15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高品质公共服务（5分）</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10</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教育与文体</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设施</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1.5</w:t>
            </w:r>
          </w:p>
        </w:tc>
        <w:tc>
          <w:tcPr>
            <w:tcW w:w="7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建有高中或职业学校得0.5分；建有县级文化馆、图书馆分馆得0.5分；建有乡镇健身中心，室内面积不低于300平方米，室外不低于1000平方米得0.5分</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提供教育与文体设施建设相关佐证资料。</w:t>
            </w:r>
          </w:p>
        </w:tc>
      </w:tr>
      <w:tr>
        <w:tblPrEx>
          <w:tblCellMar>
            <w:top w:w="0" w:type="dxa"/>
            <w:left w:w="0" w:type="dxa"/>
            <w:bottom w:w="0" w:type="dxa"/>
            <w:right w:w="0" w:type="dxa"/>
          </w:tblCellMar>
        </w:tblPrEx>
        <w:trPr>
          <w:cantSplit/>
          <w:trHeight w:val="537" w:hRule="atLeast"/>
          <w:jc w:val="center"/>
        </w:trPr>
        <w:tc>
          <w:tcPr>
            <w:tcW w:w="15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80"/>
              <w:jc w:val="center"/>
              <w:rPr>
                <w:rFonts w:ascii="Times New Roman" w:hAnsi="Times New Roman" w:eastAsia="仿宋"/>
                <w:color w:val="000000" w:themeColor="text1"/>
                <w:szCs w:val="21"/>
                <w14:textFill>
                  <w14:solidFill>
                    <w14:schemeClr w14:val="tx1"/>
                  </w14:solidFill>
                </w14:textFill>
              </w:rPr>
            </w:pP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11</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医疗与养老</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服务</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中心镇卫生院至少设置内科、外科、儿科、等7个临床科室和相应医技科室，基本满足辖区群众常见病、多发病就近诊治需要，得1.5分；建有社区养老服务综合体得0.5分</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提供医疗与养老服务相关佐证资料。</w:t>
            </w:r>
          </w:p>
        </w:tc>
      </w:tr>
      <w:tr>
        <w:tblPrEx>
          <w:tblCellMar>
            <w:top w:w="0" w:type="dxa"/>
            <w:left w:w="0" w:type="dxa"/>
            <w:bottom w:w="0" w:type="dxa"/>
            <w:right w:w="0" w:type="dxa"/>
          </w:tblCellMar>
        </w:tblPrEx>
        <w:trPr>
          <w:cantSplit/>
          <w:trHeight w:val="551" w:hRule="atLeast"/>
          <w:jc w:val="center"/>
        </w:trPr>
        <w:tc>
          <w:tcPr>
            <w:tcW w:w="15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80"/>
              <w:jc w:val="center"/>
              <w:rPr>
                <w:rFonts w:ascii="Times New Roman" w:hAnsi="Times New Roman" w:eastAsia="仿宋"/>
                <w:color w:val="000000" w:themeColor="text1"/>
                <w:szCs w:val="21"/>
                <w14:textFill>
                  <w14:solidFill>
                    <w14:schemeClr w14:val="tx1"/>
                  </w14:solidFill>
                </w14:textFill>
              </w:rPr>
            </w:pP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12</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商业服务</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1.5</w:t>
            </w:r>
          </w:p>
        </w:tc>
        <w:tc>
          <w:tcPr>
            <w:tcW w:w="7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镇区建有大型商场、商贸特色街、商贸综合体、高标准农贸市场每处得0.5分，最高1.5分</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提供商业设施相关佐证资料。</w:t>
            </w:r>
          </w:p>
        </w:tc>
      </w:tr>
      <w:tr>
        <w:tblPrEx>
          <w:tblCellMar>
            <w:top w:w="0" w:type="dxa"/>
            <w:left w:w="0" w:type="dxa"/>
            <w:bottom w:w="0" w:type="dxa"/>
            <w:right w:w="0" w:type="dxa"/>
          </w:tblCellMar>
        </w:tblPrEx>
        <w:trPr>
          <w:cantSplit/>
          <w:trHeight w:val="572" w:hRule="atLeast"/>
          <w:jc w:val="center"/>
        </w:trPr>
        <w:tc>
          <w:tcPr>
            <w:tcW w:w="1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城乡融合</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（2分）</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13</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城乡可支配</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收入比</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城镇与农村人均可支配收入比小于2得0.5分，每减小0.2得0.5分，最高1.5分；农村居民人均可支配收入较2020年逐年稳步增长得0.5分</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提供城镇、农村人均可支配收入数据。</w:t>
            </w:r>
          </w:p>
        </w:tc>
      </w:tr>
      <w:tr>
        <w:tblPrEx>
          <w:tblCellMar>
            <w:top w:w="0" w:type="dxa"/>
            <w:left w:w="0" w:type="dxa"/>
            <w:bottom w:w="0" w:type="dxa"/>
            <w:right w:w="0" w:type="dxa"/>
          </w:tblCellMar>
        </w:tblPrEx>
        <w:trPr>
          <w:cantSplit/>
          <w:trHeight w:val="459" w:hRule="atLeast"/>
          <w:jc w:val="center"/>
        </w:trPr>
        <w:tc>
          <w:tcPr>
            <w:tcW w:w="1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特色活动</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（2分）</w:t>
            </w:r>
          </w:p>
        </w:tc>
        <w:tc>
          <w:tcPr>
            <w:tcW w:w="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14</w:t>
            </w:r>
          </w:p>
        </w:tc>
        <w:tc>
          <w:tcPr>
            <w:tcW w:w="1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群众文化体育活动</w:t>
            </w:r>
          </w:p>
        </w:tc>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每年举办富有地方特色的传统农事节庆、农产品展销活动或文化创意、全民健身特色活动，每次1分，最高2分</w:t>
            </w:r>
          </w:p>
        </w:tc>
        <w:tc>
          <w:tcPr>
            <w:tcW w:w="3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提供特色活动相关佐证资料。</w:t>
            </w:r>
          </w:p>
        </w:tc>
      </w:tr>
    </w:tbl>
    <w:p>
      <w:pPr>
        <w:spacing w:line="500" w:lineRule="exact"/>
        <w:ind w:firstLine="640"/>
        <w:jc w:val="center"/>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黑体"/>
          <w:color w:val="000000" w:themeColor="text1"/>
          <w:szCs w:val="32"/>
          <w14:textFill>
            <w14:solidFill>
              <w14:schemeClr w14:val="tx1"/>
            </w14:solidFill>
          </w14:textFill>
        </w:rPr>
        <w:br w:type="page"/>
      </w:r>
      <w:r>
        <w:rPr>
          <w:rFonts w:ascii="Times New Roman" w:hAnsi="Times New Roman" w:eastAsia="楷体"/>
          <w:b/>
          <w:color w:val="000000" w:themeColor="text1"/>
          <w:sz w:val="32"/>
          <w:szCs w:val="32"/>
          <w14:textFill>
            <w14:solidFill>
              <w14:schemeClr w14:val="tx1"/>
            </w14:solidFill>
          </w14:textFill>
        </w:rPr>
        <w:t>（三）重点生态功能区中心镇</w:t>
      </w:r>
    </w:p>
    <w:tbl>
      <w:tblPr>
        <w:tblStyle w:val="6"/>
        <w:tblW w:w="0" w:type="auto"/>
        <w:jc w:val="center"/>
        <w:tblLayout w:type="fixed"/>
        <w:tblCellMar>
          <w:top w:w="0" w:type="dxa"/>
          <w:left w:w="0" w:type="dxa"/>
          <w:bottom w:w="0" w:type="dxa"/>
          <w:right w:w="0" w:type="dxa"/>
        </w:tblCellMar>
      </w:tblPr>
      <w:tblGrid>
        <w:gridCol w:w="1559"/>
        <w:gridCol w:w="651"/>
        <w:gridCol w:w="1426"/>
        <w:gridCol w:w="707"/>
        <w:gridCol w:w="7419"/>
        <w:gridCol w:w="3663"/>
      </w:tblGrid>
      <w:tr>
        <w:tblPrEx>
          <w:tblCellMar>
            <w:top w:w="0" w:type="dxa"/>
            <w:left w:w="0" w:type="dxa"/>
            <w:bottom w:w="0" w:type="dxa"/>
            <w:right w:w="0" w:type="dxa"/>
          </w:tblCellMar>
        </w:tblPrEx>
        <w:trPr>
          <w:cantSplit/>
          <w:trHeight w:val="403" w:hRule="atLeast"/>
          <w:tblHeader/>
          <w:jc w:val="center"/>
        </w:trPr>
        <w:tc>
          <w:tcPr>
            <w:tcW w:w="155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ind w:firstLine="198" w:firstLineChars="82"/>
              <w:jc w:val="center"/>
              <w:textAlignment w:val="center"/>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一级指标</w:t>
            </w:r>
          </w:p>
        </w:tc>
        <w:tc>
          <w:tcPr>
            <w:tcW w:w="65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序号</w:t>
            </w:r>
          </w:p>
        </w:tc>
        <w:tc>
          <w:tcPr>
            <w:tcW w:w="14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ind w:firstLine="118" w:firstLineChars="49"/>
              <w:jc w:val="center"/>
              <w:textAlignment w:val="center"/>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二级指标</w:t>
            </w:r>
          </w:p>
        </w:tc>
        <w:tc>
          <w:tcPr>
            <w:tcW w:w="70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ind w:firstLine="118" w:firstLineChars="49"/>
              <w:jc w:val="center"/>
              <w:textAlignment w:val="center"/>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分值</w:t>
            </w:r>
          </w:p>
        </w:tc>
        <w:tc>
          <w:tcPr>
            <w:tcW w:w="741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评分标准</w:t>
            </w:r>
          </w:p>
        </w:tc>
        <w:tc>
          <w:tcPr>
            <w:tcW w:w="36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评分指导点</w:t>
            </w:r>
          </w:p>
        </w:tc>
      </w:tr>
      <w:tr>
        <w:tblPrEx>
          <w:tblCellMar>
            <w:top w:w="0" w:type="dxa"/>
            <w:left w:w="0" w:type="dxa"/>
            <w:bottom w:w="0" w:type="dxa"/>
            <w:right w:w="0" w:type="dxa"/>
          </w:tblCellMar>
        </w:tblPrEx>
        <w:trPr>
          <w:cantSplit/>
          <w:trHeight w:val="572" w:hRule="atLeast"/>
          <w:jc w:val="center"/>
        </w:trPr>
        <w:tc>
          <w:tcPr>
            <w:tcW w:w="155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城镇化水平</w:t>
            </w:r>
          </w:p>
          <w:p>
            <w:pPr>
              <w:spacing w:line="360" w:lineRule="exact"/>
              <w:ind w:firstLine="277" w:firstLineChars="132"/>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（3分）</w:t>
            </w:r>
          </w:p>
        </w:tc>
        <w:tc>
          <w:tcPr>
            <w:tcW w:w="65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w:t>
            </w:r>
          </w:p>
        </w:tc>
        <w:tc>
          <w:tcPr>
            <w:tcW w:w="142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镇区常住</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人口</w:t>
            </w:r>
          </w:p>
        </w:tc>
        <w:tc>
          <w:tcPr>
            <w:tcW w:w="70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3</w:t>
            </w:r>
          </w:p>
        </w:tc>
        <w:tc>
          <w:tcPr>
            <w:tcW w:w="741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考核年镇区常住人口≥0.5万人得1分，≥1万人得2分；培育期间镇区常住人口逐年稳步增长得1分</w:t>
            </w:r>
          </w:p>
        </w:tc>
        <w:tc>
          <w:tcPr>
            <w:tcW w:w="366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提供相关人口统计数据。</w:t>
            </w:r>
          </w:p>
        </w:tc>
      </w:tr>
      <w:tr>
        <w:tblPrEx>
          <w:tblCellMar>
            <w:top w:w="0" w:type="dxa"/>
            <w:left w:w="0" w:type="dxa"/>
            <w:bottom w:w="0" w:type="dxa"/>
            <w:right w:w="0" w:type="dxa"/>
          </w:tblCellMar>
        </w:tblPrEx>
        <w:trPr>
          <w:cantSplit/>
          <w:trHeight w:val="460" w:hRule="atLeast"/>
          <w:jc w:val="center"/>
        </w:trPr>
        <w:tc>
          <w:tcPr>
            <w:tcW w:w="15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生态环境保护</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（6分）</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生态系统</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保护</w:t>
            </w: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落实省市两级划定的生态保护红线或其他保护要求，根据保护要求落实情况给分，最高2分</w:t>
            </w:r>
          </w:p>
        </w:tc>
        <w:tc>
          <w:tcPr>
            <w:tcW w:w="3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提供划定的生态保护红线范围、相应要求与落实情况说明。</w:t>
            </w:r>
          </w:p>
        </w:tc>
      </w:tr>
      <w:tr>
        <w:tblPrEx>
          <w:tblCellMar>
            <w:top w:w="0" w:type="dxa"/>
            <w:left w:w="0" w:type="dxa"/>
            <w:bottom w:w="0" w:type="dxa"/>
            <w:right w:w="0" w:type="dxa"/>
          </w:tblCellMar>
        </w:tblPrEx>
        <w:trPr>
          <w:cantSplit/>
          <w:trHeight w:val="399" w:hRule="atLeast"/>
          <w:jc w:val="center"/>
        </w:trPr>
        <w:tc>
          <w:tcPr>
            <w:tcW w:w="1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80"/>
              <w:jc w:val="center"/>
              <w:rPr>
                <w:rFonts w:ascii="Times New Roman" w:hAnsi="Times New Roman" w:eastAsia="仿宋"/>
                <w:color w:val="000000" w:themeColor="text1"/>
                <w:szCs w:val="21"/>
                <w14:textFill>
                  <w14:solidFill>
                    <w14:schemeClr w14:val="tx1"/>
                  </w14:solidFill>
                </w14:textFill>
              </w:rPr>
            </w:pP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3</w:t>
            </w: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空气质量</w:t>
            </w: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环境空气质量平均优良天数比例达85%以上得2分</w:t>
            </w:r>
          </w:p>
        </w:tc>
        <w:tc>
          <w:tcPr>
            <w:tcW w:w="3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提供空气质量数据。</w:t>
            </w:r>
          </w:p>
        </w:tc>
      </w:tr>
      <w:tr>
        <w:tblPrEx>
          <w:tblCellMar>
            <w:top w:w="0" w:type="dxa"/>
            <w:left w:w="0" w:type="dxa"/>
            <w:bottom w:w="0" w:type="dxa"/>
            <w:right w:w="0" w:type="dxa"/>
          </w:tblCellMar>
        </w:tblPrEx>
        <w:trPr>
          <w:cantSplit/>
          <w:trHeight w:val="363" w:hRule="atLeast"/>
          <w:jc w:val="center"/>
        </w:trPr>
        <w:tc>
          <w:tcPr>
            <w:tcW w:w="1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80"/>
              <w:jc w:val="center"/>
              <w:rPr>
                <w:rFonts w:ascii="Times New Roman" w:hAnsi="Times New Roman" w:eastAsia="仿宋"/>
                <w:color w:val="000000" w:themeColor="text1"/>
                <w:szCs w:val="21"/>
                <w14:textFill>
                  <w14:solidFill>
                    <w14:schemeClr w14:val="tx1"/>
                  </w14:solidFill>
                </w14:textFill>
              </w:rPr>
            </w:pP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4</w:t>
            </w: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水体质量</w:t>
            </w: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河流水质达到或优于Ⅲ类得2分</w:t>
            </w:r>
          </w:p>
        </w:tc>
        <w:tc>
          <w:tcPr>
            <w:tcW w:w="3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提供水质检测数据。</w:t>
            </w:r>
          </w:p>
        </w:tc>
      </w:tr>
      <w:tr>
        <w:tblPrEx>
          <w:tblCellMar>
            <w:top w:w="0" w:type="dxa"/>
            <w:left w:w="0" w:type="dxa"/>
            <w:bottom w:w="0" w:type="dxa"/>
            <w:right w:w="0" w:type="dxa"/>
          </w:tblCellMar>
        </w:tblPrEx>
        <w:trPr>
          <w:cantSplit/>
          <w:trHeight w:val="380" w:hRule="atLeast"/>
          <w:jc w:val="center"/>
        </w:trPr>
        <w:tc>
          <w:tcPr>
            <w:tcW w:w="15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产业优势</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（5分）</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5</w:t>
            </w: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旅游发展</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水平</w:t>
            </w: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3</w:t>
            </w:r>
          </w:p>
        </w:tc>
        <w:tc>
          <w:tcPr>
            <w:tcW w:w="7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年度旅游总收入超过0.5亿元得1分，超过1亿元得2分，超过2亿元得3分</w:t>
            </w:r>
          </w:p>
        </w:tc>
        <w:tc>
          <w:tcPr>
            <w:tcW w:w="3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提供旅游相关统计数据。</w:t>
            </w:r>
          </w:p>
        </w:tc>
      </w:tr>
      <w:tr>
        <w:tblPrEx>
          <w:tblCellMar>
            <w:top w:w="0" w:type="dxa"/>
            <w:left w:w="0" w:type="dxa"/>
            <w:bottom w:w="0" w:type="dxa"/>
            <w:right w:w="0" w:type="dxa"/>
          </w:tblCellMar>
        </w:tblPrEx>
        <w:trPr>
          <w:cantSplit/>
          <w:trHeight w:val="580" w:hRule="atLeast"/>
          <w:jc w:val="center"/>
        </w:trPr>
        <w:tc>
          <w:tcPr>
            <w:tcW w:w="1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80"/>
              <w:jc w:val="center"/>
              <w:rPr>
                <w:rFonts w:ascii="Times New Roman" w:hAnsi="Times New Roman" w:eastAsia="仿宋"/>
                <w:color w:val="000000" w:themeColor="text1"/>
                <w:szCs w:val="21"/>
                <w14:textFill>
                  <w14:solidFill>
                    <w14:schemeClr w14:val="tx1"/>
                  </w14:solidFill>
                </w14:textFill>
              </w:rPr>
            </w:pP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6</w:t>
            </w: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产业融合发展</w:t>
            </w: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推动农业、文化、旅游、教育、康养、林业等多产业深度融合，每个案例或项目得1分，最高2分</w:t>
            </w:r>
          </w:p>
        </w:tc>
        <w:tc>
          <w:tcPr>
            <w:tcW w:w="3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提供产业融合发展相关情况说明。</w:t>
            </w:r>
          </w:p>
        </w:tc>
      </w:tr>
      <w:tr>
        <w:tblPrEx>
          <w:tblCellMar>
            <w:top w:w="0" w:type="dxa"/>
            <w:left w:w="0" w:type="dxa"/>
            <w:bottom w:w="0" w:type="dxa"/>
            <w:right w:w="0" w:type="dxa"/>
          </w:tblCellMar>
        </w:tblPrEx>
        <w:trPr>
          <w:cantSplit/>
          <w:trHeight w:val="547" w:hRule="atLeast"/>
          <w:jc w:val="center"/>
        </w:trPr>
        <w:tc>
          <w:tcPr>
            <w:tcW w:w="15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高品质城乡建设</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（6分）</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7</w:t>
            </w: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特色街区</w:t>
            </w: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建有旅游、文创、商业特色街区得1分；视街区业态、风貌及特色发展情况酌情给分，最高1分</w:t>
            </w:r>
          </w:p>
        </w:tc>
        <w:tc>
          <w:tcPr>
            <w:tcW w:w="3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提供特色街区相关佐证资料。</w:t>
            </w:r>
          </w:p>
        </w:tc>
      </w:tr>
      <w:tr>
        <w:tblPrEx>
          <w:tblCellMar>
            <w:top w:w="0" w:type="dxa"/>
            <w:left w:w="0" w:type="dxa"/>
            <w:bottom w:w="0" w:type="dxa"/>
            <w:right w:w="0" w:type="dxa"/>
          </w:tblCellMar>
        </w:tblPrEx>
        <w:trPr>
          <w:cantSplit/>
          <w:trHeight w:val="646" w:hRule="atLeast"/>
          <w:jc w:val="center"/>
        </w:trPr>
        <w:tc>
          <w:tcPr>
            <w:tcW w:w="1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80"/>
              <w:jc w:val="center"/>
              <w:rPr>
                <w:rFonts w:ascii="Times New Roman" w:hAnsi="Times New Roman" w:eastAsia="仿宋"/>
                <w:color w:val="000000" w:themeColor="text1"/>
                <w:szCs w:val="21"/>
                <w14:textFill>
                  <w14:solidFill>
                    <w14:schemeClr w14:val="tx1"/>
                  </w14:solidFill>
                </w14:textFill>
              </w:rPr>
            </w:pP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8</w:t>
            </w: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高品质农房</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建设</w:t>
            </w: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整体农房建设品质较好，风貌体现地域文化特色得1分；依托县级农村住房建设管理信息平台开展“数字农房“建设，探索农村住房建设全过程精细化管理，得1分</w:t>
            </w:r>
          </w:p>
        </w:tc>
        <w:tc>
          <w:tcPr>
            <w:tcW w:w="3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提供农房建设相关情况说明。</w:t>
            </w:r>
          </w:p>
        </w:tc>
      </w:tr>
      <w:tr>
        <w:tblPrEx>
          <w:tblCellMar>
            <w:top w:w="0" w:type="dxa"/>
            <w:left w:w="0" w:type="dxa"/>
            <w:bottom w:w="0" w:type="dxa"/>
            <w:right w:w="0" w:type="dxa"/>
          </w:tblCellMar>
        </w:tblPrEx>
        <w:trPr>
          <w:cantSplit/>
          <w:trHeight w:val="521" w:hRule="atLeast"/>
          <w:jc w:val="center"/>
        </w:trPr>
        <w:tc>
          <w:tcPr>
            <w:tcW w:w="1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80"/>
              <w:jc w:val="center"/>
              <w:rPr>
                <w:rFonts w:ascii="Times New Roman" w:hAnsi="Times New Roman" w:eastAsia="仿宋"/>
                <w:color w:val="000000" w:themeColor="text1"/>
                <w:szCs w:val="21"/>
                <w14:textFill>
                  <w14:solidFill>
                    <w14:schemeClr w14:val="tx1"/>
                  </w14:solidFill>
                </w14:textFill>
              </w:rPr>
            </w:pP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9</w:t>
            </w: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历史文化村落保护利用</w:t>
            </w: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根据历史文化名村、传统村落的保护及活化利用情况酌情给分，最高2分</w:t>
            </w:r>
          </w:p>
        </w:tc>
        <w:tc>
          <w:tcPr>
            <w:tcW w:w="3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提供历史文化名村、传统村落保护规划及保护发展相关情况说明。</w:t>
            </w:r>
          </w:p>
        </w:tc>
      </w:tr>
      <w:tr>
        <w:tblPrEx>
          <w:tblCellMar>
            <w:top w:w="0" w:type="dxa"/>
            <w:left w:w="0" w:type="dxa"/>
            <w:bottom w:w="0" w:type="dxa"/>
            <w:right w:w="0" w:type="dxa"/>
          </w:tblCellMar>
        </w:tblPrEx>
        <w:trPr>
          <w:cantSplit/>
          <w:trHeight w:val="357" w:hRule="atLeast"/>
          <w:jc w:val="center"/>
        </w:trPr>
        <w:tc>
          <w:tcPr>
            <w:tcW w:w="155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高品质公共</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服务</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（6分）</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10</w:t>
            </w: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教育与文体</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设施</w:t>
            </w: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1.5</w:t>
            </w:r>
          </w:p>
        </w:tc>
        <w:tc>
          <w:tcPr>
            <w:tcW w:w="7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建有高中或职业学校得0.5分；建有县级文化馆、图书馆分馆得0.5分；建有乡镇健身中心，室内面积不低于300平方米，室外不低于1000平方米得0.5分</w:t>
            </w:r>
          </w:p>
        </w:tc>
        <w:tc>
          <w:tcPr>
            <w:tcW w:w="3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提供教育与文体设施建设相关佐证资料。</w:t>
            </w:r>
          </w:p>
        </w:tc>
      </w:tr>
      <w:tr>
        <w:tblPrEx>
          <w:tblCellMar>
            <w:top w:w="0" w:type="dxa"/>
            <w:left w:w="0" w:type="dxa"/>
            <w:bottom w:w="0" w:type="dxa"/>
            <w:right w:w="0" w:type="dxa"/>
          </w:tblCellMar>
        </w:tblPrEx>
        <w:trPr>
          <w:cantSplit/>
          <w:trHeight w:val="370" w:hRule="atLeast"/>
          <w:jc w:val="center"/>
        </w:trPr>
        <w:tc>
          <w:tcPr>
            <w:tcW w:w="1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80"/>
              <w:jc w:val="center"/>
              <w:rPr>
                <w:rFonts w:ascii="Times New Roman" w:hAnsi="Times New Roman" w:eastAsia="仿宋"/>
                <w:color w:val="000000" w:themeColor="text1"/>
                <w:szCs w:val="21"/>
                <w14:textFill>
                  <w14:solidFill>
                    <w14:schemeClr w14:val="tx1"/>
                  </w14:solidFill>
                </w14:textFill>
              </w:rPr>
            </w:pP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11</w:t>
            </w: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医疗设施</w:t>
            </w: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1.5</w:t>
            </w:r>
          </w:p>
        </w:tc>
        <w:tc>
          <w:tcPr>
            <w:tcW w:w="7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14:textFill>
                  <w14:solidFill>
                    <w14:schemeClr w14:val="tx1"/>
                  </w14:solidFill>
                </w14:textFill>
              </w:rPr>
              <w:t>中心镇卫生院业务用房面积达到目录规定标准，得0.5分；至少开设5个临床科室和相应医技科室，得0.5分；除场镇所在地行政村外，村村建有标准化卫生室，得0.5分</w:t>
            </w:r>
          </w:p>
        </w:tc>
        <w:tc>
          <w:tcPr>
            <w:tcW w:w="3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提供医疗设施建设相关佐证资料。</w:t>
            </w:r>
          </w:p>
        </w:tc>
      </w:tr>
      <w:tr>
        <w:tblPrEx>
          <w:tblCellMar>
            <w:top w:w="0" w:type="dxa"/>
            <w:left w:w="0" w:type="dxa"/>
            <w:bottom w:w="0" w:type="dxa"/>
            <w:right w:w="0" w:type="dxa"/>
          </w:tblCellMar>
        </w:tblPrEx>
        <w:trPr>
          <w:cantSplit/>
          <w:trHeight w:val="506" w:hRule="atLeast"/>
          <w:jc w:val="center"/>
        </w:trPr>
        <w:tc>
          <w:tcPr>
            <w:tcW w:w="1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80"/>
              <w:jc w:val="center"/>
              <w:rPr>
                <w:rFonts w:ascii="Times New Roman" w:hAnsi="Times New Roman" w:eastAsia="仿宋"/>
                <w:color w:val="000000" w:themeColor="text1"/>
                <w:szCs w:val="21"/>
                <w14:textFill>
                  <w14:solidFill>
                    <w14:schemeClr w14:val="tx1"/>
                  </w14:solidFill>
                </w14:textFill>
              </w:rPr>
            </w:pP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12</w:t>
            </w: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康养服务</w:t>
            </w: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1.5</w:t>
            </w:r>
          </w:p>
        </w:tc>
        <w:tc>
          <w:tcPr>
            <w:tcW w:w="7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建有医养、康养综合体、社区养老服务综合体和智慧医疗、智慧养老等智慧城镇项目，每个0.5分，最高1.5分</w:t>
            </w:r>
          </w:p>
        </w:tc>
        <w:tc>
          <w:tcPr>
            <w:tcW w:w="3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提供医养、康养服务项目相关佐证资料。</w:t>
            </w:r>
          </w:p>
        </w:tc>
      </w:tr>
      <w:tr>
        <w:tblPrEx>
          <w:tblCellMar>
            <w:top w:w="0" w:type="dxa"/>
            <w:left w:w="0" w:type="dxa"/>
            <w:bottom w:w="0" w:type="dxa"/>
            <w:right w:w="0" w:type="dxa"/>
          </w:tblCellMar>
        </w:tblPrEx>
        <w:trPr>
          <w:cantSplit/>
          <w:trHeight w:val="546" w:hRule="atLeast"/>
          <w:jc w:val="center"/>
        </w:trPr>
        <w:tc>
          <w:tcPr>
            <w:tcW w:w="155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80"/>
              <w:jc w:val="center"/>
              <w:rPr>
                <w:rFonts w:ascii="Times New Roman" w:hAnsi="Times New Roman" w:eastAsia="仿宋"/>
                <w:color w:val="000000" w:themeColor="text1"/>
                <w:szCs w:val="21"/>
                <w14:textFill>
                  <w14:solidFill>
                    <w14:schemeClr w14:val="tx1"/>
                  </w14:solidFill>
                </w14:textFill>
              </w:rPr>
            </w:pP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13</w:t>
            </w: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商业服务</w:t>
            </w: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1.5</w:t>
            </w:r>
          </w:p>
        </w:tc>
        <w:tc>
          <w:tcPr>
            <w:tcW w:w="7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镇区建有商业特色街、商贸综合体、高标准农贸市场每处得0.5分，最高1.5分</w:t>
            </w:r>
          </w:p>
        </w:tc>
        <w:tc>
          <w:tcPr>
            <w:tcW w:w="3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提供商业设施相关佐证资料。</w:t>
            </w:r>
          </w:p>
        </w:tc>
      </w:tr>
      <w:tr>
        <w:tblPrEx>
          <w:tblCellMar>
            <w:top w:w="0" w:type="dxa"/>
            <w:left w:w="0" w:type="dxa"/>
            <w:bottom w:w="0" w:type="dxa"/>
            <w:right w:w="0" w:type="dxa"/>
          </w:tblCellMar>
        </w:tblPrEx>
        <w:trPr>
          <w:cantSplit/>
          <w:trHeight w:val="598" w:hRule="atLeast"/>
          <w:jc w:val="center"/>
        </w:trPr>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城乡融合</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（2分）</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14</w:t>
            </w: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城乡可支配收入比</w:t>
            </w: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城镇与农村人均可支配收入比小于1.5得0.5分，每减小0.1得0.5分，最高1.5分；农村居民人均可支配收入较2020年逐年稳步增长得0.5分</w:t>
            </w:r>
          </w:p>
        </w:tc>
        <w:tc>
          <w:tcPr>
            <w:tcW w:w="3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提供城镇、农村人均可支配收入数据。</w:t>
            </w:r>
          </w:p>
        </w:tc>
      </w:tr>
      <w:tr>
        <w:tblPrEx>
          <w:tblCellMar>
            <w:top w:w="0" w:type="dxa"/>
            <w:left w:w="0" w:type="dxa"/>
            <w:bottom w:w="0" w:type="dxa"/>
            <w:right w:w="0" w:type="dxa"/>
          </w:tblCellMar>
        </w:tblPrEx>
        <w:trPr>
          <w:cantSplit/>
          <w:trHeight w:val="473" w:hRule="atLeast"/>
          <w:jc w:val="center"/>
        </w:trPr>
        <w:tc>
          <w:tcPr>
            <w:tcW w:w="15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特色活动</w:t>
            </w:r>
          </w:p>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（2分）</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15</w:t>
            </w:r>
          </w:p>
        </w:tc>
        <w:tc>
          <w:tcPr>
            <w:tcW w:w="14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群众文化体育活动</w:t>
            </w:r>
          </w:p>
        </w:tc>
        <w:tc>
          <w:tcPr>
            <w:tcW w:w="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2</w:t>
            </w:r>
          </w:p>
        </w:tc>
        <w:tc>
          <w:tcPr>
            <w:tcW w:w="7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ind w:firstLine="420" w:firstLineChars="200"/>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每年举办富有地方特色的民俗活动、特色产品展销活动或文化创意、全民健身特色活动，每次1分，最高2分</w:t>
            </w:r>
          </w:p>
        </w:tc>
        <w:tc>
          <w:tcPr>
            <w:tcW w:w="3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textAlignment w:val="center"/>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提供特色活动相关佐证资料。</w:t>
            </w:r>
          </w:p>
        </w:tc>
      </w:tr>
    </w:tbl>
    <w:p>
      <w:pPr>
        <w:pStyle w:val="2"/>
        <w:ind w:firstLine="640"/>
        <w:rPr>
          <w:rFonts w:ascii="Times New Roman" w:hAnsi="Times New Roman"/>
          <w:color w:val="000000" w:themeColor="text1"/>
          <w14:textFill>
            <w14:solidFill>
              <w14:schemeClr w14:val="tx1"/>
            </w14:solidFill>
          </w14:textFill>
        </w:rPr>
      </w:pPr>
    </w:p>
    <w:p>
      <w:pPr>
        <w:pStyle w:val="2"/>
        <w:spacing w:after="0" w:line="600" w:lineRule="exact"/>
        <w:rPr>
          <w:rFonts w:ascii="Times New Roman" w:hAnsi="Times New Roman" w:eastAsia="黑体"/>
          <w:color w:val="000000" w:themeColor="text1"/>
          <w:sz w:val="32"/>
          <w14:textFill>
            <w14:solidFill>
              <w14:schemeClr w14:val="tx1"/>
            </w14:solidFill>
          </w14:textFill>
        </w:rPr>
      </w:pPr>
      <w:r>
        <w:rPr>
          <w:rFonts w:ascii="Times New Roman" w:hAnsi="Times New Roman"/>
          <w:color w:val="000000" w:themeColor="text1"/>
          <w14:textFill>
            <w14:solidFill>
              <w14:schemeClr w14:val="tx1"/>
            </w14:solidFill>
          </w14:textFill>
        </w:rPr>
        <w:br w:type="page"/>
      </w:r>
      <w:r>
        <w:rPr>
          <w:rFonts w:ascii="Times New Roman" w:hAnsi="Times New Roman" w:eastAsia="黑体"/>
          <w:color w:val="000000" w:themeColor="text1"/>
          <w:sz w:val="32"/>
          <w14:textFill>
            <w14:solidFill>
              <w14:schemeClr w14:val="tx1"/>
            </w14:solidFill>
          </w14:textFill>
        </w:rPr>
        <w:t xml:space="preserve">附表4 </w:t>
      </w:r>
    </w:p>
    <w:p>
      <w:pPr>
        <w:spacing w:line="600" w:lineRule="exact"/>
        <w:ind w:firstLine="880"/>
        <w:jc w:val="center"/>
        <w:rPr>
          <w:rFonts w:ascii="Times New Roman" w:hAnsi="Times New Roman" w:eastAsia="方正小标宋简体"/>
          <w:bCs/>
          <w:color w:val="000000" w:themeColor="text1"/>
          <w:sz w:val="44"/>
          <w:szCs w:val="44"/>
          <w14:textFill>
            <w14:solidFill>
              <w14:schemeClr w14:val="tx1"/>
            </w14:solidFill>
          </w14:textFill>
        </w:rPr>
      </w:pPr>
      <w:r>
        <w:rPr>
          <w:rFonts w:ascii="Times New Roman" w:hAnsi="Times New Roman" w:eastAsia="方正小标宋简体"/>
          <w:bCs/>
          <w:color w:val="000000" w:themeColor="text1"/>
          <w:sz w:val="44"/>
          <w:szCs w:val="44"/>
          <w14:textFill>
            <w14:solidFill>
              <w14:schemeClr w14:val="tx1"/>
            </w14:solidFill>
          </w14:textFill>
        </w:rPr>
        <w:t>四川省</w:t>
      </w:r>
      <w:r>
        <w:rPr>
          <w:rFonts w:ascii="Times New Roman" w:hAnsi="Times New Roman" w:eastAsia="方正小标宋简体"/>
          <w:color w:val="000000" w:themeColor="text1"/>
          <w:sz w:val="44"/>
          <w:szCs w:val="44"/>
          <w14:textFill>
            <w14:solidFill>
              <w14:schemeClr w14:val="tx1"/>
            </w14:solidFill>
          </w14:textFill>
        </w:rPr>
        <w:t>“省级百强中心镇”</w:t>
      </w:r>
      <w:r>
        <w:rPr>
          <w:rFonts w:ascii="Times New Roman" w:hAnsi="Times New Roman" w:eastAsia="方正小标宋简体"/>
          <w:bCs/>
          <w:color w:val="000000" w:themeColor="text1"/>
          <w:sz w:val="44"/>
          <w:szCs w:val="44"/>
          <w14:textFill>
            <w14:solidFill>
              <w14:schemeClr w14:val="tx1"/>
            </w14:solidFill>
          </w14:textFill>
        </w:rPr>
        <w:t>考核满意度评价指标（5分）</w:t>
      </w:r>
    </w:p>
    <w:tbl>
      <w:tblPr>
        <w:tblStyle w:val="6"/>
        <w:tblW w:w="15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981"/>
        <w:gridCol w:w="6090"/>
        <w:gridCol w:w="2265"/>
        <w:gridCol w:w="2200"/>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153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b/>
                <w:bCs/>
                <w:color w:val="000000" w:themeColor="text1"/>
                <w:szCs w:val="21"/>
                <w14:textFill>
                  <w14:solidFill>
                    <w14:schemeClr w14:val="tx1"/>
                  </w14:solidFill>
                </w14:textFill>
              </w:rPr>
            </w:pPr>
            <w:r>
              <w:rPr>
                <w:rFonts w:ascii="Times New Roman" w:hAnsi="Times New Roman" w:eastAsia="仿宋" w:cs="Times New Roman"/>
                <w:b/>
                <w:bCs/>
                <w:color w:val="000000" w:themeColor="text1"/>
                <w:szCs w:val="21"/>
                <w14:textFill>
                  <w14:solidFill>
                    <w14:schemeClr w14:val="tx1"/>
                  </w14:solidFill>
                </w14:textFill>
              </w:rPr>
              <w:t>类别</w:t>
            </w:r>
          </w:p>
        </w:tc>
        <w:tc>
          <w:tcPr>
            <w:tcW w:w="98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b/>
                <w:bCs/>
                <w:color w:val="000000" w:themeColor="text1"/>
                <w:szCs w:val="21"/>
                <w14:textFill>
                  <w14:solidFill>
                    <w14:schemeClr w14:val="tx1"/>
                  </w14:solidFill>
                </w14:textFill>
              </w:rPr>
            </w:pPr>
            <w:r>
              <w:rPr>
                <w:rFonts w:ascii="Times New Roman" w:hAnsi="Times New Roman" w:eastAsia="仿宋" w:cs="Times New Roman"/>
                <w:b/>
                <w:bCs/>
                <w:color w:val="000000" w:themeColor="text1"/>
                <w:szCs w:val="21"/>
                <w14:textFill>
                  <w14:solidFill>
                    <w14:schemeClr w14:val="tx1"/>
                  </w14:solidFill>
                </w14:textFill>
              </w:rPr>
              <w:t>序号</w:t>
            </w:r>
          </w:p>
        </w:tc>
        <w:tc>
          <w:tcPr>
            <w:tcW w:w="609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ind w:firstLine="643"/>
              <w:rPr>
                <w:rFonts w:ascii="Times New Roman" w:hAnsi="Times New Roman" w:eastAsia="仿宋" w:cs="Times New Roman"/>
                <w:b/>
                <w:bCs/>
                <w:color w:val="000000" w:themeColor="text1"/>
                <w:szCs w:val="21"/>
                <w14:textFill>
                  <w14:solidFill>
                    <w14:schemeClr w14:val="tx1"/>
                  </w14:solidFill>
                </w14:textFill>
              </w:rPr>
            </w:pPr>
            <w:r>
              <w:rPr>
                <w:rFonts w:ascii="Times New Roman" w:hAnsi="Times New Roman" w:eastAsia="仿宋" w:cs="Times New Roman"/>
                <w:b/>
                <w:bCs/>
                <w:color w:val="000000" w:themeColor="text1"/>
                <w:szCs w:val="21"/>
                <w14:textFill>
                  <w14:solidFill>
                    <w14:schemeClr w14:val="tx1"/>
                  </w14:solidFill>
                </w14:textFill>
              </w:rPr>
              <w:t>指标</w:t>
            </w:r>
          </w:p>
        </w:tc>
        <w:tc>
          <w:tcPr>
            <w:tcW w:w="7010" w:type="dxa"/>
            <w:gridSpan w:val="3"/>
            <w:tcBorders>
              <w:top w:val="single" w:color="auto" w:sz="4" w:space="0"/>
              <w:left w:val="single" w:color="auto" w:sz="4" w:space="0"/>
              <w:bottom w:val="single" w:color="auto" w:sz="4" w:space="0"/>
              <w:right w:val="single" w:color="auto" w:sz="4" w:space="0"/>
            </w:tcBorders>
            <w:vAlign w:val="center"/>
          </w:tcPr>
          <w:p>
            <w:pPr>
              <w:pStyle w:val="11"/>
              <w:spacing w:line="360" w:lineRule="exact"/>
              <w:ind w:firstLine="643"/>
              <w:rPr>
                <w:rFonts w:ascii="Times New Roman" w:hAnsi="Times New Roman" w:eastAsia="仿宋" w:cs="Times New Roman"/>
                <w:b/>
                <w:bCs/>
                <w:color w:val="000000" w:themeColor="text1"/>
                <w:szCs w:val="21"/>
                <w14:textFill>
                  <w14:solidFill>
                    <w14:schemeClr w14:val="tx1"/>
                  </w14:solidFill>
                </w14:textFill>
              </w:rPr>
            </w:pPr>
            <w:r>
              <w:rPr>
                <w:rFonts w:ascii="Times New Roman" w:hAnsi="Times New Roman" w:eastAsia="仿宋" w:cs="Times New Roman"/>
                <w:b/>
                <w:bCs/>
                <w:color w:val="000000" w:themeColor="text1"/>
                <w:szCs w:val="21"/>
                <w14:textFill>
                  <w14:solidFill>
                    <w14:schemeClr w14:val="tx1"/>
                  </w14:solidFill>
                </w14:textFill>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530" w:type="dxa"/>
            <w:vMerge w:val="restart"/>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城镇建设</w:t>
            </w:r>
          </w:p>
        </w:tc>
        <w:tc>
          <w:tcPr>
            <w:tcW w:w="98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w:t>
            </w:r>
          </w:p>
        </w:tc>
        <w:tc>
          <w:tcPr>
            <w:tcW w:w="609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交通出行（自驾或乘坐公共交通到达城市中心区、县城等地）</w:t>
            </w:r>
          </w:p>
        </w:tc>
        <w:tc>
          <w:tcPr>
            <w:tcW w:w="2265"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满意□</w:t>
            </w:r>
          </w:p>
        </w:tc>
        <w:tc>
          <w:tcPr>
            <w:tcW w:w="220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一般□</w:t>
            </w:r>
          </w:p>
        </w:tc>
        <w:tc>
          <w:tcPr>
            <w:tcW w:w="2545"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0" w:type="dxa"/>
            <w:vMerge w:val="continue"/>
            <w:tcBorders>
              <w:top w:val="single" w:color="auto" w:sz="4" w:space="0"/>
              <w:left w:val="single" w:color="auto" w:sz="4" w:space="0"/>
              <w:bottom w:val="single" w:color="auto" w:sz="4" w:space="0"/>
              <w:right w:val="single" w:color="auto" w:sz="4" w:space="0"/>
            </w:tcBorders>
            <w:vAlign w:val="center"/>
          </w:tcPr>
          <w:p>
            <w:pPr>
              <w:pStyle w:val="11"/>
              <w:spacing w:line="360" w:lineRule="exact"/>
              <w:ind w:firstLine="640"/>
              <w:rPr>
                <w:rFonts w:ascii="Times New Roman" w:hAnsi="Times New Roman" w:eastAsia="仿宋" w:cs="Times New Roman"/>
                <w:color w:val="000000" w:themeColor="text1"/>
                <w:szCs w:val="21"/>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2</w:t>
            </w:r>
          </w:p>
        </w:tc>
        <w:tc>
          <w:tcPr>
            <w:tcW w:w="609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供水、供电、供气、排水、消防等市政基础设施</w:t>
            </w:r>
          </w:p>
        </w:tc>
        <w:tc>
          <w:tcPr>
            <w:tcW w:w="2265"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满意□</w:t>
            </w:r>
          </w:p>
        </w:tc>
        <w:tc>
          <w:tcPr>
            <w:tcW w:w="220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一般□</w:t>
            </w:r>
          </w:p>
        </w:tc>
        <w:tc>
          <w:tcPr>
            <w:tcW w:w="2545"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530" w:type="dxa"/>
            <w:vMerge w:val="continue"/>
            <w:tcBorders>
              <w:top w:val="single" w:color="auto" w:sz="4" w:space="0"/>
              <w:left w:val="single" w:color="auto" w:sz="4" w:space="0"/>
              <w:bottom w:val="single" w:color="auto" w:sz="4" w:space="0"/>
              <w:right w:val="single" w:color="auto" w:sz="4" w:space="0"/>
            </w:tcBorders>
            <w:vAlign w:val="center"/>
          </w:tcPr>
          <w:p>
            <w:pPr>
              <w:pStyle w:val="11"/>
              <w:spacing w:line="360" w:lineRule="exact"/>
              <w:ind w:firstLine="640"/>
              <w:rPr>
                <w:rFonts w:ascii="Times New Roman" w:hAnsi="Times New Roman" w:eastAsia="仿宋" w:cs="Times New Roman"/>
                <w:color w:val="000000" w:themeColor="text1"/>
                <w:szCs w:val="21"/>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3</w:t>
            </w:r>
          </w:p>
        </w:tc>
        <w:tc>
          <w:tcPr>
            <w:tcW w:w="609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公共空间与绿化景观环境</w:t>
            </w:r>
          </w:p>
        </w:tc>
        <w:tc>
          <w:tcPr>
            <w:tcW w:w="2265"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满意□</w:t>
            </w:r>
          </w:p>
        </w:tc>
        <w:tc>
          <w:tcPr>
            <w:tcW w:w="220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一般□</w:t>
            </w:r>
          </w:p>
        </w:tc>
        <w:tc>
          <w:tcPr>
            <w:tcW w:w="2545"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530" w:type="dxa"/>
            <w:vMerge w:val="restart"/>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生活服务</w:t>
            </w:r>
          </w:p>
        </w:tc>
        <w:tc>
          <w:tcPr>
            <w:tcW w:w="98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4</w:t>
            </w:r>
          </w:p>
        </w:tc>
        <w:tc>
          <w:tcPr>
            <w:tcW w:w="609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居住环境</w:t>
            </w:r>
          </w:p>
        </w:tc>
        <w:tc>
          <w:tcPr>
            <w:tcW w:w="2265"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满意□</w:t>
            </w:r>
          </w:p>
        </w:tc>
        <w:tc>
          <w:tcPr>
            <w:tcW w:w="220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一般□</w:t>
            </w:r>
          </w:p>
        </w:tc>
        <w:tc>
          <w:tcPr>
            <w:tcW w:w="2545"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30" w:type="dxa"/>
            <w:vMerge w:val="continue"/>
            <w:tcBorders>
              <w:top w:val="single" w:color="auto" w:sz="4" w:space="0"/>
              <w:left w:val="single" w:color="auto" w:sz="4" w:space="0"/>
              <w:bottom w:val="single" w:color="auto" w:sz="4" w:space="0"/>
              <w:right w:val="single" w:color="auto" w:sz="4" w:space="0"/>
            </w:tcBorders>
            <w:vAlign w:val="center"/>
          </w:tcPr>
          <w:p>
            <w:pPr>
              <w:pStyle w:val="11"/>
              <w:spacing w:line="360" w:lineRule="exact"/>
              <w:ind w:firstLine="640"/>
              <w:rPr>
                <w:rFonts w:ascii="Times New Roman" w:hAnsi="Times New Roman" w:eastAsia="仿宋" w:cs="Times New Roman"/>
                <w:color w:val="000000" w:themeColor="text1"/>
                <w:szCs w:val="21"/>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5</w:t>
            </w:r>
          </w:p>
        </w:tc>
        <w:tc>
          <w:tcPr>
            <w:tcW w:w="609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各项公共服务水平（包括教育、医疗、文体等）</w:t>
            </w:r>
          </w:p>
        </w:tc>
        <w:tc>
          <w:tcPr>
            <w:tcW w:w="2265"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满意□</w:t>
            </w:r>
          </w:p>
        </w:tc>
        <w:tc>
          <w:tcPr>
            <w:tcW w:w="220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一般□</w:t>
            </w:r>
          </w:p>
        </w:tc>
        <w:tc>
          <w:tcPr>
            <w:tcW w:w="2545"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530" w:type="dxa"/>
            <w:vMerge w:val="continue"/>
            <w:tcBorders>
              <w:top w:val="single" w:color="auto" w:sz="4" w:space="0"/>
              <w:left w:val="single" w:color="auto" w:sz="4" w:space="0"/>
              <w:bottom w:val="single" w:color="auto" w:sz="4" w:space="0"/>
              <w:right w:val="single" w:color="auto" w:sz="4" w:space="0"/>
            </w:tcBorders>
            <w:vAlign w:val="center"/>
          </w:tcPr>
          <w:p>
            <w:pPr>
              <w:pStyle w:val="11"/>
              <w:spacing w:line="360" w:lineRule="exact"/>
              <w:ind w:firstLine="640"/>
              <w:rPr>
                <w:rFonts w:ascii="Times New Roman" w:hAnsi="Times New Roman" w:eastAsia="仿宋" w:cs="Times New Roman"/>
                <w:color w:val="000000" w:themeColor="text1"/>
                <w:szCs w:val="21"/>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6</w:t>
            </w:r>
          </w:p>
        </w:tc>
        <w:tc>
          <w:tcPr>
            <w:tcW w:w="609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商业服务</w:t>
            </w:r>
          </w:p>
        </w:tc>
        <w:tc>
          <w:tcPr>
            <w:tcW w:w="2265"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满意□</w:t>
            </w:r>
          </w:p>
        </w:tc>
        <w:tc>
          <w:tcPr>
            <w:tcW w:w="220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一般□</w:t>
            </w:r>
          </w:p>
        </w:tc>
        <w:tc>
          <w:tcPr>
            <w:tcW w:w="2545"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530" w:type="dxa"/>
            <w:vMerge w:val="restart"/>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经济产业</w:t>
            </w:r>
          </w:p>
        </w:tc>
        <w:tc>
          <w:tcPr>
            <w:tcW w:w="98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7</w:t>
            </w:r>
          </w:p>
        </w:tc>
        <w:tc>
          <w:tcPr>
            <w:tcW w:w="609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就业、创业环境</w:t>
            </w:r>
          </w:p>
        </w:tc>
        <w:tc>
          <w:tcPr>
            <w:tcW w:w="2265"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满意□</w:t>
            </w:r>
          </w:p>
        </w:tc>
        <w:tc>
          <w:tcPr>
            <w:tcW w:w="220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一般□</w:t>
            </w:r>
          </w:p>
        </w:tc>
        <w:tc>
          <w:tcPr>
            <w:tcW w:w="2545"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530" w:type="dxa"/>
            <w:vMerge w:val="continue"/>
            <w:tcBorders>
              <w:top w:val="single" w:color="auto" w:sz="4" w:space="0"/>
              <w:left w:val="single" w:color="auto" w:sz="4" w:space="0"/>
              <w:bottom w:val="single" w:color="auto" w:sz="4" w:space="0"/>
              <w:right w:val="single" w:color="auto" w:sz="4" w:space="0"/>
            </w:tcBorders>
            <w:vAlign w:val="center"/>
          </w:tcPr>
          <w:p>
            <w:pPr>
              <w:pStyle w:val="11"/>
              <w:spacing w:line="360" w:lineRule="exact"/>
              <w:ind w:firstLine="640"/>
              <w:rPr>
                <w:rFonts w:ascii="Times New Roman" w:hAnsi="Times New Roman" w:eastAsia="仿宋" w:cs="Times New Roman"/>
                <w:color w:val="000000" w:themeColor="text1"/>
                <w:szCs w:val="21"/>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8</w:t>
            </w:r>
          </w:p>
        </w:tc>
        <w:tc>
          <w:tcPr>
            <w:tcW w:w="609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产业政策和经济发展环境</w:t>
            </w:r>
          </w:p>
        </w:tc>
        <w:tc>
          <w:tcPr>
            <w:tcW w:w="2265"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满意□</w:t>
            </w:r>
          </w:p>
        </w:tc>
        <w:tc>
          <w:tcPr>
            <w:tcW w:w="220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一般□</w:t>
            </w:r>
          </w:p>
        </w:tc>
        <w:tc>
          <w:tcPr>
            <w:tcW w:w="2545"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文化保护</w:t>
            </w:r>
          </w:p>
        </w:tc>
        <w:tc>
          <w:tcPr>
            <w:tcW w:w="98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9</w:t>
            </w:r>
          </w:p>
        </w:tc>
        <w:tc>
          <w:tcPr>
            <w:tcW w:w="609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优秀传统文化保护</w:t>
            </w:r>
          </w:p>
        </w:tc>
        <w:tc>
          <w:tcPr>
            <w:tcW w:w="2265"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满意□</w:t>
            </w:r>
          </w:p>
        </w:tc>
        <w:tc>
          <w:tcPr>
            <w:tcW w:w="220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一般□</w:t>
            </w:r>
          </w:p>
        </w:tc>
        <w:tc>
          <w:tcPr>
            <w:tcW w:w="2545"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530" w:type="dxa"/>
            <w:tcBorders>
              <w:top w:val="single" w:color="auto" w:sz="4" w:space="0"/>
              <w:left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社会治理</w:t>
            </w:r>
          </w:p>
        </w:tc>
        <w:tc>
          <w:tcPr>
            <w:tcW w:w="981"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10</w:t>
            </w:r>
          </w:p>
        </w:tc>
        <w:tc>
          <w:tcPr>
            <w:tcW w:w="609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政务服务与综合执法</w:t>
            </w:r>
          </w:p>
        </w:tc>
        <w:tc>
          <w:tcPr>
            <w:tcW w:w="2265"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满意□</w:t>
            </w:r>
          </w:p>
        </w:tc>
        <w:tc>
          <w:tcPr>
            <w:tcW w:w="220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一般□</w:t>
            </w:r>
          </w:p>
        </w:tc>
        <w:tc>
          <w:tcPr>
            <w:tcW w:w="2545"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30" w:type="dxa"/>
            <w:tcBorders>
              <w:top w:val="single" w:color="auto" w:sz="4" w:space="0"/>
              <w:left w:val="single" w:color="auto" w:sz="4" w:space="0"/>
              <w:bottom w:val="single" w:color="auto" w:sz="4" w:space="0"/>
              <w:right w:val="single" w:color="auto" w:sz="4" w:space="0"/>
            </w:tcBorders>
            <w:vAlign w:val="center"/>
          </w:tcPr>
          <w:p>
            <w:pPr>
              <w:pStyle w:val="11"/>
              <w:spacing w:line="360" w:lineRule="exact"/>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评价标准</w:t>
            </w:r>
          </w:p>
        </w:tc>
        <w:tc>
          <w:tcPr>
            <w:tcW w:w="14081" w:type="dxa"/>
            <w:gridSpan w:val="5"/>
            <w:tcBorders>
              <w:top w:val="single" w:color="auto" w:sz="4" w:space="0"/>
              <w:left w:val="single" w:color="auto" w:sz="4" w:space="0"/>
              <w:bottom w:val="single" w:color="auto" w:sz="4" w:space="0"/>
              <w:right w:val="single" w:color="auto" w:sz="4" w:space="0"/>
            </w:tcBorders>
            <w:vAlign w:val="center"/>
          </w:tcPr>
          <w:p>
            <w:pPr>
              <w:pStyle w:val="11"/>
              <w:spacing w:line="360" w:lineRule="exact"/>
              <w:ind w:firstLine="640"/>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Cs w:val="21"/>
                <w14:textFill>
                  <w14:solidFill>
                    <w14:schemeClr w14:val="tx1"/>
                  </w14:solidFill>
                </w14:textFill>
              </w:rPr>
              <w:t>满意得0.5分，一般得0.3分，不满意得0分</w:t>
            </w:r>
          </w:p>
        </w:tc>
      </w:tr>
    </w:tbl>
    <w:p>
      <w:pPr>
        <w:pStyle w:val="5"/>
        <w:widowControl/>
        <w:spacing w:beforeAutospacing="0" w:afterAutospacing="0" w:line="600" w:lineRule="exact"/>
        <w:ind w:right="480"/>
        <w:rPr>
          <w:rFonts w:ascii="Times New Roman" w:hAnsi="Times New Roman" w:eastAsia="仿宋"/>
          <w:color w:val="000000" w:themeColor="text1"/>
          <w:sz w:val="32"/>
          <w:szCs w:val="32"/>
          <w14:textFill>
            <w14:solidFill>
              <w14:schemeClr w14:val="tx1"/>
            </w14:solidFill>
          </w14:textFill>
        </w:rPr>
      </w:pPr>
    </w:p>
    <w:sectPr>
      <w:pgSz w:w="16838" w:h="11906" w:orient="landscape"/>
      <w:pgMar w:top="1587" w:right="2098" w:bottom="1474"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5E"/>
    <w:rsid w:val="00023CBF"/>
    <w:rsid w:val="0003273C"/>
    <w:rsid w:val="000B24C9"/>
    <w:rsid w:val="001547FA"/>
    <w:rsid w:val="00206E5E"/>
    <w:rsid w:val="00291A5D"/>
    <w:rsid w:val="002A7BA9"/>
    <w:rsid w:val="003D0F62"/>
    <w:rsid w:val="003E596A"/>
    <w:rsid w:val="004929D6"/>
    <w:rsid w:val="004B0FF2"/>
    <w:rsid w:val="00571B2E"/>
    <w:rsid w:val="005D36DF"/>
    <w:rsid w:val="00606AAD"/>
    <w:rsid w:val="007F214E"/>
    <w:rsid w:val="0095758A"/>
    <w:rsid w:val="009F52C8"/>
    <w:rsid w:val="00A843F0"/>
    <w:rsid w:val="00B22811"/>
    <w:rsid w:val="00B568C0"/>
    <w:rsid w:val="00BC427D"/>
    <w:rsid w:val="00C02A0C"/>
    <w:rsid w:val="00C03142"/>
    <w:rsid w:val="00D22158"/>
    <w:rsid w:val="00D45D13"/>
    <w:rsid w:val="00DE76D9"/>
    <w:rsid w:val="00E2426A"/>
    <w:rsid w:val="00E31E9D"/>
    <w:rsid w:val="00EE060F"/>
    <w:rsid w:val="00F423E3"/>
    <w:rsid w:val="00F82AFF"/>
    <w:rsid w:val="00FA42AD"/>
    <w:rsid w:val="00FF0F79"/>
    <w:rsid w:val="1CFEE062"/>
    <w:rsid w:val="367F1C8A"/>
    <w:rsid w:val="37FB354E"/>
    <w:rsid w:val="7165F391"/>
    <w:rsid w:val="7FDFBF6B"/>
    <w:rsid w:val="F7FCBFF3"/>
    <w:rsid w:val="FFFFA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0"/>
    <w:pPr>
      <w:spacing w:after="120"/>
    </w:pPr>
    <w:rPr>
      <w:rFonts w:ascii="Calibri" w:hAnsi="Calibri" w:eastAsia="微软雅黑" w:cs="Times New Roman"/>
      <w:kern w:val="0"/>
      <w:szCs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正文文本 字符"/>
    <w:basedOn w:val="7"/>
    <w:link w:val="2"/>
    <w:qFormat/>
    <w:uiPriority w:val="0"/>
    <w:rPr>
      <w:rFonts w:ascii="Calibri" w:hAnsi="Calibri" w:eastAsia="微软雅黑" w:cs="Times New Roman"/>
      <w:kern w:val="0"/>
      <w:szCs w:val="32"/>
    </w:rPr>
  </w:style>
  <w:style w:type="paragraph" w:customStyle="1" w:styleId="11">
    <w:name w:val="表格内容"/>
    <w:basedOn w:val="1"/>
    <w:qFormat/>
    <w:uiPriority w:val="0"/>
    <w:pPr>
      <w:jc w:val="center"/>
    </w:pPr>
    <w:rPr>
      <w:rFonts w:ascii="等线" w:hAnsi="等线" w:eastAsia="等线" w:cs="宋体"/>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6701</Words>
  <Characters>7707</Characters>
  <Lines>350</Lines>
  <Paragraphs>271</Paragraphs>
  <TotalTime>1</TotalTime>
  <ScaleCrop>false</ScaleCrop>
  <LinksUpToDate>false</LinksUpToDate>
  <CharactersWithSpaces>14137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2021-03-17T08:07:00Z</dcterms:created>
  <dc:creator>谭建华</dc:creator>
  <cp:lastModifiedBy>SunFollow</cp:lastModifiedBy>
  <dcterms:modified xsi:type="dcterms:W3CDTF">2021-03-17T08:09:56Z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D828FD0D05B6433B897D923C76416D30</vt:lpwstr>
  </property>
</Properties>
</file>