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keepNext w:val="0"/>
        <w:keepLines w:val="0"/>
        <w:pageBreakBefore w:val="0"/>
        <w:widowControl w:val="0"/>
        <w:kinsoku/>
        <w:wordWrap/>
        <w:overflowPunct/>
        <w:topLinePunct w:val="0"/>
        <w:autoSpaceDE/>
        <w:autoSpaceDN/>
        <w:bidi w:val="0"/>
        <w:adjustRightInd/>
        <w:snapToGrid/>
        <w:spacing w:line="600" w:lineRule="exact"/>
        <w:ind w:left="0" w:right="0" w:firstLine="0"/>
        <w:textAlignment w:val="auto"/>
        <w:outlineLvl w:val="9"/>
        <w:rPr>
          <w:rFonts w:ascii="楷体_GB2312" w:eastAsia="楷体_GB2312" w:cs="楷体_GB2312" w:hint="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right="0" w:firstLine="0"/>
        <w:jc w:val="center"/>
        <w:textAlignment w:val="auto"/>
        <w:outlineLvl w:val="9"/>
        <w:rPr>
          <w:rFonts w:ascii="方正小标宋简体" w:eastAsia="方正小标宋简体" w:cs="方正小标宋简体" w:hint="eastAsia"/>
          <w:sz w:val="44"/>
          <w:szCs w:val="44"/>
          <w:lang w:eastAsia="zh-CN"/>
        </w:rPr>
      </w:pPr>
      <w:r>
        <w:rPr>
          <w:rFonts w:ascii="方正小标宋简体" w:eastAsia="方正小标宋简体" w:cs="方正小标宋简体" w:hint="eastAsia"/>
          <w:sz w:val="44"/>
          <w:szCs w:val="44"/>
          <w:lang w:eastAsia="zh-CN"/>
        </w:rPr>
        <w:t>《黑龙江省建筑施工</w:t>
      </w:r>
    </w:p>
    <w:p>
      <w:pPr>
        <w:keepNext w:val="0"/>
        <w:keepLines w:val="0"/>
        <w:pageBreakBefore w:val="0"/>
        <w:widowControl w:val="0"/>
        <w:kinsoku/>
        <w:wordWrap/>
        <w:overflowPunct/>
        <w:topLinePunct w:val="0"/>
        <w:autoSpaceDE/>
        <w:autoSpaceDN/>
        <w:bidi w:val="0"/>
        <w:adjustRightInd/>
        <w:snapToGrid/>
        <w:spacing w:line="600" w:lineRule="exact"/>
        <w:ind w:left="0" w:right="0" w:firstLine="0"/>
        <w:jc w:val="center"/>
        <w:textAlignment w:val="auto"/>
        <w:outlineLvl w:val="9"/>
        <w:rPr>
          <w:rFonts w:ascii="方正小标宋简体" w:eastAsia="方正小标宋简体" w:cs="方正小标宋简体" w:hint="eastAsia"/>
          <w:sz w:val="44"/>
          <w:szCs w:val="44"/>
          <w:lang w:val="en-US" w:eastAsia="zh-CN"/>
        </w:rPr>
      </w:pPr>
      <w:r>
        <w:rPr>
          <w:rFonts w:ascii="方正小标宋简体" w:eastAsia="方正小标宋简体" w:cs="方正小标宋简体" w:hint="eastAsia"/>
          <w:sz w:val="44"/>
          <w:szCs w:val="44"/>
          <w:lang w:eastAsia="zh-CN"/>
        </w:rPr>
        <w:t>特种作业人员管理规定》</w:t>
      </w:r>
      <w:r>
        <w:rPr>
          <w:rFonts w:ascii="方正小标宋简体" w:eastAsia="方正小标宋简体" w:cs="方正小标宋简体"/>
          <w:sz w:val="44"/>
          <w:szCs w:val="44"/>
          <w:lang w:eastAsia="zh-CN"/>
        </w:rPr>
        <w:t>起草</w:t>
      </w:r>
      <w:r>
        <w:rPr>
          <w:rFonts w:ascii="方正小标宋简体" w:eastAsia="方正小标宋简体" w:cs="方正小标宋简体" w:hint="eastAsia"/>
          <w:sz w:val="44"/>
          <w:szCs w:val="44"/>
          <w:lang w:val="en-US" w:eastAsia="zh-CN"/>
        </w:rPr>
        <w:t>说明</w:t>
      </w:r>
    </w:p>
    <w:p>
      <w:pPr>
        <w:keepNext w:val="0"/>
        <w:keepLines w:val="0"/>
        <w:pageBreakBefore w:val="0"/>
        <w:widowControl w:val="0"/>
        <w:kinsoku/>
        <w:wordWrap/>
        <w:overflowPunct/>
        <w:topLinePunct w:val="0"/>
        <w:autoSpaceDE/>
        <w:autoSpaceDN/>
        <w:bidi w:val="0"/>
        <w:adjustRightInd/>
        <w:snapToGrid/>
        <w:spacing w:line="600" w:lineRule="exact"/>
        <w:ind w:left="0" w:right="0" w:firstLine="0"/>
        <w:jc w:val="center"/>
        <w:textAlignment w:val="auto"/>
        <w:outlineLvl w:val="9"/>
        <w:rPr>
          <w:rFonts w:ascii="方正小标宋简体" w:eastAsia="方正小标宋简体" w:cs="方正小标宋简体" w:hint="eastAsia"/>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right="0" w:firstLine="0"/>
        <w:jc w:val="left"/>
        <w:textAlignment w:val="auto"/>
        <w:outlineLvl w:val="9"/>
        <w:rPr>
          <w:rFonts w:ascii="仿宋_GB2312" w:eastAsia="仿宋_GB2312" w:cs="仿宋_GB2312"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left"/>
        <w:textAlignment w:val="auto"/>
        <w:outlineLvl w:val="9"/>
        <w:rPr>
          <w:rFonts w:ascii="仿宋_GB2312" w:eastAsia="仿宋_GB2312" w:cs="仿宋_GB2312" w:hint="eastAsia"/>
          <w:sz w:val="32"/>
          <w:szCs w:val="32"/>
          <w:lang w:val="en-US" w:eastAsia="zh-CN"/>
        </w:rPr>
      </w:pPr>
      <w:r>
        <w:rPr>
          <w:rFonts w:ascii="仿宋_GB2312" w:eastAsia="仿宋_GB2312" w:cs="仿宋_GB2312" w:hint="eastAsia"/>
          <w:sz w:val="32"/>
          <w:szCs w:val="32"/>
          <w:lang w:val="en-US" w:eastAsia="zh-CN"/>
        </w:rPr>
        <w:t>按照</w:t>
      </w:r>
      <w:r>
        <w:rPr>
          <w:rFonts w:ascii="仿宋_GB2312" w:eastAsia="仿宋_GB2312" w:cs="仿宋_GB2312"/>
          <w:sz w:val="32"/>
          <w:szCs w:val="32"/>
          <w:lang w:val="en-US" w:eastAsia="zh-CN"/>
        </w:rPr>
        <w:t>有关规定</w:t>
      </w:r>
      <w:r>
        <w:rPr>
          <w:rFonts w:ascii="仿宋_GB2312" w:eastAsia="仿宋_GB2312" w:cs="仿宋_GB2312" w:hint="eastAsia"/>
          <w:sz w:val="32"/>
          <w:szCs w:val="32"/>
          <w:lang w:val="en-US" w:eastAsia="zh-CN"/>
        </w:rPr>
        <w:t>，现就《</w:t>
      </w:r>
      <w:r>
        <w:rPr>
          <w:rFonts w:ascii="仿宋" w:eastAsia="仿宋" w:cs="仿宋" w:hint="eastAsia"/>
          <w:sz w:val="32"/>
          <w:szCs w:val="32"/>
          <w:lang w:eastAsia="zh-CN" w:bidi="ar-SA"/>
        </w:rPr>
        <w:t>黑龙江省</w:t>
      </w:r>
      <w:r>
        <w:rPr>
          <w:rFonts w:ascii="仿宋" w:eastAsia="仿宋" w:cs="仿宋" w:hint="eastAsia"/>
          <w:sz w:val="32"/>
          <w:szCs w:val="32"/>
          <w:lang w:bidi="ar-SA"/>
        </w:rPr>
        <w:t>建筑施工特种作业人员管理</w:t>
      </w:r>
      <w:r>
        <w:rPr>
          <w:rFonts w:ascii="仿宋" w:eastAsia="仿宋" w:cs="仿宋" w:hint="eastAsia"/>
          <w:sz w:val="32"/>
          <w:szCs w:val="32"/>
          <w:lang w:eastAsia="zh-CN" w:bidi="ar-SA"/>
        </w:rPr>
        <w:t>规定</w:t>
      </w:r>
      <w:r>
        <w:rPr>
          <w:rFonts w:ascii="仿宋_GB2312" w:eastAsia="仿宋_GB2312" w:cs="仿宋_GB2312" w:hint="eastAsia"/>
          <w:sz w:val="32"/>
          <w:szCs w:val="32"/>
          <w:lang w:val="en-US" w:eastAsia="zh-CN"/>
        </w:rPr>
        <w:t>》（以下简称《规定》）起草情况说明如下。</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left"/>
        <w:textAlignment w:val="auto"/>
        <w:outlineLvl w:val="9"/>
        <w:rPr>
          <w:rFonts w:ascii="黑体" w:eastAsia="黑体" w:cs="黑体" w:hint="eastAsia"/>
          <w:sz w:val="32"/>
          <w:szCs w:val="32"/>
          <w:lang w:val="en-US" w:eastAsia="zh-CN"/>
        </w:rPr>
      </w:pPr>
      <w:r>
        <w:rPr>
          <w:rFonts w:ascii="黑体" w:eastAsia="黑体" w:cs="黑体" w:hint="eastAsia"/>
          <w:sz w:val="32"/>
          <w:szCs w:val="32"/>
          <w:lang w:val="en-US" w:eastAsia="zh-CN"/>
        </w:rPr>
        <w:t>一、制定的必要性</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一是目前现行的制度是2008年制定的，具体管理流程不明确，考核不规范，其中条款已不适应当前管理要求，急需在此方面进行规范。二是考核教材为2013年原安全站编制的非正式出版物，教材中的大部分内容，</w:t>
      </w:r>
      <w:r>
        <w:rPr>
          <w:rFonts w:ascii="仿宋" w:eastAsia="仿宋" w:cs="仿宋"/>
          <w:sz w:val="32"/>
          <w:szCs w:val="32"/>
          <w:lang w:val="en-US" w:eastAsia="zh-CN"/>
        </w:rPr>
        <w:t>与现行</w:t>
      </w:r>
      <w:r>
        <w:rPr>
          <w:rFonts w:ascii="仿宋" w:eastAsia="仿宋" w:cs="仿宋" w:hint="eastAsia"/>
          <w:sz w:val="32"/>
          <w:szCs w:val="32"/>
          <w:lang w:val="en-US" w:eastAsia="zh-CN"/>
        </w:rPr>
        <w:t>相关法规、标准规范不符。三是考核试题库为六个工种各3套试卷，而且长期使用，起不到考核作用。四是培训管理不规范，现有的两家负责培训的学校在培训学时、培训内容</w:t>
      </w:r>
      <w:r>
        <w:rPr>
          <w:rFonts w:ascii="仿宋" w:eastAsia="仿宋" w:cs="仿宋"/>
          <w:sz w:val="32"/>
          <w:szCs w:val="32"/>
          <w:lang w:val="en-US" w:eastAsia="zh-CN"/>
        </w:rPr>
        <w:t>及实训考核</w:t>
      </w:r>
      <w:r>
        <w:rPr>
          <w:rFonts w:ascii="仿宋" w:eastAsia="仿宋" w:cs="仿宋" w:hint="eastAsia"/>
          <w:sz w:val="32"/>
          <w:szCs w:val="32"/>
          <w:lang w:val="en-US" w:eastAsia="zh-CN"/>
        </w:rPr>
        <w:t>上均不符合相关要求。</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left"/>
        <w:textAlignment w:val="auto"/>
        <w:outlineLvl w:val="9"/>
        <w:rPr>
          <w:rFonts w:ascii="黑体" w:eastAsia="黑体" w:cs="黑体" w:hint="eastAsia"/>
          <w:sz w:val="32"/>
          <w:szCs w:val="32"/>
          <w:lang w:val="en-US" w:eastAsia="zh-CN"/>
        </w:rPr>
      </w:pPr>
      <w:r>
        <w:rPr>
          <w:rFonts w:ascii="黑体" w:eastAsia="黑体" w:cs="黑体" w:hint="eastAsia"/>
          <w:sz w:val="32"/>
          <w:szCs w:val="32"/>
          <w:lang w:val="en-US" w:eastAsia="zh-CN"/>
        </w:rPr>
        <w:t>二、起草、征求意见、审查情况</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基于以上情况，</w:t>
      </w:r>
      <w:r>
        <w:rPr>
          <w:rFonts w:ascii="仿宋" w:eastAsia="仿宋" w:cs="仿宋"/>
          <w:sz w:val="32"/>
          <w:szCs w:val="32"/>
          <w:lang w:val="en-US" w:eastAsia="zh-CN"/>
        </w:rPr>
        <w:t>为规范我省建筑施工特种作业人员管理，</w:t>
      </w:r>
      <w:r>
        <w:rPr>
          <w:rFonts w:ascii="仿宋" w:eastAsia="仿宋" w:cs="仿宋" w:hint="eastAsia"/>
          <w:sz w:val="32"/>
          <w:szCs w:val="32"/>
          <w:lang w:val="en-US" w:eastAsia="zh-CN"/>
        </w:rPr>
        <w:t>于2022年春节后着手</w:t>
      </w:r>
      <w:r>
        <w:rPr>
          <w:rFonts w:ascii="仿宋" w:eastAsia="仿宋" w:cs="仿宋"/>
          <w:sz w:val="32"/>
          <w:szCs w:val="32"/>
          <w:lang w:val="en-US" w:eastAsia="zh-CN"/>
        </w:rPr>
        <w:t>修订完善相关制度</w:t>
      </w:r>
      <w:r>
        <w:rPr>
          <w:rFonts w:ascii="仿宋" w:eastAsia="仿宋" w:cs="仿宋" w:hint="eastAsia"/>
          <w:sz w:val="32"/>
          <w:szCs w:val="32"/>
          <w:lang w:val="en-US" w:eastAsia="zh-CN"/>
        </w:rPr>
        <w:t>，初稿于2月18日完成，经</w:t>
      </w:r>
      <w:r>
        <w:rPr>
          <w:rFonts w:ascii="仿宋" w:eastAsia="仿宋" w:cs="仿宋"/>
          <w:sz w:val="32"/>
          <w:szCs w:val="32"/>
          <w:lang w:val="en-US" w:eastAsia="zh-CN"/>
        </w:rPr>
        <w:t>厅质安处</w:t>
      </w:r>
      <w:r>
        <w:rPr>
          <w:rFonts w:ascii="仿宋" w:eastAsia="仿宋" w:cs="仿宋" w:hint="eastAsia"/>
          <w:sz w:val="32"/>
          <w:szCs w:val="32"/>
          <w:lang w:val="en-US" w:eastAsia="zh-CN"/>
        </w:rPr>
        <w:t>和监测中心相关人员集体讨论修改后，于2月22日在厅官网向社会征求意见，在此期间收到来自安全专家及相关企业的意见35</w:t>
      </w:r>
      <w:r>
        <w:rPr>
          <w:rFonts w:ascii="仿宋" w:eastAsia="仿宋" w:cs="仿宋"/>
          <w:sz w:val="32"/>
          <w:szCs w:val="32"/>
          <w:lang w:val="en-US" w:eastAsia="zh-CN"/>
        </w:rPr>
        <w:t>条</w:t>
      </w:r>
      <w:r>
        <w:rPr>
          <w:rFonts w:ascii="仿宋" w:eastAsia="仿宋" w:cs="仿宋" w:hint="eastAsia"/>
          <w:sz w:val="32"/>
          <w:szCs w:val="32"/>
          <w:lang w:val="en-US" w:eastAsia="zh-CN"/>
        </w:rPr>
        <w:t>，其中采纳25条，未采纳的10条，并已</w:t>
      </w:r>
      <w:r>
        <w:rPr>
          <w:rFonts w:ascii="仿宋" w:eastAsia="仿宋" w:cs="仿宋"/>
          <w:sz w:val="32"/>
          <w:szCs w:val="32"/>
          <w:lang w:val="en-US" w:eastAsia="zh-CN"/>
        </w:rPr>
        <w:t>与</w:t>
      </w:r>
      <w:r>
        <w:rPr>
          <w:rFonts w:ascii="仿宋" w:eastAsia="仿宋" w:cs="仿宋" w:hint="eastAsia"/>
          <w:sz w:val="32"/>
          <w:szCs w:val="32"/>
          <w:lang w:val="en-US" w:eastAsia="zh-CN"/>
        </w:rPr>
        <w:t>相关反馈人员及企业沟通，取得一致意见。</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left"/>
        <w:textAlignment w:val="auto"/>
        <w:outlineLvl w:val="9"/>
        <w:rPr>
          <w:rFonts w:ascii="黑体" w:eastAsia="黑体" w:cs="黑体" w:hint="eastAsia"/>
          <w:sz w:val="32"/>
          <w:szCs w:val="32"/>
          <w:lang w:val="en-US" w:eastAsia="zh-CN"/>
        </w:rPr>
      </w:pPr>
      <w:r>
        <w:rPr>
          <w:rFonts w:ascii="黑体" w:eastAsia="黑体" w:cs="黑体" w:hint="eastAsia"/>
          <w:sz w:val="32"/>
          <w:szCs w:val="32"/>
          <w:lang w:val="en-US" w:eastAsia="zh-CN"/>
        </w:rPr>
        <w:t>三、主要内容</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left"/>
        <w:textAlignment w:val="auto"/>
        <w:outlineLvl w:val="9"/>
        <w:rPr>
          <w:rFonts w:ascii="仿宋_GB2312" w:eastAsia="仿宋_GB2312" w:cs="仿宋_GB2312" w:hint="eastAsia"/>
          <w:sz w:val="32"/>
          <w:szCs w:val="32"/>
          <w:lang w:val="en-US" w:eastAsia="zh-CN"/>
        </w:rPr>
      </w:pPr>
      <w:r>
        <w:rPr>
          <w:rFonts w:ascii="仿宋_GB2312" w:eastAsia="仿宋_GB2312" w:cs="仿宋_GB2312" w:hint="eastAsia"/>
          <w:sz w:val="32"/>
          <w:szCs w:val="32"/>
          <w:lang w:val="en-US" w:eastAsia="zh-CN"/>
        </w:rPr>
        <w:t>《规定》共7章4</w:t>
      </w:r>
      <w:r>
        <w:rPr>
          <w:rFonts w:ascii="仿宋_GB2312" w:eastAsia="仿宋_GB2312" w:cs="仿宋_GB2312"/>
          <w:sz w:val="32"/>
          <w:szCs w:val="32"/>
          <w:lang w:val="en-US" w:eastAsia="zh-CN"/>
        </w:rPr>
        <w:t>2</w:t>
      </w:r>
      <w:r>
        <w:rPr>
          <w:rFonts w:ascii="仿宋_GB2312" w:eastAsia="仿宋_GB2312" w:cs="仿宋_GB2312" w:hint="eastAsia"/>
          <w:sz w:val="32"/>
          <w:szCs w:val="32"/>
          <w:lang w:val="en-US" w:eastAsia="zh-CN"/>
        </w:rPr>
        <w:t>条，主要规定了以下几方面内容：</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（一）总则，共</w:t>
      </w:r>
      <w:r>
        <w:rPr>
          <w:rFonts w:ascii="仿宋" w:eastAsia="仿宋" w:cs="仿宋"/>
          <w:sz w:val="32"/>
          <w:szCs w:val="32"/>
          <w:lang w:val="en-US" w:eastAsia="zh-CN"/>
        </w:rPr>
        <w:t>5</w:t>
      </w:r>
      <w:r>
        <w:rPr>
          <w:rFonts w:ascii="仿宋" w:eastAsia="仿宋" w:cs="仿宋" w:hint="eastAsia"/>
          <w:sz w:val="32"/>
          <w:szCs w:val="32"/>
          <w:lang w:val="en-US" w:eastAsia="zh-CN"/>
        </w:rPr>
        <w:t>条。主要包括制定的依据、适用范围、各级住建部门管理权限、特种作业人员的类别、考核前专门培训的规定。</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（二）培训，共</w:t>
      </w:r>
      <w:r>
        <w:rPr>
          <w:rFonts w:ascii="仿宋" w:eastAsia="仿宋" w:cs="仿宋"/>
          <w:sz w:val="32"/>
          <w:szCs w:val="32"/>
          <w:lang w:val="en-US" w:eastAsia="zh-CN"/>
        </w:rPr>
        <w:t>5</w:t>
      </w:r>
      <w:r>
        <w:rPr>
          <w:rFonts w:ascii="仿宋" w:eastAsia="仿宋" w:cs="仿宋" w:hint="eastAsia"/>
          <w:sz w:val="32"/>
          <w:szCs w:val="32"/>
          <w:lang w:val="en-US" w:eastAsia="zh-CN"/>
        </w:rPr>
        <w:t>条。主要规范特种作业人员考核前培训行为，主要包括培训学时、培训机构认定条件、培训机构培训范围、内容、使用的教材、培训大纲以及对培训机构的管理等内容。完善了特种作业人员考核前培训相关事项。</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三）考核发证，共9条。主要包括考核内容及合格标准、申请考核的条件、申请考核提交的材料及程序、主管部门对申请考核人员的审核以及对实操考核考评员和考核场地的要求、申请电子证书的办理及相关要求。此内容规范考核行为，将考核职责回归行政机关管理。</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（四）从业，共6条。主要规范了特种作业人员取得证书后从业行为。主要包括对首次取得证书从业的相关要求、特种作业人员履行的义务、权利和职责及有关证书管理。</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（五）延期复核，共</w:t>
      </w:r>
      <w:r>
        <w:rPr>
          <w:rFonts w:ascii="仿宋" w:eastAsia="仿宋" w:cs="仿宋"/>
          <w:sz w:val="32"/>
          <w:szCs w:val="32"/>
          <w:lang w:val="en-US" w:eastAsia="zh-CN"/>
        </w:rPr>
        <w:t>7</w:t>
      </w:r>
      <w:r>
        <w:rPr>
          <w:rFonts w:ascii="仿宋" w:eastAsia="仿宋" w:cs="仿宋" w:hint="eastAsia"/>
          <w:sz w:val="32"/>
          <w:szCs w:val="32"/>
          <w:lang w:val="en-US" w:eastAsia="zh-CN"/>
        </w:rPr>
        <w:t>条。主要规范了证书延期复核的相关事项，主要包括延期的办理程序、延期前的继续教育及继续教育的内容、延期复核提交的材料、延期复核合格及不合格标准、发生异议的处理。</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（六）监督管理，共</w:t>
      </w:r>
      <w:r>
        <w:rPr>
          <w:rFonts w:ascii="仿宋" w:eastAsia="仿宋" w:cs="仿宋"/>
          <w:sz w:val="32"/>
          <w:szCs w:val="32"/>
          <w:lang w:val="en-US" w:eastAsia="zh-CN"/>
        </w:rPr>
        <w:t>9</w:t>
      </w:r>
      <w:r>
        <w:rPr>
          <w:rFonts w:ascii="仿宋" w:eastAsia="仿宋" w:cs="仿宋" w:hint="eastAsia"/>
          <w:sz w:val="32"/>
          <w:szCs w:val="32"/>
          <w:lang w:val="en-US" w:eastAsia="zh-CN"/>
        </w:rPr>
        <w:t>条。主要包括各级住建部门管理职责、对证书撤销、注销的规定、建立管理系统及持证上岗、特种作业人员的配备、证书的管理及暂扣情形以及对培训机构及考评员的管理。</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（七）附则，共1条。对实施时间的规定。</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黑体" w:eastAsia="黑体" w:cs="仿宋" w:hint="eastAsia"/>
          <w:sz w:val="32"/>
          <w:szCs w:val="32"/>
          <w:lang w:val="en-US" w:eastAsia="zh-CN"/>
        </w:rPr>
      </w:pPr>
      <w:r>
        <w:rPr>
          <w:rFonts w:ascii="黑体" w:eastAsia="黑体" w:cs="仿宋" w:hint="eastAsia"/>
          <w:sz w:val="32"/>
          <w:szCs w:val="32"/>
          <w:lang w:val="en-US" w:eastAsia="zh-CN"/>
        </w:rPr>
        <w:t>四、特别需说明的事项</w:t>
      </w:r>
    </w:p>
    <w:p>
      <w:pPr>
        <w:keepNext w:val="0"/>
        <w:keepLines w:val="0"/>
        <w:pageBreakBefore w:val="0"/>
        <w:widowControl w:val="0"/>
        <w:kinsoku/>
        <w:wordWrap/>
        <w:overflowPunct/>
        <w:topLinePunct w:val="0"/>
        <w:autoSpaceDE/>
        <w:autoSpaceDN/>
        <w:bidi w:val="0"/>
        <w:adjustRightInd/>
        <w:snapToGrid/>
        <w:spacing w:line="600" w:lineRule="exact"/>
        <w:ind w:left="0" w:right="0" w:firstLineChars="200" w:firstLine="640"/>
        <w:jc w:val="both"/>
        <w:textAlignment w:val="auto"/>
        <w:outlineLvl w:val="9"/>
        <w:rPr>
          <w:rFonts w:ascii="仿宋" w:eastAsia="仿宋" w:cs="仿宋" w:hint="eastAsia"/>
          <w:sz w:val="32"/>
          <w:szCs w:val="32"/>
          <w:lang w:val="en-US" w:eastAsia="zh-CN"/>
        </w:rPr>
      </w:pPr>
      <w:r>
        <w:rPr>
          <w:rFonts w:ascii="仿宋" w:eastAsia="仿宋" w:cs="仿宋" w:hint="eastAsia"/>
          <w:sz w:val="32"/>
          <w:szCs w:val="32"/>
          <w:lang w:val="en-US" w:eastAsia="zh-CN"/>
        </w:rPr>
        <w:t>此次修订，将本属于主管部门管理的事项，回归主管部门管理，履行管理职责。主要有：</w:t>
      </w:r>
      <w:r>
        <w:rPr>
          <w:rFonts w:ascii="仿宋" w:eastAsia="仿宋" w:cs="仿宋" w:hint="eastAsia"/>
          <w:b/>
          <w:bCs/>
          <w:sz w:val="32"/>
          <w:szCs w:val="32"/>
          <w:lang w:val="en-US" w:eastAsia="zh-CN"/>
        </w:rPr>
        <w:t>一是</w:t>
      </w:r>
      <w:r>
        <w:rPr>
          <w:rFonts w:ascii="仿宋" w:eastAsia="仿宋" w:cs="仿宋" w:hint="eastAsia"/>
          <w:sz w:val="32"/>
          <w:szCs w:val="32"/>
          <w:lang w:val="en-US" w:eastAsia="zh-CN"/>
        </w:rPr>
        <w:t>对特种作业人员考核前的培训进行规范，包括培训机构的认定标准、培训学时、培训教材、培训老师能力标准、培训基地标准以及培训机构的管理都进行了规范，明确培训机构只负责培训及提供考核场地，做到真培训、能力真提高，解决培训流于形式的问题；</w:t>
      </w:r>
      <w:r>
        <w:rPr>
          <w:rFonts w:ascii="仿宋" w:eastAsia="仿宋" w:cs="仿宋" w:hint="eastAsia"/>
          <w:b/>
          <w:bCs/>
          <w:sz w:val="32"/>
          <w:szCs w:val="32"/>
          <w:lang w:val="en-US" w:eastAsia="zh-CN"/>
        </w:rPr>
        <w:t>二是</w:t>
      </w:r>
      <w:r>
        <w:rPr>
          <w:rFonts w:ascii="仿宋" w:eastAsia="仿宋" w:cs="仿宋" w:hint="eastAsia"/>
          <w:sz w:val="32"/>
          <w:szCs w:val="32"/>
          <w:lang w:val="en-US" w:eastAsia="zh-CN"/>
        </w:rPr>
        <w:t>完善人员考核管理，主要包括确定考核培训大纲、考核基地的认定标准、考评员的认定、监考老师的确定以及考核申报发证流程等事项进行完善，同时规范人员延期复核，建设人员考核管理系统，按要求履行主管部门监管职责；</w:t>
      </w:r>
      <w:r>
        <w:rPr>
          <w:rFonts w:ascii="仿宋" w:eastAsia="仿宋" w:cs="仿宋" w:hint="eastAsia"/>
          <w:b/>
          <w:bCs/>
          <w:sz w:val="32"/>
          <w:szCs w:val="32"/>
          <w:lang w:val="en-US" w:eastAsia="zh-CN"/>
        </w:rPr>
        <w:t>三是</w:t>
      </w:r>
      <w:r>
        <w:rPr>
          <w:rFonts w:ascii="仿宋" w:eastAsia="仿宋" w:cs="仿宋" w:hint="eastAsia"/>
          <w:sz w:val="32"/>
          <w:szCs w:val="32"/>
          <w:lang w:val="en-US" w:eastAsia="zh-CN"/>
        </w:rPr>
        <w:t>组织安全专家编制培训教材，组建考核题库，明确继续教育内容。通过以上修订，从对特种作业人员的培训、考核、从业、延期复核以及监督管理全过程进行了规范，并</w:t>
      </w:r>
      <w:bookmarkStart w:id="0" w:name="_GoBack"/>
      <w:bookmarkEnd w:id="0"/>
      <w:r>
        <w:rPr>
          <w:rFonts w:ascii="仿宋" w:eastAsia="仿宋" w:cs="仿宋" w:hint="eastAsia"/>
          <w:sz w:val="32"/>
          <w:szCs w:val="32"/>
          <w:lang w:val="en-US" w:eastAsia="zh-CN"/>
        </w:rPr>
        <w:t>将以前管理错位问题，进行了纠正，做到真正履行主管部门职责。</w:t>
      </w:r>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楷体_GB2312">
    <w:panose1 w:val="02010609030101010101"/>
    <w:charset w:val="86"/>
    <w:family w:val="auto"/>
    <w:pitch w:val="variable"/>
    <w:sig w:usb0="00000001" w:usb1="080E0000" w:usb2="00000000" w:usb3="00000000" w:csb0="00040000" w:csb1="00000000"/>
  </w:font>
  <w:font w:name="方正小标宋简体">
    <w:panose1 w:val="02010601030101010101"/>
    <w:charset w:val="86"/>
    <w:family w:val="auto"/>
    <w:pitch w:val="variable"/>
    <w:sig w:usb0="00000001" w:usb1="080E0000" w:usb2="00000000" w:usb3="00000000" w:csb0="00040000" w:csb1="00000000"/>
  </w:font>
  <w:font w:name="仿宋_GB2312">
    <w:panose1 w:val="02010609030101010101"/>
    <w:charset w:val="86"/>
    <w:family w:val="auto"/>
    <w:pitch w:val="variable"/>
    <w:sig w:usb0="00000001" w:usb1="080E0000" w:usb2="00000000" w:usb3="00000000" w:csb0="00040000" w:csb1="00000000"/>
  </w:font>
  <w:font w:name="仿宋">
    <w:panose1 w:val="02010609060101010101"/>
    <w:charset w:val="86"/>
    <w:family w:val="auto"/>
    <w:pitch w:val="variable"/>
    <w:sig w:usb0="800002BF" w:usb1="38CF7CFA" w:usb2="00000016" w:usb3="00000000" w:csb0="00040001"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Arial">
    <w:panose1 w:val="020B0604020202020204"/>
    <w:charset w:val="01"/>
    <w:family w:val="swiss"/>
    <w:pitch w:val="variable"/>
    <w:sig w:usb0="E0002EFF" w:usb1="C000785B" w:usb2="00000009" w:usb3="00000000" w:csb0="400001FF" w:csb1="FFFF0000"/>
  </w:font>
  <w:font w:name="Luxi Sans">
    <w:altName w:val="Arial"/>
    <w:panose1 w:val="00000000000000000000"/>
    <w:charset w:val="00"/>
    <w:family w:val="auto"/>
    <w:pitch w:val="variable"/>
    <w:sig w:usb0="00000000" w:usb1="00000000" w:usb2="00000000" w:usb3="00000000" w:csb0="0000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19</TotalTime>
  <Application>Yozo_Office27021597764231179</Application>
  <Pages>3</Pages>
  <Words>1377</Words>
  <Characters>1392</Characters>
  <Lines>64</Lines>
  <Paragraphs>18</Paragraphs>
  <CharactersWithSpaces>1392</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Zh</dc:creator>
  <cp:lastModifiedBy>zjt</cp:lastModifiedBy>
  <cp:revision>0</cp:revision>
  <cp:lastPrinted>2021-11-23T01:44:00Z</cp:lastPrinted>
  <dcterms:created xsi:type="dcterms:W3CDTF">2014-10-29T12:08:00Z</dcterms:created>
  <dcterms:modified xsi:type="dcterms:W3CDTF">2022-08-04T08:38:46Z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2052-10.8.0.6220</vt:lpwstr>
  </property>
  <property fmtid="{D5CDD505-2E9C-101B-9397-08002B2CF9AE}" pid="3" name="ICV">
    <vt:lpwstr>AE80D834018640E9B752F25EDBB6E2A6</vt:lpwstr>
  </property>
</Properties>
</file>