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8"/>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点击此处添加ICS号</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bookmarkEnd w:id="1"/>
          </w:p>
        </w:tc>
      </w:tr>
    </w:tbl>
    <w:tbl>
      <w:tblPr>
        <w:tblStyle w:val="28"/>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pPr>
              <w:pStyle w:val="51"/>
              <w:framePr w:w="0" w:hRule="auto" w:wrap="auto" w:vAnchor="margin" w:hAnchor="text" w:xAlign="left" w:yAlign="inline"/>
              <w:rPr>
                <w:rFonts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t>     </w:t>
            </w:r>
            <w:r>
              <w:fldChar w:fldCharType="end"/>
            </w:r>
            <w:bookmarkEnd w:id="3"/>
          </w:p>
        </w:tc>
      </w:tr>
    </w:tbl>
    <w:p>
      <w:pPr>
        <w:pStyle w:val="52"/>
        <w:framePr w:w="9639" w:h="624" w:hRule="exact" w:hSpace="181" w:vSpace="181" w:wrap="around"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西藏自治区</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pPr>
        <w:pStyle w:val="197"/>
        <w:framePr/>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lang w:val="fr-FR"/>
        </w:rPr>
        <w:t>XX/T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pPr>
        <w:pStyle w:val="198"/>
        <w:framePr/>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61312"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1312;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52"/>
        <w:framePr w:w="9639" w:h="6976" w:hRule="exact" w:hSpace="0" w:vSpace="0" w:wrap="around" w:hAnchor="page" w:y="6408"/>
        <w:jc w:val="center"/>
        <w:rPr>
          <w:rFonts w:ascii="黑体" w:hAnsi="黑体" w:eastAsia="黑体"/>
          <w:b w:val="0"/>
          <w:bCs w:val="0"/>
          <w:w w:val="100"/>
        </w:rPr>
      </w:pPr>
    </w:p>
    <w:p>
      <w:pPr>
        <w:pStyle w:val="199"/>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t>建筑工程隔震与减震技术标准</w:t>
      </w:r>
      <w:r>
        <w:fldChar w:fldCharType="end"/>
      </w:r>
      <w:bookmarkEnd w:id="9"/>
    </w:p>
    <w:p>
      <w:pPr>
        <w:framePr w:w="9639" w:h="6974" w:hRule="exact" w:wrap="around" w:vAnchor="page" w:hAnchor="page" w:x="1419" w:y="6408" w:anchorLock="1"/>
        <w:ind w:left="-1418"/>
      </w:pPr>
    </w:p>
    <w:p>
      <w:pPr>
        <w:pStyle w:val="127"/>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eastAsia="黑体"/>
          <w:szCs w:val="28"/>
        </w:rPr>
        <w:t xml:space="preserve">Technical Standard for seismic isolation and Seismic reduction of building </w:t>
      </w:r>
      <w:r>
        <w:rPr>
          <w:rFonts w:eastAsia="黑体"/>
          <w:szCs w:val="28"/>
        </w:rPr>
        <w:fldChar w:fldCharType="end"/>
      </w:r>
      <w:bookmarkEnd w:id="10"/>
    </w:p>
    <w:p>
      <w:pPr>
        <w:framePr w:w="9639" w:h="6974" w:hRule="exact" w:wrap="around" w:vAnchor="page" w:hAnchor="page" w:x="1419" w:y="6408" w:anchorLock="1"/>
        <w:spacing w:line="760" w:lineRule="exact"/>
        <w:ind w:left="-1418"/>
      </w:pPr>
    </w:p>
    <w:p>
      <w:pPr>
        <w:pStyle w:val="127"/>
        <w:framePr w:w="9639" w:h="6974" w:hRule="exact" w:wrap="around" w:vAnchor="page" w:hAnchor="page" w:x="1419" w:y="6408" w:anchorLock="1"/>
        <w:textAlignment w:val="bottom"/>
        <w:rPr>
          <w:rFonts w:eastAsia="黑体"/>
          <w:szCs w:val="28"/>
        </w:rPr>
      </w:pPr>
    </w:p>
    <w:p>
      <w:pPr>
        <w:pStyle w:val="127"/>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pPr>
        <w:pStyle w:val="127"/>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rFonts w:hint="eastAsia"/>
          <w:sz w:val="21"/>
          <w:szCs w:val="28"/>
        </w:rPr>
        <w:t>（本草案完成时间：2</w:t>
      </w:r>
      <w:r>
        <w:rPr>
          <w:sz w:val="21"/>
          <w:szCs w:val="28"/>
        </w:rPr>
        <w:t>022.01.07</w:t>
      </w:r>
      <w:r>
        <w:rPr>
          <w:rFonts w:hint="eastAsia"/>
          <w:sz w:val="21"/>
          <w:szCs w:val="28"/>
        </w:rPr>
        <w:t>）</w:t>
      </w:r>
      <w:r>
        <w:rPr>
          <w:sz w:val="21"/>
          <w:szCs w:val="28"/>
        </w:rPr>
        <w:fldChar w:fldCharType="end"/>
      </w:r>
      <w:bookmarkEnd w:id="12"/>
    </w:p>
    <w:p>
      <w:pPr>
        <w:pStyle w:val="127"/>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pPr>
        <w:pStyle w:val="195"/>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pPr>
        <w:pStyle w:val="196"/>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pPr>
        <w:pStyle w:val="153"/>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Ansi="黑体"/>
          <w:w w:val="100"/>
          <w:sz w:val="28"/>
        </w:rPr>
        <w:t>     </w:t>
      </w:r>
      <w:r>
        <w:rPr>
          <w:rFonts w:hAnsi="黑体"/>
          <w:w w:val="100"/>
          <w:sz w:val="28"/>
        </w:rPr>
        <w:fldChar w:fldCharType="end"/>
      </w:r>
      <w:bookmarkEnd w:id="20"/>
      <w:r>
        <w:rPr>
          <w:rFonts w:ascii="Times New Roman"/>
          <w:w w:val="100"/>
          <w:sz w:val="28"/>
        </w:rPr>
        <w:t>  </w:t>
      </w:r>
      <w:r>
        <w:rPr>
          <w:rStyle w:val="231"/>
          <w:rFonts w:hint="eastAsia" w:hAnsi="黑体"/>
          <w:position w:val="0"/>
        </w:rPr>
        <w:t>发</w:t>
      </w:r>
      <w:r>
        <w:rPr>
          <w:rStyle w:val="231"/>
          <w:rFonts w:hint="eastAsia" w:hAnsi="黑体"/>
          <w:spacing w:val="0"/>
          <w:position w:val="0"/>
        </w:rPr>
        <w:t>布</w:t>
      </w:r>
    </w:p>
    <w:p>
      <w:pPr>
        <w:rPr>
          <w:rFonts w:ascii="宋体" w:hAnsi="宋体"/>
          <w:sz w:val="28"/>
          <w:szCs w:val="28"/>
        </w:rPr>
        <w:sectPr>
          <w:headerReference r:id="rId6" w:type="first"/>
          <w:footerReference r:id="rId8" w:type="first"/>
          <w:headerReference r:id="rId5" w:type="default"/>
          <w:footerReference r:id="rId7"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3360"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3360;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pPr>
        <w:pStyle w:val="93"/>
        <w:spacing w:after="468"/>
      </w:pPr>
      <w:bookmarkStart w:id="21" w:name="BookMark1"/>
      <w:bookmarkStart w:id="22" w:name="_Toc89951410"/>
      <w:bookmarkStart w:id="23" w:name="_Toc89952328"/>
      <w:bookmarkStart w:id="24" w:name="_Toc89952255"/>
      <w:bookmarkStart w:id="25" w:name="_Toc89952151"/>
      <w:r>
        <w:rPr>
          <w:rFonts w:hint="eastAsia"/>
          <w:spacing w:val="320"/>
        </w:rPr>
        <w:t>目</w:t>
      </w:r>
      <w:r>
        <w:rPr>
          <w:rFonts w:hint="eastAsia"/>
        </w:rPr>
        <w:t>次</w:t>
      </w:r>
    </w:p>
    <w:p>
      <w:pPr>
        <w:pStyle w:val="20"/>
        <w:tabs>
          <w:tab w:val="right" w:leader="dot" w:pos="9344"/>
        </w:tabs>
        <w:rPr>
          <w:rFonts w:asciiTheme="minorHAnsi" w:hAnsiTheme="minorHAnsi" w:eastAsiaTheme="minorEastAsia" w:cstheme="minorBidi"/>
          <w:szCs w:val="22"/>
        </w:rPr>
      </w:pPr>
      <w:r>
        <w:fldChar w:fldCharType="begin"/>
      </w:r>
      <w:r>
        <w:instrText xml:space="preserve"> TOC \o "1-1" \h </w:instrText>
      </w:r>
      <w:r>
        <w:fldChar w:fldCharType="separate"/>
      </w:r>
      <w:r>
        <w:fldChar w:fldCharType="begin"/>
      </w:r>
      <w:r>
        <w:instrText xml:space="preserve"> HYPERLINK \l "_Toc92414090" </w:instrText>
      </w:r>
      <w:r>
        <w:fldChar w:fldCharType="separate"/>
      </w:r>
      <w:r>
        <w:rPr>
          <w:rStyle w:val="33"/>
          <w:spacing w:val="320"/>
        </w:rPr>
        <w:t>前</w:t>
      </w:r>
      <w:r>
        <w:rPr>
          <w:rStyle w:val="33"/>
        </w:rPr>
        <w:t>言</w:t>
      </w:r>
      <w:r>
        <w:tab/>
      </w:r>
      <w:r>
        <w:fldChar w:fldCharType="begin"/>
      </w:r>
      <w:r>
        <w:instrText xml:space="preserve"> PAGEREF _Toc92414090 \h </w:instrText>
      </w:r>
      <w:r>
        <w:fldChar w:fldCharType="separate"/>
      </w:r>
      <w:r>
        <w:t>II</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"_Toc92414091" </w:instrText>
      </w:r>
      <w:r>
        <w:fldChar w:fldCharType="separate"/>
      </w:r>
      <w:r>
        <w:rPr>
          <w:rStyle w:val="33"/>
        </w:rPr>
        <w:t>1 总则</w:t>
      </w:r>
      <w:r>
        <w:tab/>
      </w:r>
      <w:r>
        <w:fldChar w:fldCharType="begin"/>
      </w:r>
      <w:r>
        <w:instrText xml:space="preserve"> PAGEREF _Toc92414091 \h </w:instrText>
      </w:r>
      <w:r>
        <w:fldChar w:fldCharType="separate"/>
      </w:r>
      <w:r>
        <w:t>1</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"_Toc92414092" </w:instrText>
      </w:r>
      <w:r>
        <w:fldChar w:fldCharType="separate"/>
      </w:r>
      <w:r>
        <w:rPr>
          <w:rStyle w:val="33"/>
        </w:rPr>
        <w:t>2 术语和符号</w:t>
      </w:r>
      <w:r>
        <w:tab/>
      </w:r>
      <w:r>
        <w:fldChar w:fldCharType="begin"/>
      </w:r>
      <w:r>
        <w:instrText xml:space="preserve"> PAGEREF _Toc92414092 \h </w:instrText>
      </w:r>
      <w:r>
        <w:fldChar w:fldCharType="separate"/>
      </w:r>
      <w:r>
        <w:t>4</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"_Toc92414093" </w:instrText>
      </w:r>
      <w:r>
        <w:fldChar w:fldCharType="separate"/>
      </w:r>
      <w:r>
        <w:rPr>
          <w:rStyle w:val="33"/>
        </w:rPr>
        <w:t>3 基本规定</w:t>
      </w:r>
      <w:r>
        <w:tab/>
      </w:r>
      <w:r>
        <w:fldChar w:fldCharType="begin"/>
      </w:r>
      <w:r>
        <w:instrText xml:space="preserve"> PAGEREF _Toc92414093 \h </w:instrText>
      </w:r>
      <w:r>
        <w:fldChar w:fldCharType="separate"/>
      </w:r>
      <w:r>
        <w:t>7</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"_Toc92414094" </w:instrText>
      </w:r>
      <w:r>
        <w:fldChar w:fldCharType="separate"/>
      </w:r>
      <w:r>
        <w:rPr>
          <w:rStyle w:val="33"/>
        </w:rPr>
        <w:t>4 地震作用与验算</w:t>
      </w:r>
      <w:r>
        <w:tab/>
      </w:r>
      <w:r>
        <w:fldChar w:fldCharType="begin"/>
      </w:r>
      <w:r>
        <w:instrText xml:space="preserve"> PAGEREF _Toc92414094 \h </w:instrText>
      </w:r>
      <w:r>
        <w:fldChar w:fldCharType="separate"/>
      </w:r>
      <w:r>
        <w:t>8</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"_Toc92414095" </w:instrText>
      </w:r>
      <w:r>
        <w:fldChar w:fldCharType="separate"/>
      </w:r>
      <w:r>
        <w:rPr>
          <w:rStyle w:val="33"/>
        </w:rPr>
        <w:t>5 性能化设计</w:t>
      </w:r>
      <w:r>
        <w:tab/>
      </w:r>
      <w:r>
        <w:fldChar w:fldCharType="begin"/>
      </w:r>
      <w:r>
        <w:instrText xml:space="preserve"> PAGEREF _Toc92414095 \h </w:instrText>
      </w:r>
      <w:r>
        <w:fldChar w:fldCharType="separate"/>
      </w:r>
      <w:r>
        <w:t>19</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"_Toc92414096" </w:instrText>
      </w:r>
      <w:r>
        <w:fldChar w:fldCharType="separate"/>
      </w:r>
      <w:r>
        <w:rPr>
          <w:rStyle w:val="33"/>
        </w:rPr>
        <w:t>6 消能减震建筑基本规定</w:t>
      </w:r>
      <w:r>
        <w:tab/>
      </w:r>
      <w:r>
        <w:fldChar w:fldCharType="begin"/>
      </w:r>
      <w:r>
        <w:instrText xml:space="preserve"> PAGEREF _Toc92414096 \h </w:instrText>
      </w:r>
      <w:r>
        <w:fldChar w:fldCharType="separate"/>
      </w:r>
      <w:r>
        <w:t>22</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"_Toc92414097" </w:instrText>
      </w:r>
      <w:r>
        <w:fldChar w:fldCharType="separate"/>
      </w:r>
      <w:r>
        <w:rPr>
          <w:rStyle w:val="33"/>
        </w:rPr>
        <w:t>7 消能器的技术性能</w:t>
      </w:r>
      <w:r>
        <w:tab/>
      </w:r>
      <w:r>
        <w:fldChar w:fldCharType="begin"/>
      </w:r>
      <w:r>
        <w:instrText xml:space="preserve"> PAGEREF _Toc92414097 \h </w:instrText>
      </w:r>
      <w:r>
        <w:fldChar w:fldCharType="separate"/>
      </w:r>
      <w:r>
        <w:t>25</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"_Toc92414098" </w:instrText>
      </w:r>
      <w:r>
        <w:fldChar w:fldCharType="separate"/>
      </w:r>
      <w:r>
        <w:rPr>
          <w:rStyle w:val="33"/>
        </w:rPr>
        <w:t>8 消能减震结构设计</w:t>
      </w:r>
      <w:r>
        <w:tab/>
      </w:r>
      <w:r>
        <w:fldChar w:fldCharType="begin"/>
      </w:r>
      <w:r>
        <w:instrText xml:space="preserve"> PAGEREF _Toc92414098 \h </w:instrText>
      </w:r>
      <w:r>
        <w:fldChar w:fldCharType="separate"/>
      </w:r>
      <w:r>
        <w:t>36</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"_Toc92414099" </w:instrText>
      </w:r>
      <w:r>
        <w:fldChar w:fldCharType="separate"/>
      </w:r>
      <w:r>
        <w:rPr>
          <w:rStyle w:val="33"/>
        </w:rPr>
        <w:t>9 钢筋混凝土结构消能减震加固设计</w:t>
      </w:r>
      <w:r>
        <w:tab/>
      </w:r>
      <w:r>
        <w:fldChar w:fldCharType="begin"/>
      </w:r>
      <w:r>
        <w:instrText xml:space="preserve"> PAGEREF _Toc92414099 \h </w:instrText>
      </w:r>
      <w:r>
        <w:fldChar w:fldCharType="separate"/>
      </w:r>
      <w:r>
        <w:t>44</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"_Toc92414100" </w:instrText>
      </w:r>
      <w:r>
        <w:fldChar w:fldCharType="separate"/>
      </w:r>
      <w:r>
        <w:rPr>
          <w:rStyle w:val="33"/>
        </w:rPr>
        <w:t>10 消能部件的连接与构造</w:t>
      </w:r>
      <w:r>
        <w:tab/>
      </w:r>
      <w:r>
        <w:fldChar w:fldCharType="begin"/>
      </w:r>
      <w:r>
        <w:instrText xml:space="preserve"> PAGEREF _Toc92414100 \h </w:instrText>
      </w:r>
      <w:r>
        <w:fldChar w:fldCharType="separate"/>
      </w:r>
      <w:r>
        <w:t>47</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"_Toc92414101" </w:instrText>
      </w:r>
      <w:r>
        <w:fldChar w:fldCharType="separate"/>
      </w:r>
      <w:r>
        <w:rPr>
          <w:rStyle w:val="33"/>
        </w:rPr>
        <w:t>11 消能部件的施工、验收和维护</w:t>
      </w:r>
      <w:r>
        <w:tab/>
      </w:r>
      <w:r>
        <w:fldChar w:fldCharType="begin"/>
      </w:r>
      <w:r>
        <w:instrText xml:space="preserve"> PAGEREF _Toc92414101 \h </w:instrText>
      </w:r>
      <w:r>
        <w:fldChar w:fldCharType="separate"/>
      </w:r>
      <w:r>
        <w:t>54</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"_Toc92414102" </w:instrText>
      </w:r>
      <w:r>
        <w:fldChar w:fldCharType="separate"/>
      </w:r>
      <w:r>
        <w:rPr>
          <w:rStyle w:val="33"/>
        </w:rPr>
        <w:t>12 隔震结构基本规定</w:t>
      </w:r>
      <w:r>
        <w:tab/>
      </w:r>
      <w:r>
        <w:fldChar w:fldCharType="begin"/>
      </w:r>
      <w:r>
        <w:instrText xml:space="preserve"> PAGEREF _Toc92414102 \h </w:instrText>
      </w:r>
      <w:r>
        <w:fldChar w:fldCharType="separate"/>
      </w:r>
      <w:r>
        <w:t>63</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"_Toc92414103" </w:instrText>
      </w:r>
      <w:r>
        <w:fldChar w:fldCharType="separate"/>
      </w:r>
      <w:r>
        <w:rPr>
          <w:rStyle w:val="33"/>
        </w:rPr>
        <w:t>13 隔震支座技术性能</w:t>
      </w:r>
      <w:r>
        <w:tab/>
      </w:r>
      <w:r>
        <w:fldChar w:fldCharType="begin"/>
      </w:r>
      <w:r>
        <w:instrText xml:space="preserve"> PAGEREF _Toc92414103 \h </w:instrText>
      </w:r>
      <w:r>
        <w:fldChar w:fldCharType="separate"/>
      </w:r>
      <w:r>
        <w:t>66</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"_Toc92414104" </w:instrText>
      </w:r>
      <w:r>
        <w:fldChar w:fldCharType="separate"/>
      </w:r>
      <w:r>
        <w:rPr>
          <w:rStyle w:val="33"/>
        </w:rPr>
        <w:t>14 隔震层设计</w:t>
      </w:r>
      <w:r>
        <w:tab/>
      </w:r>
      <w:r>
        <w:fldChar w:fldCharType="begin"/>
      </w:r>
      <w:r>
        <w:instrText xml:space="preserve"> PAGEREF _Toc92414104 \h </w:instrText>
      </w:r>
      <w:r>
        <w:fldChar w:fldCharType="separate"/>
      </w:r>
      <w:r>
        <w:t>69</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"_Toc92414105" </w:instrText>
      </w:r>
      <w:r>
        <w:fldChar w:fldCharType="separate"/>
      </w:r>
      <w:r>
        <w:rPr>
          <w:rStyle w:val="33"/>
        </w:rPr>
        <w:t>15 多、高层隔震结构设计</w:t>
      </w:r>
      <w:r>
        <w:tab/>
      </w:r>
      <w:r>
        <w:fldChar w:fldCharType="begin"/>
      </w:r>
      <w:r>
        <w:instrText xml:space="preserve"> PAGEREF _Toc92414105 \h </w:instrText>
      </w:r>
      <w:r>
        <w:fldChar w:fldCharType="separate"/>
      </w:r>
      <w:r>
        <w:t>75</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"_Toc92414106" </w:instrText>
      </w:r>
      <w:r>
        <w:fldChar w:fldCharType="separate"/>
      </w:r>
      <w:r>
        <w:rPr>
          <w:rStyle w:val="33"/>
        </w:rPr>
        <w:t>16 多层隔震砌体与石结构建筑</w:t>
      </w:r>
      <w:r>
        <w:tab/>
      </w:r>
      <w:r>
        <w:fldChar w:fldCharType="begin"/>
      </w:r>
      <w:r>
        <w:instrText xml:space="preserve"> PAGEREF _Toc92414106 \h </w:instrText>
      </w:r>
      <w:r>
        <w:fldChar w:fldCharType="separate"/>
      </w:r>
      <w:r>
        <w:t>79</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"_Toc92414107" </w:instrText>
      </w:r>
      <w:r>
        <w:fldChar w:fldCharType="separate"/>
      </w:r>
      <w:r>
        <w:rPr>
          <w:rStyle w:val="33"/>
        </w:rPr>
        <w:t>17 既有建筑隔震加固</w:t>
      </w:r>
      <w:r>
        <w:tab/>
      </w:r>
      <w:r>
        <w:fldChar w:fldCharType="begin"/>
      </w:r>
      <w:r>
        <w:instrText xml:space="preserve"> PAGEREF _Toc92414107 \h </w:instrText>
      </w:r>
      <w:r>
        <w:fldChar w:fldCharType="separate"/>
      </w:r>
      <w:r>
        <w:t>81</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"_Toc92414108" </w:instrText>
      </w:r>
      <w:r>
        <w:fldChar w:fldCharType="separate"/>
      </w:r>
      <w:r>
        <w:rPr>
          <w:rStyle w:val="33"/>
        </w:rPr>
        <w:t>18 隔震建筑施工、验收与维护</w:t>
      </w:r>
      <w:r>
        <w:tab/>
      </w:r>
      <w:r>
        <w:fldChar w:fldCharType="begin"/>
      </w:r>
      <w:r>
        <w:instrText xml:space="preserve"> PAGEREF _Toc92414108 \h </w:instrText>
      </w:r>
      <w:r>
        <w:fldChar w:fldCharType="separate"/>
      </w:r>
      <w:r>
        <w:t>86</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"_Toc92414109" </w:instrText>
      </w:r>
      <w:r>
        <w:fldChar w:fldCharType="separate"/>
      </w:r>
      <w:r>
        <w:rPr>
          <w:rStyle w:val="33"/>
        </w:rPr>
        <w:t>19 规范性引用文件</w:t>
      </w:r>
      <w:r>
        <w:tab/>
      </w:r>
      <w:r>
        <w:fldChar w:fldCharType="begin"/>
      </w:r>
      <w:r>
        <w:instrText xml:space="preserve"> PAGEREF _Toc92414109 \h </w:instrText>
      </w:r>
      <w:r>
        <w:fldChar w:fldCharType="separate"/>
      </w:r>
      <w:r>
        <w:t>89</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"_Toc92414110" </w:instrText>
      </w:r>
      <w:r>
        <w:fldChar w:fldCharType="separate"/>
      </w:r>
      <w:r>
        <w:rPr>
          <w:rStyle w:val="33"/>
          <w:spacing w:val="100"/>
        </w:rPr>
        <w:t>附录A</w:t>
      </w:r>
      <w:r>
        <w:rPr>
          <w:rStyle w:val="33"/>
        </w:rPr>
        <w:t xml:space="preserve"> （资料性） 复振型影响系数计算公式</w:t>
      </w:r>
      <w:r>
        <w:tab/>
      </w:r>
      <w:r>
        <w:fldChar w:fldCharType="begin"/>
      </w:r>
      <w:r>
        <w:instrText xml:space="preserve"> PAGEREF _Toc92414110 \h </w:instrText>
      </w:r>
      <w:r>
        <w:fldChar w:fldCharType="separate"/>
      </w:r>
      <w:r>
        <w:t>90</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"_Toc92414111" </w:instrText>
      </w:r>
      <w:r>
        <w:fldChar w:fldCharType="separate"/>
      </w:r>
      <w:r>
        <w:rPr>
          <w:rStyle w:val="33"/>
          <w:spacing w:val="100"/>
        </w:rPr>
        <w:t>附录B</w:t>
      </w:r>
      <w:r>
        <w:rPr>
          <w:rStyle w:val="33"/>
        </w:rPr>
        <w:t xml:space="preserve"> （资料性） 各种类型隔震支座尺寸及力学性能</w:t>
      </w:r>
      <w:r>
        <w:tab/>
      </w:r>
      <w:r>
        <w:fldChar w:fldCharType="begin"/>
      </w:r>
      <w:r>
        <w:instrText xml:space="preserve"> PAGEREF _Toc92414111 \h </w:instrText>
      </w:r>
      <w:r>
        <w:fldChar w:fldCharType="separate"/>
      </w:r>
      <w:r>
        <w:t>93</w:t>
      </w:r>
      <w:r>
        <w:fldChar w:fldCharType="end"/>
      </w:r>
      <w:r>
        <w:fldChar w:fldCharType="end"/>
      </w:r>
    </w:p>
    <w:p>
      <w:pPr>
        <w:pStyle w:val="93"/>
        <w:spacing w:after="468"/>
        <w:sectPr>
          <w:headerReference r:id="rId9" w:type="default"/>
          <w:footerReference r:id="rId11" w:type="default"/>
          <w:headerReference r:id="rId10" w:type="even"/>
          <w:pgSz w:w="11906" w:h="16838"/>
          <w:pgMar w:top="2410" w:right="1134" w:bottom="1134" w:left="1134" w:header="1418" w:footer="1134" w:gutter="284"/>
          <w:pgNumType w:fmt="upperRoman" w:start="1"/>
          <w:cols w:space="425" w:num="1"/>
          <w:formProt w:val="0"/>
          <w:docGrid w:type="lines" w:linePitch="312" w:charSpace="0"/>
        </w:sectPr>
      </w:pPr>
      <w:r>
        <w:fldChar w:fldCharType="end"/>
      </w:r>
    </w:p>
    <w:bookmarkEnd w:id="21"/>
    <w:p>
      <w:pPr>
        <w:pStyle w:val="91"/>
        <w:spacing w:after="468"/>
      </w:pPr>
      <w:bookmarkStart w:id="26" w:name="_Toc92414090"/>
      <w:bookmarkStart w:id="27" w:name="BookMark2"/>
      <w:r>
        <w:rPr>
          <w:spacing w:val="320"/>
        </w:rPr>
        <w:t>前</w:t>
      </w:r>
      <w:r>
        <w:t>言</w:t>
      </w:r>
      <w:bookmarkEnd w:id="22"/>
      <w:bookmarkEnd w:id="23"/>
      <w:bookmarkEnd w:id="24"/>
      <w:bookmarkEnd w:id="25"/>
      <w:bookmarkEnd w:id="26"/>
    </w:p>
    <w:p>
      <w:pPr>
        <w:pStyle w:val="58"/>
        <w:ind w:firstLine="420"/>
      </w:pPr>
      <w:r>
        <w:rPr>
          <w:rFonts w:hint="eastAsia"/>
        </w:rPr>
        <w:t>为深入贯彻实施中华人民共和国国务院令第7</w:t>
      </w:r>
      <w:r>
        <w:t>44</w:t>
      </w:r>
      <w:r>
        <w:rPr>
          <w:rFonts w:hint="eastAsia"/>
        </w:rPr>
        <w:t>号文件：《建设工程抗震管理条例》，为了提高西藏自治区建设工程抗震防灾能力、降低地震灾害风险，保障人民生命财产安全，根据西藏自治区住房和城乡建设厅《西藏自治区工程建设标准化工作管理办法》，由西藏大学、西藏自治区建筑勘察设计院及中国建筑科学研究院等单位对西藏自治区工程建设规范《隔震与减震技术规程》D</w:t>
      </w:r>
      <w:r>
        <w:t>B XX/T XXXX-XXXX</w:t>
      </w:r>
      <w:r>
        <w:rPr>
          <w:rFonts w:hint="eastAsia"/>
        </w:rPr>
        <w:t>进行了编制。</w:t>
      </w:r>
    </w:p>
    <w:p>
      <w:pPr>
        <w:pStyle w:val="58"/>
        <w:ind w:firstLine="420"/>
      </w:pPr>
      <w:r>
        <w:rPr>
          <w:rFonts w:hint="eastAsia"/>
        </w:rPr>
        <w:t>本标准是在总结近些年国内外消能减震、隔震技术的工程应用和最新科研成果基础上，广泛征求业内人员意见，并结合现行国家标准《建筑抗震设计规范》GB 50011，现行国家标准《建筑隔震设计标准》GB</w:t>
      </w:r>
      <w:r>
        <w:t>/T</w:t>
      </w:r>
      <w:r>
        <w:rPr>
          <w:rFonts w:hint="eastAsia"/>
        </w:rPr>
        <w:t xml:space="preserve"> </w:t>
      </w:r>
      <w:r>
        <w:t>51408</w:t>
      </w:r>
      <w:r>
        <w:rPr>
          <w:rFonts w:hint="eastAsia"/>
        </w:rPr>
        <w:t>，现行行业标准《建筑消能减震技术规程》JGJ 297及现行协会标准《建筑消能减震加固技术规程》T</w:t>
      </w:r>
      <w:r>
        <w:t>/CECS 547</w:t>
      </w:r>
      <w:r>
        <w:rPr>
          <w:rFonts w:hint="eastAsia"/>
        </w:rPr>
        <w:t>等编制而成的。</w:t>
      </w:r>
    </w:p>
    <w:p>
      <w:pPr>
        <w:pStyle w:val="58"/>
        <w:ind w:firstLine="420"/>
      </w:pPr>
      <w:r>
        <w:rPr>
          <w:rFonts w:hint="eastAsia"/>
        </w:rPr>
        <w:t>本规程共有1</w:t>
      </w:r>
      <w:r>
        <w:t>8</w:t>
      </w:r>
      <w:r>
        <w:rPr>
          <w:rFonts w:hint="eastAsia"/>
        </w:rPr>
        <w:t>章内容主要内容包括：总则；术语和符号；基本规定；地震作用与验算；性能化设计；消能减震建筑基本规定；消能器的技术性能；消能减震结构设计；钢筋混凝土结构消能减震加固设计；消能部件的连接与构造；消能部件的施工、验收和维护；隔震结构基本规定；隔震支座技术性能；隔震层设计；多、高层隔震结构设计；多层隔震砌体与石结构建筑；既有建筑隔震加固；隔震建筑施工、验收与维护。</w:t>
      </w:r>
    </w:p>
    <w:p>
      <w:pPr>
        <w:pStyle w:val="58"/>
        <w:ind w:firstLine="420"/>
      </w:pPr>
      <w:r>
        <w:rPr>
          <w:rFonts w:hint="eastAsia"/>
        </w:rPr>
        <w:t>主编单位：中国建筑科学研究院有限公司</w:t>
      </w:r>
    </w:p>
    <w:p>
      <w:pPr>
        <w:pStyle w:val="58"/>
        <w:ind w:firstLine="1470" w:firstLineChars="700"/>
      </w:pPr>
      <w:r>
        <w:rPr>
          <w:rFonts w:hint="eastAsia"/>
        </w:rPr>
        <w:t>西藏大学</w:t>
      </w:r>
    </w:p>
    <w:p>
      <w:pPr>
        <w:pStyle w:val="58"/>
        <w:ind w:firstLine="420"/>
      </w:pPr>
      <w:r>
        <w:rPr>
          <w:rFonts w:hint="eastAsia"/>
        </w:rPr>
        <w:t xml:space="preserve"> </w:t>
      </w:r>
      <w:r>
        <w:t xml:space="preserve">         </w:t>
      </w:r>
      <w:r>
        <w:rPr>
          <w:rFonts w:hint="eastAsia"/>
        </w:rPr>
        <w:t>西藏自治区建筑勘察设计院</w:t>
      </w:r>
    </w:p>
    <w:p>
      <w:pPr>
        <w:pStyle w:val="58"/>
        <w:ind w:firstLine="420"/>
        <w:rPr>
          <w:rFonts w:hint="eastAsia"/>
        </w:rPr>
      </w:pPr>
      <w:r>
        <w:rPr>
          <w:rFonts w:hint="eastAsia"/>
        </w:rPr>
        <w:t>参编单位：拉萨市设计集团有限公司</w:t>
      </w:r>
    </w:p>
    <w:p>
      <w:pPr>
        <w:pStyle w:val="58"/>
        <w:ind w:left="1260" w:firstLine="157" w:firstLineChars="75"/>
        <w:rPr>
          <w:rFonts w:hint="eastAsia"/>
        </w:rPr>
      </w:pPr>
      <w:r>
        <w:rPr>
          <w:rFonts w:hint="eastAsia"/>
        </w:rPr>
        <w:t>国家工程橡胶产品质量监督检验中心</w:t>
      </w:r>
    </w:p>
    <w:p>
      <w:pPr>
        <w:pStyle w:val="58"/>
        <w:ind w:left="1260" w:firstLine="157" w:firstLineChars="75"/>
        <w:rPr>
          <w:rFonts w:hint="eastAsia"/>
        </w:rPr>
      </w:pPr>
      <w:r>
        <w:rPr>
          <w:rFonts w:hint="eastAsia"/>
        </w:rPr>
        <w:t>山南市建筑规划设计院</w:t>
      </w:r>
    </w:p>
    <w:p>
      <w:pPr>
        <w:pStyle w:val="58"/>
        <w:ind w:left="1260" w:firstLine="157" w:firstLineChars="75"/>
        <w:rPr>
          <w:rFonts w:hint="eastAsia"/>
        </w:rPr>
      </w:pPr>
      <w:r>
        <w:rPr>
          <w:rFonts w:hint="eastAsia"/>
        </w:rPr>
        <w:t>中都工程设计有限公司</w:t>
      </w:r>
    </w:p>
    <w:p>
      <w:pPr>
        <w:pStyle w:val="58"/>
        <w:ind w:left="1260" w:firstLine="157" w:firstLineChars="75"/>
        <w:rPr>
          <w:rFonts w:hint="eastAsia"/>
        </w:rPr>
      </w:pPr>
      <w:r>
        <w:rPr>
          <w:rFonts w:hint="eastAsia"/>
        </w:rPr>
        <w:t>西藏正信工程检测技术有限公司</w:t>
      </w:r>
    </w:p>
    <w:p>
      <w:pPr>
        <w:pStyle w:val="58"/>
        <w:ind w:left="1260" w:firstLine="157" w:firstLineChars="75"/>
        <w:rPr>
          <w:rFonts w:hint="eastAsia"/>
        </w:rPr>
      </w:pPr>
      <w:r>
        <w:rPr>
          <w:rFonts w:hint="eastAsia"/>
        </w:rPr>
        <w:t>核工业西南勘察设计研究院有限公司</w:t>
      </w:r>
    </w:p>
    <w:p>
      <w:pPr>
        <w:pStyle w:val="58"/>
        <w:ind w:left="1260" w:firstLine="157" w:firstLineChars="75"/>
        <w:rPr>
          <w:rFonts w:hint="eastAsia"/>
        </w:rPr>
      </w:pPr>
      <w:r>
        <w:rPr>
          <w:rFonts w:hint="eastAsia"/>
        </w:rPr>
        <w:t>西藏金林建筑设计有限公司</w:t>
      </w:r>
    </w:p>
    <w:p>
      <w:pPr>
        <w:pStyle w:val="58"/>
        <w:ind w:left="1260" w:firstLine="157" w:firstLineChars="75"/>
        <w:rPr>
          <w:rFonts w:hint="eastAsia"/>
        </w:rPr>
      </w:pPr>
      <w:r>
        <w:rPr>
          <w:rFonts w:hint="eastAsia"/>
        </w:rPr>
        <w:t>创鑫工程咨询股份有限公司西藏分公司</w:t>
      </w:r>
    </w:p>
    <w:p>
      <w:pPr>
        <w:pStyle w:val="58"/>
        <w:ind w:left="1260" w:firstLine="157" w:firstLineChars="75"/>
        <w:rPr>
          <w:rFonts w:hint="eastAsia"/>
        </w:rPr>
      </w:pPr>
      <w:r>
        <w:rPr>
          <w:rFonts w:hint="eastAsia"/>
        </w:rPr>
        <w:t>阿里象雄建筑勘察规划设计有限公司</w:t>
      </w:r>
    </w:p>
    <w:p>
      <w:pPr>
        <w:pStyle w:val="58"/>
        <w:ind w:left="1260" w:firstLine="157" w:firstLineChars="75"/>
        <w:rPr>
          <w:rFonts w:hint="eastAsia"/>
        </w:rPr>
      </w:pPr>
      <w:r>
        <w:rPr>
          <w:rFonts w:hint="eastAsia"/>
        </w:rPr>
        <w:t>河北宝力工程装备股份有限公司</w:t>
      </w:r>
    </w:p>
    <w:p>
      <w:pPr>
        <w:pStyle w:val="58"/>
        <w:ind w:left="1260" w:firstLine="157" w:firstLineChars="75"/>
        <w:rPr>
          <w:rFonts w:hint="eastAsia"/>
        </w:rPr>
      </w:pPr>
      <w:r>
        <w:rPr>
          <w:rFonts w:hint="eastAsia"/>
        </w:rPr>
        <w:t>衡水震泰隔震器材有限公司</w:t>
      </w:r>
    </w:p>
    <w:p>
      <w:pPr>
        <w:pStyle w:val="58"/>
        <w:ind w:left="1260" w:firstLine="157" w:firstLineChars="75"/>
        <w:rPr>
          <w:rFonts w:hint="eastAsia"/>
        </w:rPr>
      </w:pPr>
      <w:r>
        <w:rPr>
          <w:rFonts w:hint="eastAsia"/>
        </w:rPr>
        <w:t>株洲时代新材料科技股份有限公司</w:t>
      </w:r>
    </w:p>
    <w:p>
      <w:pPr>
        <w:pStyle w:val="58"/>
        <w:ind w:left="1260" w:firstLine="157" w:firstLineChars="75"/>
        <w:rPr>
          <w:rFonts w:hint="eastAsia"/>
        </w:rPr>
      </w:pPr>
      <w:r>
        <w:rPr>
          <w:rFonts w:hint="eastAsia"/>
        </w:rPr>
        <w:t>西藏震宇减震科技有限公司</w:t>
      </w:r>
    </w:p>
    <w:p>
      <w:pPr>
        <w:pStyle w:val="58"/>
        <w:ind w:left="1260" w:firstLine="157" w:firstLineChars="75"/>
        <w:rPr>
          <w:rFonts w:hint="eastAsia"/>
        </w:rPr>
      </w:pPr>
      <w:r>
        <w:rPr>
          <w:rFonts w:hint="eastAsia"/>
        </w:rPr>
        <w:t>昌都市建筑勘察设计院</w:t>
      </w:r>
    </w:p>
    <w:p>
      <w:pPr>
        <w:pStyle w:val="58"/>
        <w:ind w:left="1260" w:firstLine="157" w:firstLineChars="75"/>
        <w:rPr>
          <w:rFonts w:hint="eastAsia"/>
        </w:rPr>
      </w:pPr>
      <w:r>
        <w:rPr>
          <w:rFonts w:hint="eastAsia"/>
        </w:rPr>
        <w:t>西藏远望工程设计有限公司</w:t>
      </w:r>
    </w:p>
    <w:p>
      <w:pPr>
        <w:pStyle w:val="58"/>
        <w:ind w:left="1260" w:firstLine="157" w:firstLineChars="75"/>
        <w:rPr>
          <w:rFonts w:hint="eastAsia"/>
        </w:rPr>
      </w:pPr>
      <w:r>
        <w:rPr>
          <w:rFonts w:hint="eastAsia"/>
        </w:rPr>
        <w:t>西藏自治区地震局</w:t>
      </w:r>
    </w:p>
    <w:p>
      <w:pPr>
        <w:pStyle w:val="58"/>
        <w:ind w:left="1260" w:firstLine="157" w:firstLineChars="75"/>
        <w:rPr>
          <w:rFonts w:hint="eastAsia"/>
        </w:rPr>
      </w:pPr>
      <w:r>
        <w:rPr>
          <w:rFonts w:hint="eastAsia"/>
        </w:rPr>
        <w:t>东南大学</w:t>
      </w:r>
    </w:p>
    <w:p>
      <w:pPr>
        <w:pStyle w:val="58"/>
        <w:ind w:left="1260" w:firstLine="157" w:firstLineChars="75"/>
        <w:rPr>
          <w:rFonts w:hint="eastAsia"/>
        </w:rPr>
      </w:pPr>
      <w:r>
        <w:rPr>
          <w:rFonts w:hint="eastAsia"/>
        </w:rPr>
        <w:t>西藏民族大学</w:t>
      </w:r>
    </w:p>
    <w:p>
      <w:pPr>
        <w:pStyle w:val="58"/>
        <w:ind w:left="1260" w:firstLine="157" w:firstLineChars="75"/>
        <w:rPr>
          <w:rFonts w:hint="eastAsia"/>
        </w:rPr>
      </w:pPr>
      <w:r>
        <w:rPr>
          <w:rFonts w:hint="eastAsia"/>
        </w:rPr>
        <w:t>西藏农牧学院</w:t>
      </w:r>
    </w:p>
    <w:p>
      <w:pPr>
        <w:pStyle w:val="58"/>
        <w:ind w:left="1260" w:firstLine="157" w:firstLineChars="75"/>
      </w:pPr>
      <w:r>
        <w:rPr>
          <w:rFonts w:hint="eastAsia"/>
        </w:rPr>
        <w:t>西藏职业技术学院</w:t>
      </w:r>
    </w:p>
    <w:p>
      <w:pPr>
        <w:pStyle w:val="58"/>
        <w:ind w:firstLine="420"/>
      </w:pPr>
    </w:p>
    <w:p>
      <w:pPr>
        <w:pStyle w:val="58"/>
        <w:ind w:firstLine="420"/>
        <w:sectPr>
          <w:pgSz w:w="11906" w:h="16838"/>
          <w:pgMar w:top="2410" w:right="1134" w:bottom="1134" w:left="1134" w:header="1418" w:footer="1134" w:gutter="284"/>
          <w:pgNumType w:fmt="upperRoman"/>
          <w:cols w:space="425" w:num="1"/>
          <w:formProt w:val="0"/>
          <w:docGrid w:type="lines" w:linePitch="312" w:charSpace="0"/>
        </w:sectPr>
      </w:pPr>
    </w:p>
    <w:bookmarkEnd w:id="27"/>
    <w:p>
      <w:pPr>
        <w:spacing w:line="20" w:lineRule="exact"/>
        <w:jc w:val="center"/>
        <w:rPr>
          <w:rFonts w:ascii="黑体" w:hAnsi="黑体" w:eastAsia="黑体"/>
          <w:sz w:val="32"/>
          <w:szCs w:val="32"/>
        </w:rPr>
      </w:pPr>
      <w:bookmarkStart w:id="28" w:name="BookMark4"/>
    </w:p>
    <w:p>
      <w:pPr>
        <w:spacing w:line="20" w:lineRule="exact"/>
        <w:jc w:val="center"/>
        <w:rPr>
          <w:rFonts w:ascii="黑体" w:hAnsi="黑体" w:eastAsia="黑体"/>
          <w:sz w:val="32"/>
          <w:szCs w:val="32"/>
        </w:rPr>
      </w:pPr>
    </w:p>
    <w:sdt>
      <w:sdtPr>
        <w:tag w:val="NEW_STAND_NAME"/>
        <w:id w:val="595910757"/>
        <w:lock w:val="sdtLocked"/>
        <w:placeholder>
          <w:docPart w:val="F20EACB96F274A18BE2098B429240732"/>
        </w:placeholder>
      </w:sdtPr>
      <w:sdtContent>
        <w:p>
          <w:pPr>
            <w:pStyle w:val="179"/>
            <w:spacing w:before="3" w:beforeLines="1" w:after="686" w:afterLines="220"/>
          </w:pPr>
          <w:bookmarkStart w:id="29" w:name="NEW_STAND_NAME"/>
          <w:r>
            <w:rPr>
              <w:rFonts w:hint="eastAsia"/>
            </w:rPr>
            <w:t>建筑工程隔震与减震技术标准</w:t>
          </w:r>
        </w:p>
      </w:sdtContent>
    </w:sdt>
    <w:bookmarkEnd w:id="29"/>
    <w:p>
      <w:pPr>
        <w:pStyle w:val="106"/>
        <w:spacing w:before="312" w:after="312"/>
        <w:jc w:val="center"/>
      </w:pPr>
      <w:bookmarkStart w:id="30" w:name="_Toc89952152"/>
      <w:bookmarkStart w:id="31" w:name="_Toc89952256"/>
      <w:bookmarkStart w:id="32" w:name="_Toc89952329"/>
      <w:bookmarkStart w:id="33" w:name="_Toc92414091"/>
      <w:r>
        <w:rPr>
          <w:rFonts w:hint="eastAsia"/>
        </w:rPr>
        <w:t>总则</w:t>
      </w:r>
      <w:bookmarkEnd w:id="30"/>
      <w:bookmarkEnd w:id="31"/>
      <w:bookmarkEnd w:id="32"/>
      <w:bookmarkEnd w:id="33"/>
    </w:p>
    <w:p>
      <w:pPr>
        <w:pStyle w:val="176"/>
        <w:numPr>
          <w:ilvl w:val="0"/>
          <w:numId w:val="0"/>
        </w:numPr>
      </w:pPr>
      <w:r>
        <w:rPr>
          <w:rFonts w:hint="eastAsia" w:ascii="黑体" w:hAnsi="黑体" w:eastAsia="黑体"/>
        </w:rPr>
        <w:t>1.0.1</w:t>
      </w:r>
      <w:r>
        <w:rPr>
          <w:rFonts w:ascii="黑体" w:hAnsi="黑体" w:eastAsia="黑体"/>
        </w:rPr>
        <w:t xml:space="preserve"> </w:t>
      </w:r>
      <w:r>
        <w:t xml:space="preserve"> </w:t>
      </w:r>
      <w:r>
        <w:rPr>
          <w:rFonts w:hint="eastAsia"/>
        </w:rPr>
        <w:t>为贯彻执行国家有关建筑工程防震减灾的法律法规，实行以预防为主的防震减灾方针，使建筑物采用消能减震、隔震技术后，提高建筑安全性，减轻建筑的地震破坏，避免人员伤亡和经济损失，制定本标准。</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1.0.1</w:t>
      </w:r>
      <w:r>
        <w:rPr>
          <w:rFonts w:hint="eastAsia" w:ascii="华文楷体" w:hAnsi="华文楷体" w:eastAsia="华文楷体" w:cs="华文楷体"/>
          <w:color w:val="0000FF"/>
          <w:szCs w:val="22"/>
        </w:rPr>
        <w:t>在建筑结构中采用消能减震、隔震技术，以过滤或耗散地震输入结构的部分能量，是减轻地震反应和地震破坏的新技术和新方法，已有的震害经验表明消能减震、隔震技术的有效性。为了保证和提高消能减震、隔震建筑设计、施工水准，规范和推进消能减震、隔震技术的应用制订本规程。</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消能减震结构是指在建筑结构的某些部位（如支撑、剪力墙、节点、联结缝或连接件、楼层空间、相邻建筑间、主附结构间等）设置了消能（阻尼）器（或元件）的建筑结构。消能减震结构由主体结构、消能部件及基础等组成；消能子结构是指与消能部件直接连接的主体结构单元（图</w:t>
      </w:r>
      <w:r>
        <w:rPr>
          <w:rFonts w:ascii="华文楷体" w:hAnsi="华文楷体" w:eastAsia="华文楷体" w:cs="华文楷体"/>
          <w:color w:val="0000FF"/>
          <w:szCs w:val="22"/>
        </w:rPr>
        <w:t>1-1</w:t>
      </w:r>
      <w:r>
        <w:rPr>
          <w:rFonts w:hint="eastAsia" w:ascii="华文楷体" w:hAnsi="华文楷体" w:eastAsia="华文楷体" w:cs="华文楷体"/>
          <w:color w:val="0000FF"/>
          <w:szCs w:val="22"/>
        </w:rPr>
        <w:t>）。对于安装了位移型消能器的消能子结构范围：当消能器仅用于对结构薄弱层加强时，消能子结构范围可取对应加强层及其上、下各一层，且向下范围可不超过嵌固层顶</w:t>
      </w:r>
      <w:r>
        <w:rPr>
          <w:rFonts w:ascii="华文楷体" w:hAnsi="华文楷体" w:eastAsia="华文楷体" w:cs="华文楷体"/>
          <w:color w:val="0000FF"/>
          <w:szCs w:val="22"/>
        </w:rPr>
        <w:t>(1-1a)</w:t>
      </w:r>
      <w:r>
        <w:rPr>
          <w:rFonts w:hint="eastAsia" w:ascii="华文楷体" w:hAnsi="华文楷体" w:eastAsia="华文楷体" w:cs="华文楷体"/>
          <w:color w:val="0000FF"/>
          <w:szCs w:val="22"/>
        </w:rPr>
        <w:t>；其他情况消能子结构范围应从消能器所在楼层其上一层、向下一直延伸到嵌固层顶</w:t>
      </w:r>
      <w:r>
        <w:rPr>
          <w:rFonts w:ascii="华文楷体" w:hAnsi="华文楷体" w:eastAsia="华文楷体" w:cs="华文楷体"/>
          <w:color w:val="0000FF"/>
          <w:szCs w:val="22"/>
        </w:rPr>
        <w:t>(1-1a)</w:t>
      </w:r>
      <w:r>
        <w:rPr>
          <w:rFonts w:hint="eastAsia" w:ascii="华文楷体" w:hAnsi="华文楷体" w:eastAsia="华文楷体" w:cs="华文楷体"/>
          <w:color w:val="0000FF"/>
          <w:szCs w:val="22"/>
        </w:rPr>
        <w:t>。对于安装了速度型消能器的消能子结构范围宜向下延伸一层</w:t>
      </w:r>
      <w:r>
        <w:rPr>
          <w:rFonts w:ascii="华文楷体" w:hAnsi="华文楷体" w:eastAsia="华文楷体" w:cs="华文楷体"/>
          <w:color w:val="0000FF"/>
          <w:szCs w:val="22"/>
        </w:rPr>
        <w:t>(1-1b)</w:t>
      </w:r>
      <w:r>
        <w:rPr>
          <w:rFonts w:hint="eastAsia" w:ascii="华文楷体" w:hAnsi="华文楷体" w:eastAsia="华文楷体" w:cs="华文楷体"/>
          <w:color w:val="0000FF"/>
          <w:szCs w:val="22"/>
        </w:rPr>
        <w:t>。一般情况下图</w:t>
      </w:r>
      <w:r>
        <w:rPr>
          <w:rFonts w:ascii="华文楷体" w:hAnsi="华文楷体" w:eastAsia="华文楷体" w:cs="华文楷体"/>
          <w:color w:val="0000FF"/>
          <w:szCs w:val="22"/>
        </w:rPr>
        <w:t>(1-1)</w:t>
      </w:r>
      <w:r>
        <w:rPr>
          <w:rFonts w:hint="eastAsia" w:ascii="华文楷体" w:hAnsi="华文楷体" w:eastAsia="华文楷体" w:cs="华文楷体"/>
          <w:color w:val="0000FF"/>
          <w:szCs w:val="22"/>
        </w:rPr>
        <w:t>中虚框外与虚线相交梁杆件不作为消能子结构构件。与相应的非消能减震结构相比，消能减震结构可减少地震反应</w:t>
      </w:r>
      <w:r>
        <w:rPr>
          <w:rFonts w:ascii="华文楷体" w:hAnsi="华文楷体" w:eastAsia="华文楷体" w:cs="华文楷体"/>
          <w:color w:val="0000FF"/>
          <w:szCs w:val="22"/>
        </w:rPr>
        <w:t>20%~40%</w:t>
      </w:r>
      <w:r>
        <w:rPr>
          <w:rFonts w:hint="eastAsia" w:ascii="华文楷体" w:hAnsi="华文楷体" w:eastAsia="华文楷体" w:cs="华文楷体"/>
          <w:color w:val="0000FF"/>
          <w:szCs w:val="22"/>
        </w:rPr>
        <w:t>左右，从而增加结构抗震能力，保护主体结构的安全。</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隔震结构是指在基础或结构层间设置隔震层，该层截断下部竖向构件与上部竖向构件的连接，增设隔震支座支承上部结构重量，降低抵抗水平变形的刚度，从而导致隔震结构水平振动周期延长，隔震周期远大于地震反应谱特征周期，位于反应谱长周期的下降段。这样就可以过滤掉地震作用主要的高频成分，通过隔震层阻尼再耗散部分地震的长周期能量，减小隔震层位移。</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隔震建筑一般能保证遭遇基本烈度地震后，室内设施完好，建筑使用功能不受影响；遭遇罕遇地震后，建筑使用功能基本不丧失或可快速恢复。</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隔震层的增设、消能器的使用可能会减少结构造价，也可能增加结构造价。确定减、隔震设计方案时，宜综合考虑建筑抗震设防分类、场地条件等因素，对不同减、隔震设计方案及传统抗震设计方案进行技术、经济的综合比较分析，确定最优减、隔震方案，体现减、隔震结构设计在提高结构抗震性能和经济性上的优势。</w:t>
      </w:r>
    </w:p>
    <w:tbl>
      <w:tblPr>
        <w:tblStyle w:val="23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40"/>
        <w:gridCol w:w="45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40" w:type="dxa"/>
          </w:tcPr>
          <w:p>
            <w:pPr>
              <w:adjustRightInd/>
              <w:spacing w:line="360" w:lineRule="auto"/>
              <w:jc w:val="center"/>
              <w:rPr>
                <w:rFonts w:asciiTheme="minorHAnsi" w:hAnsiTheme="minorHAnsi" w:eastAsiaTheme="minorEastAsia"/>
                <w:color w:val="FF0000"/>
                <w:szCs w:val="22"/>
              </w:rPr>
            </w:pPr>
            <w:r>
              <w:rPr>
                <w:rFonts w:asciiTheme="minorHAnsi" w:hAnsiTheme="minorHAnsi" w:eastAsiaTheme="minorEastAsia"/>
                <w:color w:val="FF0000"/>
                <w:szCs w:val="22"/>
              </w:rPr>
              <w:drawing>
                <wp:inline distT="0" distB="0" distL="0" distR="0">
                  <wp:extent cx="2136775" cy="2575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136775" cy="2575560"/>
                          </a:xfrm>
                          <a:prstGeom prst="rect">
                            <a:avLst/>
                          </a:prstGeom>
                          <a:noFill/>
                          <a:ln>
                            <a:noFill/>
                          </a:ln>
                        </pic:spPr>
                      </pic:pic>
                    </a:graphicData>
                  </a:graphic>
                </wp:inline>
              </w:drawing>
            </w:r>
          </w:p>
        </w:tc>
        <w:tc>
          <w:tcPr>
            <w:tcW w:w="4540" w:type="dxa"/>
          </w:tcPr>
          <w:p>
            <w:pPr>
              <w:adjustRightInd/>
              <w:spacing w:line="360" w:lineRule="auto"/>
              <w:jc w:val="center"/>
              <w:rPr>
                <w:rFonts w:ascii="楷体" w:hAnsi="楷体" w:eastAsia="楷体"/>
                <w:color w:val="FF0000"/>
                <w:szCs w:val="22"/>
              </w:rPr>
            </w:pPr>
            <w:r>
              <w:rPr>
                <w:rFonts w:asciiTheme="minorHAnsi" w:hAnsiTheme="minorHAnsi" w:eastAsiaTheme="minorEastAsia"/>
                <w:color w:val="FF0000"/>
                <w:szCs w:val="22"/>
              </w:rPr>
              <w:drawing>
                <wp:anchor distT="0" distB="0" distL="114300" distR="114300" simplePos="0" relativeHeight="251664384" behindDoc="0" locked="0" layoutInCell="1" allowOverlap="1">
                  <wp:simplePos x="0" y="0"/>
                  <wp:positionH relativeFrom="column">
                    <wp:posOffset>309245</wp:posOffset>
                  </wp:positionH>
                  <wp:positionV relativeFrom="paragraph">
                    <wp:posOffset>13335</wp:posOffset>
                  </wp:positionV>
                  <wp:extent cx="2145030" cy="2534920"/>
                  <wp:effectExtent l="0" t="0" r="762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a:extLst>
                              <a:ext uri="{28A0092B-C50C-407E-A947-70E740481C1C}">
                                <a14:useLocalDpi xmlns:a14="http://schemas.microsoft.com/office/drawing/2010/main" val="0"/>
                              </a:ext>
                            </a:extLst>
                          </a:blip>
                          <a:srcRect l="53317"/>
                          <a:stretch>
                            <a:fillRect/>
                          </a:stretch>
                        </pic:blipFill>
                        <pic:spPr>
                          <a:xfrm>
                            <a:off x="0" y="0"/>
                            <a:ext cx="2145030" cy="25349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40" w:type="dxa"/>
          </w:tcPr>
          <w:p>
            <w:pPr>
              <w:adjustRightInd/>
              <w:spacing w:line="240" w:lineRule="auto"/>
              <w:ind w:firstLine="420" w:firstLineChars="200"/>
              <w:rPr>
                <w:rFonts w:ascii="华文楷体" w:hAnsi="华文楷体" w:eastAsia="华文楷体" w:cs="华文楷体"/>
                <w:color w:val="FF0000"/>
                <w:szCs w:val="22"/>
              </w:rPr>
            </w:pPr>
            <w:r>
              <w:rPr>
                <w:rFonts w:hint="eastAsia" w:ascii="华文楷体" w:hAnsi="华文楷体" w:eastAsia="华文楷体" w:cs="华文楷体"/>
                <w:color w:val="FF0000"/>
                <w:szCs w:val="22"/>
              </w:rPr>
              <w:t>图</w:t>
            </w:r>
            <w:r>
              <w:rPr>
                <w:rFonts w:ascii="华文楷体" w:hAnsi="华文楷体" w:eastAsia="华文楷体" w:cs="华文楷体"/>
                <w:color w:val="FF0000"/>
                <w:szCs w:val="22"/>
              </w:rPr>
              <w:t xml:space="preserve">1-1a </w:t>
            </w:r>
            <w:r>
              <w:rPr>
                <w:rFonts w:hint="eastAsia" w:ascii="华文楷体" w:hAnsi="华文楷体" w:eastAsia="华文楷体" w:cs="华文楷体"/>
                <w:color w:val="FF0000"/>
                <w:szCs w:val="22"/>
              </w:rPr>
              <w:t>位移型消能子结构范围划定示意图</w:t>
            </w:r>
          </w:p>
        </w:tc>
        <w:tc>
          <w:tcPr>
            <w:tcW w:w="4540" w:type="dxa"/>
          </w:tcPr>
          <w:p>
            <w:pPr>
              <w:adjustRightInd/>
              <w:spacing w:line="240" w:lineRule="auto"/>
              <w:ind w:firstLine="420" w:firstLineChars="200"/>
              <w:rPr>
                <w:rFonts w:ascii="华文楷体" w:hAnsi="华文楷体" w:eastAsia="华文楷体" w:cs="华文楷体"/>
                <w:color w:val="FF0000"/>
                <w:szCs w:val="22"/>
              </w:rPr>
            </w:pPr>
            <w:r>
              <w:rPr>
                <w:rFonts w:hint="eastAsia" w:ascii="华文楷体" w:hAnsi="华文楷体" w:eastAsia="华文楷体" w:cs="华文楷体"/>
                <w:color w:val="FF0000"/>
                <w:szCs w:val="22"/>
              </w:rPr>
              <w:t>图</w:t>
            </w:r>
            <w:r>
              <w:rPr>
                <w:rFonts w:ascii="华文楷体" w:hAnsi="华文楷体" w:eastAsia="华文楷体" w:cs="华文楷体"/>
                <w:color w:val="FF0000"/>
                <w:szCs w:val="22"/>
              </w:rPr>
              <w:t xml:space="preserve">1-1b </w:t>
            </w:r>
            <w:r>
              <w:rPr>
                <w:rFonts w:hint="eastAsia" w:ascii="华文楷体" w:hAnsi="华文楷体" w:eastAsia="华文楷体" w:cs="华文楷体"/>
                <w:color w:val="FF0000"/>
                <w:szCs w:val="22"/>
              </w:rPr>
              <w:t>速度型消能子结构范围划定示意图</w:t>
            </w:r>
          </w:p>
        </w:tc>
      </w:tr>
    </w:tbl>
    <w:p>
      <w:pPr>
        <w:pStyle w:val="176"/>
        <w:numPr>
          <w:ilvl w:val="0"/>
          <w:numId w:val="0"/>
        </w:numPr>
      </w:pPr>
    </w:p>
    <w:p>
      <w:pPr>
        <w:pStyle w:val="58"/>
        <w:ind w:firstLine="0" w:firstLineChars="0"/>
      </w:pPr>
      <w:r>
        <w:rPr>
          <w:rFonts w:ascii="黑体" w:hAnsi="黑体" w:eastAsia="黑体"/>
        </w:rPr>
        <w:t xml:space="preserve">1.0.2  </w:t>
      </w:r>
      <w:r>
        <w:rPr>
          <w:rFonts w:hint="eastAsia"/>
        </w:rPr>
        <w:t>本标准适用于西藏自治区新建建筑工程和既有建筑抗震加固工程采用消能减震、隔震技术的结构设计、施工、验收和维护。</w:t>
      </w:r>
    </w:p>
    <w:p>
      <w:pPr>
        <w:adjustRightInd/>
        <w:spacing w:line="240" w:lineRule="auto"/>
        <w:rPr>
          <w:rFonts w:ascii="华文楷体" w:hAnsi="华文楷体" w:eastAsia="华文楷体" w:cs="华文楷体"/>
          <w:color w:val="0000FF"/>
          <w:szCs w:val="22"/>
        </w:rPr>
      </w:pPr>
      <w:bookmarkStart w:id="34" w:name="_Hlk89713416"/>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1.0.2</w:t>
      </w:r>
      <w:r>
        <w:rPr>
          <w:rFonts w:hint="eastAsia" w:ascii="华文楷体" w:hAnsi="华文楷体" w:eastAsia="华文楷体" w:cs="华文楷体"/>
          <w:color w:val="0000FF"/>
          <w:szCs w:val="22"/>
        </w:rPr>
        <w:t>本规程的适用范围与现行国家标准《建筑抗震设计规范》</w:t>
      </w:r>
      <w:r>
        <w:rPr>
          <w:rFonts w:ascii="华文楷体" w:hAnsi="华文楷体" w:eastAsia="华文楷体" w:cs="华文楷体"/>
          <w:color w:val="0000FF"/>
          <w:szCs w:val="22"/>
        </w:rPr>
        <w:t>GB 50011</w:t>
      </w:r>
      <w:r>
        <w:rPr>
          <w:rFonts w:hint="eastAsia" w:ascii="华文楷体" w:hAnsi="华文楷体" w:eastAsia="华文楷体" w:cs="华文楷体"/>
          <w:color w:val="0000FF"/>
          <w:szCs w:val="22"/>
        </w:rPr>
        <w:t>、现行行业标准《建筑消能减震技术规程》</w:t>
      </w:r>
      <w:r>
        <w:rPr>
          <w:rFonts w:ascii="华文楷体" w:hAnsi="华文楷体" w:eastAsia="华文楷体" w:cs="华文楷体"/>
          <w:color w:val="0000FF"/>
          <w:szCs w:val="22"/>
        </w:rPr>
        <w:t>JGJ 297</w:t>
      </w:r>
      <w:r>
        <w:rPr>
          <w:rFonts w:hint="eastAsia" w:ascii="华文楷体" w:hAnsi="华文楷体" w:eastAsia="华文楷体" w:cs="华文楷体"/>
          <w:color w:val="0000FF"/>
          <w:szCs w:val="22"/>
        </w:rPr>
        <w:t>及现行国家标准《建筑抗震设计规范》</w:t>
      </w:r>
      <w:r>
        <w:rPr>
          <w:rFonts w:ascii="华文楷体" w:hAnsi="华文楷体" w:eastAsia="华文楷体" w:cs="华文楷体"/>
          <w:color w:val="0000FF"/>
          <w:szCs w:val="22"/>
        </w:rPr>
        <w:t>GB 50023</w:t>
      </w:r>
      <w:r>
        <w:rPr>
          <w:rFonts w:hint="eastAsia" w:ascii="华文楷体" w:hAnsi="华文楷体" w:eastAsia="华文楷体" w:cs="华文楷体"/>
          <w:color w:val="0000FF"/>
          <w:szCs w:val="22"/>
        </w:rPr>
        <w:t>基本一致，采用消能减震、隔震技术可起到主动耗散地震输入能量，有效保证建筑物具有良好的抗震性能。</w:t>
      </w:r>
    </w:p>
    <w:bookmarkEnd w:id="34"/>
    <w:p>
      <w:pPr>
        <w:pStyle w:val="58"/>
        <w:ind w:firstLine="0" w:firstLineChars="0"/>
      </w:pPr>
      <w:r>
        <w:rPr>
          <w:rFonts w:ascii="黑体" w:hAnsi="黑体" w:eastAsia="黑体"/>
        </w:rPr>
        <w:t xml:space="preserve">1.0.3  </w:t>
      </w:r>
      <w:r>
        <w:rPr>
          <w:rFonts w:hint="eastAsia"/>
        </w:rPr>
        <w:t>采用本标准设计的消能减震建筑、隔震建筑，其基本抗震设防目标是：</w:t>
      </w:r>
    </w:p>
    <w:p>
      <w:pPr>
        <w:pStyle w:val="58"/>
        <w:ind w:firstLine="420"/>
      </w:pPr>
      <w:r>
        <w:rPr>
          <w:rFonts w:hint="eastAsia"/>
        </w:rPr>
        <w:t>当遭受多遇地震时，主体结构不受损坏或不需要修理可继续使用；当遭受设防地震时，主体结构可能发生损坏，但经一般修理仍可继续使用；当遭受罕遇地震时，主体结构不致倒塌或发生危及生命的严重破坏。</w:t>
      </w:r>
    </w:p>
    <w:p>
      <w:pPr>
        <w:pStyle w:val="58"/>
        <w:ind w:firstLine="420"/>
      </w:pPr>
      <w:r>
        <w:rPr>
          <w:rFonts w:hint="eastAsia"/>
        </w:rPr>
        <w:t>同时，当遭受</w:t>
      </w:r>
      <w:bookmarkStart w:id="35" w:name="_Hlk89352193"/>
      <w:r>
        <w:rPr>
          <w:rFonts w:hint="eastAsia"/>
        </w:rPr>
        <w:t>相当于</w:t>
      </w:r>
      <w:bookmarkEnd w:id="35"/>
      <w:r>
        <w:rPr>
          <w:rFonts w:hint="eastAsia"/>
        </w:rPr>
        <w:t>本地区</w:t>
      </w:r>
      <w:bookmarkStart w:id="36" w:name="_Hlk89352225"/>
      <w:r>
        <w:rPr>
          <w:rFonts w:hint="eastAsia"/>
        </w:rPr>
        <w:t>与其后续使用年限相应</w:t>
      </w:r>
      <w:bookmarkEnd w:id="36"/>
      <w:r>
        <w:rPr>
          <w:rFonts w:hint="eastAsia"/>
        </w:rPr>
        <w:t>的抗震设防烈度的罕遇地震时，消能部件及连接无损坏发生，消能器应能正常发挥消能作用，隔震装置及连接应发挥隔震作用，不发生危及上部建筑的安全破坏。</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1.0.3</w:t>
      </w:r>
      <w:r>
        <w:rPr>
          <w:rFonts w:hint="eastAsia" w:ascii="华文楷体" w:hAnsi="华文楷体" w:eastAsia="华文楷体" w:cs="华文楷体"/>
          <w:color w:val="0000FF"/>
          <w:szCs w:val="22"/>
        </w:rPr>
        <w:t>与传统抗震结构相比，消能减震结构能有效减小结构的地震反</w:t>
      </w:r>
      <w:r>
        <w:rPr>
          <w:rFonts w:hint="eastAsia" w:ascii="华文楷体" w:hAnsi="华文楷体" w:eastAsia="华文楷体" w:cs="华文楷体"/>
          <w:color w:val="FF0000"/>
          <w:szCs w:val="22"/>
        </w:rPr>
        <w:t>应2</w:t>
      </w:r>
      <w:r>
        <w:rPr>
          <w:rFonts w:ascii="华文楷体" w:hAnsi="华文楷体" w:eastAsia="华文楷体" w:cs="华文楷体"/>
          <w:color w:val="FF0000"/>
          <w:szCs w:val="22"/>
        </w:rPr>
        <w:t>0%~40%</w:t>
      </w:r>
      <w:r>
        <w:rPr>
          <w:rFonts w:hint="eastAsia" w:ascii="华文楷体" w:hAnsi="华文楷体" w:eastAsia="华文楷体" w:cs="华文楷体"/>
          <w:color w:val="FF0000"/>
          <w:szCs w:val="22"/>
        </w:rPr>
        <w:t>左右</w:t>
      </w:r>
      <w:r>
        <w:rPr>
          <w:rFonts w:hint="eastAsia" w:ascii="华文楷体" w:hAnsi="华文楷体" w:eastAsia="华文楷体" w:cs="华文楷体"/>
          <w:color w:val="0000FF"/>
          <w:szCs w:val="22"/>
        </w:rPr>
        <w:t>，在相同的结构可靠度下，采用消能减震技术能减小结构构件的截面尺寸和配筋率，达到节省材料，降低造价的目的；在同一结构中，采用消能减震技术可大大提高结构安全性、增加结构安全储备，因此，可合理利用消能减震技术实现降低建筑结构造价的目的；另一方面，结构中安装消能器后，不改变结构的竖向受力体系，因此，按本标准设计与施工的消能减震结构的设防目标，与现行国家标准《建筑抗震设计规范》</w:t>
      </w:r>
      <w:r>
        <w:rPr>
          <w:rFonts w:ascii="华文楷体" w:hAnsi="华文楷体" w:eastAsia="华文楷体" w:cs="华文楷体"/>
          <w:color w:val="0000FF"/>
          <w:szCs w:val="22"/>
        </w:rPr>
        <w:t>GB50011</w:t>
      </w:r>
      <w:r>
        <w:rPr>
          <w:rFonts w:hint="eastAsia" w:ascii="华文楷体" w:hAnsi="华文楷体" w:eastAsia="华文楷体" w:cs="华文楷体"/>
          <w:color w:val="0000FF"/>
          <w:szCs w:val="22"/>
        </w:rPr>
        <w:t>基本的抗震设防目标一致。</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隔震建筑具有良好的抗震性能，遭遇罕遇地震时，隔震建筑往往可以成为避难和救灾中心。当采用减震系数衡量减震效果，隔震层上部采用降度法验算构件抗震强度时，隔震层上部结构的层间变形要求宜根据性能要求确定，所以其抗震性能目标可选择较高些的性能指标。</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为了确保消能减震、隔震建筑在罕遇地震作用下不发生倒塌，消能减震、隔震建筑结构需要保证在主体结构达到极限承载力前，消能部件、隔震装置等元件不能损坏。</w:t>
      </w:r>
    </w:p>
    <w:p>
      <w:pPr>
        <w:pStyle w:val="58"/>
        <w:ind w:firstLine="0" w:firstLineChars="0"/>
      </w:pPr>
    </w:p>
    <w:p>
      <w:pPr>
        <w:pStyle w:val="58"/>
        <w:ind w:firstLine="0" w:firstLineChars="0"/>
        <w:rPr>
          <w:rFonts w:ascii="Times New Roman"/>
        </w:rPr>
      </w:pPr>
      <w:r>
        <w:rPr>
          <w:rFonts w:ascii="黑体" w:hAnsi="黑体" w:eastAsia="黑体"/>
        </w:rPr>
        <w:t xml:space="preserve">1.0.4  </w:t>
      </w:r>
      <w:r>
        <w:rPr>
          <w:rFonts w:hint="eastAsia" w:ascii="Times New Roman"/>
        </w:rPr>
        <w:t>当建筑有更高的抗震设防要求时，宜采用性能化设计方法。</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1.0.4</w:t>
      </w:r>
      <w:r>
        <w:rPr>
          <w:rFonts w:hint="eastAsia" w:ascii="华文楷体" w:hAnsi="华文楷体" w:eastAsia="华文楷体" w:cs="华文楷体"/>
          <w:color w:val="0000FF"/>
          <w:szCs w:val="22"/>
        </w:rPr>
        <w:t>消能减震建筑、隔震建筑主要由主体结构和消能部件或隔震装置组成，通过调整消能部件附加给结构的阻尼或隔震装置的刚度等力学性能参数来实现消耗或降低地震输入的能量，从而可方便的控制主体结构在不同设防目标下的反应（如主体结构保持弹性或部分构件进入弹塑性等），使结构更容易实现比现有的规范更高的设防目标。因此，对重要的或有更高要求的消能减震建筑、隔震建筑宜优先采用抗震性能化设计方法进行结构设计或结构加固设计。</w:t>
      </w:r>
    </w:p>
    <w:p>
      <w:pPr>
        <w:pStyle w:val="58"/>
        <w:ind w:firstLine="0" w:firstLineChars="0"/>
      </w:pPr>
      <w:r>
        <w:rPr>
          <w:rFonts w:hint="eastAsia" w:ascii="黑体" w:hAnsi="黑体" w:eastAsia="黑体"/>
        </w:rPr>
        <w:t>1.0.5</w:t>
      </w:r>
      <w:r>
        <w:t xml:space="preserve">  </w:t>
      </w:r>
      <w:r>
        <w:rPr>
          <w:rFonts w:hint="eastAsia"/>
        </w:rPr>
        <w:t>消能减震建筑、隔震建筑结构设计、施工、验收和维护除应符合本标准要求外，尚应符合国家、行业及西藏自治区现行有关标准的规定。</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1.0.5</w:t>
      </w:r>
      <w:r>
        <w:rPr>
          <w:rFonts w:hint="eastAsia" w:ascii="华文楷体" w:hAnsi="华文楷体" w:eastAsia="华文楷体" w:cs="华文楷体"/>
          <w:color w:val="0000FF"/>
          <w:szCs w:val="22"/>
        </w:rPr>
        <w:t>消能减震、隔震建筑的本体结构设计、施工、验收和维护应严格满足现行国家有关规范、规程的相关要求。</w:t>
      </w:r>
    </w:p>
    <w:p>
      <w:pPr>
        <w:pStyle w:val="58"/>
        <w:ind w:firstLine="0" w:firstLineChars="0"/>
      </w:pPr>
    </w:p>
    <w:p>
      <w:pPr>
        <w:widowControl/>
        <w:adjustRightInd/>
        <w:spacing w:line="240" w:lineRule="auto"/>
        <w:jc w:val="left"/>
        <w:rPr>
          <w:rFonts w:ascii="宋体" w:hAnsi="Times New Roman"/>
          <w:kern w:val="0"/>
          <w:szCs w:val="20"/>
        </w:rPr>
      </w:pPr>
      <w:r>
        <w:br w:type="page"/>
      </w:r>
    </w:p>
    <w:p>
      <w:pPr>
        <w:pStyle w:val="106"/>
        <w:spacing w:before="312" w:after="312"/>
        <w:jc w:val="center"/>
      </w:pPr>
      <w:bookmarkStart w:id="37" w:name="_Toc92414092"/>
      <w:r>
        <w:rPr>
          <w:rFonts w:hint="eastAsia"/>
        </w:rPr>
        <w:t>术语和符号</w:t>
      </w:r>
      <w:bookmarkEnd w:id="37"/>
    </w:p>
    <w:p>
      <w:pPr>
        <w:pStyle w:val="107"/>
        <w:spacing w:before="156" w:after="156"/>
        <w:jc w:val="center"/>
      </w:pPr>
      <w:r>
        <w:rPr>
          <w:rFonts w:hint="eastAsia"/>
        </w:rPr>
        <w:t>术语</w:t>
      </w:r>
    </w:p>
    <w:p>
      <w:pPr>
        <w:pStyle w:val="167"/>
      </w:pPr>
      <w:r>
        <w:rPr>
          <w:rFonts w:hint="eastAsia"/>
        </w:rPr>
        <w:t>消能器 energy dissipation device</w:t>
      </w:r>
    </w:p>
    <w:p>
      <w:pPr>
        <w:pStyle w:val="58"/>
        <w:ind w:firstLine="420"/>
      </w:pPr>
      <w:r>
        <w:rPr>
          <w:rFonts w:hint="eastAsia"/>
        </w:rPr>
        <w:t>也称阻尼器，通过内部材料或构件的摩擦、弹塑性滞回变形或黏（弹）性滞回变形等方式来耗散或吸收能量的装置。包括位移相关型消能器、速度相关型消能器和复合型消能器。</w:t>
      </w:r>
    </w:p>
    <w:p>
      <w:pPr>
        <w:pStyle w:val="167"/>
      </w:pPr>
      <w:r>
        <w:rPr>
          <w:rFonts w:hint="eastAsia"/>
        </w:rPr>
        <w:t>消能减震结构 energy dissipation structure</w:t>
      </w:r>
    </w:p>
    <w:p>
      <w:pPr>
        <w:pStyle w:val="58"/>
        <w:ind w:firstLine="420"/>
      </w:pPr>
      <w:r>
        <w:rPr>
          <w:rFonts w:hint="eastAsia"/>
        </w:rPr>
        <w:t>设置消能器的结构。消能减震结构包括主体结构、消能部件。</w:t>
      </w:r>
    </w:p>
    <w:p>
      <w:pPr>
        <w:pStyle w:val="167"/>
      </w:pPr>
      <w:r>
        <w:rPr>
          <w:rFonts w:hint="eastAsia"/>
        </w:rPr>
        <w:t>位移相关型消能器 displacement dependence damper</w:t>
      </w:r>
    </w:p>
    <w:p>
      <w:pPr>
        <w:pStyle w:val="58"/>
        <w:ind w:firstLine="420"/>
      </w:pPr>
      <w:r>
        <w:rPr>
          <w:rFonts w:hint="eastAsia"/>
        </w:rPr>
        <w:t>耗能能力与消能器两端的相对位移相关的消能器，主要包括金属消能器、屈曲约束支撑和摩擦消能器。</w:t>
      </w:r>
    </w:p>
    <w:p>
      <w:pPr>
        <w:pStyle w:val="167"/>
      </w:pPr>
      <w:r>
        <w:rPr>
          <w:rFonts w:hint="eastAsia"/>
        </w:rPr>
        <w:t>速度相关型消能器 velocity dependence damper</w:t>
      </w:r>
    </w:p>
    <w:p>
      <w:pPr>
        <w:pStyle w:val="58"/>
        <w:ind w:firstLine="420"/>
      </w:pPr>
      <w:r>
        <w:rPr>
          <w:rFonts w:hint="eastAsia"/>
        </w:rPr>
        <w:t>耗能能力与消能器两端的相对速度有关的消能器，主要为黏滞阻尼器（墙）和黏弹性消能器。</w:t>
      </w:r>
    </w:p>
    <w:p>
      <w:pPr>
        <w:pStyle w:val="167"/>
      </w:pPr>
      <w:r>
        <w:rPr>
          <w:rFonts w:hint="eastAsia"/>
        </w:rPr>
        <w:t>金属消能器 metal yield energy dissipation device（metal yield damper）</w:t>
      </w:r>
    </w:p>
    <w:p>
      <w:pPr>
        <w:pStyle w:val="58"/>
        <w:ind w:firstLine="420"/>
      </w:pPr>
      <w:r>
        <w:rPr>
          <w:rFonts w:hint="eastAsia"/>
        </w:rPr>
        <w:t>由各种不同特性金属材料元件或构件制成，利用金属元件或构件抵抗地震作用中发生弹塑性滞回变形耗散能量的减震装置。</w:t>
      </w:r>
    </w:p>
    <w:p>
      <w:pPr>
        <w:pStyle w:val="167"/>
      </w:pPr>
      <w:r>
        <w:rPr>
          <w:rFonts w:hint="eastAsia"/>
        </w:rPr>
        <w:t>铅黏弹性消能器lead viscoelasticity energy dissipation device</w:t>
      </w:r>
    </w:p>
    <w:p>
      <w:pPr>
        <w:pStyle w:val="58"/>
        <w:ind w:firstLine="420"/>
      </w:pPr>
      <w:r>
        <w:rPr>
          <w:rFonts w:hint="eastAsia"/>
        </w:rPr>
        <w:t>耗能能力与消能器两端的相对位移和相对速度有关的消能器。</w:t>
      </w:r>
    </w:p>
    <w:p>
      <w:pPr>
        <w:pStyle w:val="167"/>
      </w:pPr>
      <w:r>
        <w:rPr>
          <w:rFonts w:hint="eastAsia"/>
        </w:rPr>
        <w:t>摩擦消能器friction energy dissipation device</w:t>
      </w:r>
    </w:p>
    <w:p>
      <w:pPr>
        <w:pStyle w:val="58"/>
        <w:ind w:firstLine="420"/>
      </w:pPr>
      <w:r>
        <w:rPr>
          <w:rFonts w:hint="eastAsia"/>
        </w:rPr>
        <w:t>由钢元件或构件、摩擦片和预压螺栓等组成，利用两个或两个以上元件或构件间相对位移时产生摩擦做功而耗散能量的减震装置。</w:t>
      </w:r>
    </w:p>
    <w:p>
      <w:pPr>
        <w:pStyle w:val="167"/>
      </w:pPr>
      <w:r>
        <w:rPr>
          <w:rFonts w:hint="eastAsia"/>
        </w:rPr>
        <w:t xml:space="preserve">屈曲约束支撑 buckling-restrained brace </w:t>
      </w:r>
    </w:p>
    <w:p>
      <w:pPr>
        <w:pStyle w:val="58"/>
        <w:ind w:firstLine="420"/>
      </w:pPr>
      <w:r>
        <w:rPr>
          <w:rFonts w:hint="eastAsia"/>
        </w:rPr>
        <w:t>由核心单元、外约束单元等组成，利用核心单元抵抗地震作用中发生拉、压弹塑性滞回变形耗散能量的减震装置，分为承载型屈曲约束支撑、耗能型屈曲约束支撑等。</w:t>
      </w:r>
    </w:p>
    <w:p>
      <w:pPr>
        <w:pStyle w:val="167"/>
      </w:pPr>
      <w:r>
        <w:rPr>
          <w:rFonts w:hint="eastAsia"/>
        </w:rPr>
        <w:t>黏滞消能器 viscous energy dissipation device（viscous damper）</w:t>
      </w:r>
    </w:p>
    <w:p>
      <w:pPr>
        <w:pStyle w:val="58"/>
        <w:ind w:firstLine="420"/>
      </w:pPr>
      <w:r>
        <w:rPr>
          <w:rFonts w:hint="eastAsia"/>
        </w:rPr>
        <w:t>由缸体、活塞杆、活塞、黏滞材料等部分组成，利用活塞在黏滞介质中运动，产生与活塞运动速度相关的阻尼力，耗散地震输入结构中能量的减震装置。</w:t>
      </w:r>
    </w:p>
    <w:p>
      <w:pPr>
        <w:pStyle w:val="167"/>
      </w:pPr>
      <w:r>
        <w:rPr>
          <w:rFonts w:hint="eastAsia"/>
        </w:rPr>
        <w:t>黏弹性消能器viscoelastic energy dissipation device（viscoelastic damper）</w:t>
      </w:r>
    </w:p>
    <w:p>
      <w:pPr>
        <w:pStyle w:val="58"/>
        <w:ind w:firstLine="420"/>
      </w:pPr>
      <w:r>
        <w:rPr>
          <w:rFonts w:hint="eastAsia"/>
        </w:rPr>
        <w:t>由粘弹性材料和约束钢板或圆（方形或矩形）钢筒等组成，利用粘弹性材料间产生的剪切或拉压滞回变形来耗散能量的减震装置</w:t>
      </w:r>
    </w:p>
    <w:p>
      <w:pPr>
        <w:pStyle w:val="167"/>
      </w:pPr>
      <w:r>
        <w:rPr>
          <w:rFonts w:hint="eastAsia"/>
        </w:rPr>
        <w:t>消能部件 energy dissipation part</w:t>
      </w:r>
    </w:p>
    <w:p>
      <w:pPr>
        <w:pStyle w:val="58"/>
        <w:ind w:firstLine="0" w:firstLineChars="0"/>
      </w:pPr>
      <w:r>
        <w:rPr>
          <w:rFonts w:hint="eastAsia"/>
        </w:rPr>
        <w:t>由消能器和支撑或连接消能器构件组成的部分。</w:t>
      </w:r>
    </w:p>
    <w:p>
      <w:pPr>
        <w:pStyle w:val="167"/>
      </w:pPr>
      <w:r>
        <w:rPr>
          <w:rFonts w:hint="eastAsia"/>
        </w:rPr>
        <w:t xml:space="preserve">附加阻尼比 additional damping ratio </w:t>
      </w:r>
    </w:p>
    <w:p>
      <w:pPr>
        <w:pStyle w:val="58"/>
        <w:ind w:firstLine="420"/>
      </w:pPr>
      <w:r>
        <w:rPr>
          <w:rFonts w:hint="eastAsia"/>
        </w:rPr>
        <w:t>消能减震结构往复运动时消能器附加给主体结构的有效阻尼比。</w:t>
      </w:r>
    </w:p>
    <w:p>
      <w:pPr>
        <w:pStyle w:val="167"/>
      </w:pPr>
      <w:r>
        <w:rPr>
          <w:rFonts w:hint="eastAsia"/>
        </w:rPr>
        <w:t>附加刚度 additional stiffness</w:t>
      </w:r>
    </w:p>
    <w:p>
      <w:pPr>
        <w:pStyle w:val="58"/>
        <w:ind w:firstLine="420"/>
      </w:pPr>
      <w:r>
        <w:rPr>
          <w:rFonts w:hint="eastAsia"/>
        </w:rPr>
        <w:t>消能减震结构往复运动时消能部件附加给结构的刚度。</w:t>
      </w:r>
    </w:p>
    <w:p>
      <w:pPr>
        <w:pStyle w:val="167"/>
      </w:pPr>
      <w:r>
        <w:rPr>
          <w:rFonts w:hint="eastAsia"/>
        </w:rPr>
        <w:t>设计位移 design displacement of energy dissipation device</w:t>
      </w:r>
    </w:p>
    <w:p>
      <w:pPr>
        <w:pStyle w:val="58"/>
        <w:ind w:firstLine="420"/>
      </w:pPr>
      <w:r>
        <w:rPr>
          <w:rFonts w:hint="eastAsia"/>
        </w:rPr>
        <w:t>消能减震结构在罕遇地震作用下消能器两端发生的最大相对变形值。</w:t>
      </w:r>
    </w:p>
    <w:p>
      <w:pPr>
        <w:pStyle w:val="167"/>
      </w:pPr>
      <w:r>
        <w:rPr>
          <w:rFonts w:hint="eastAsia"/>
        </w:rPr>
        <w:t>设计速度 design velocity of energy dissipation device</w:t>
      </w:r>
    </w:p>
    <w:p>
      <w:pPr>
        <w:pStyle w:val="58"/>
        <w:ind w:firstLine="420"/>
      </w:pPr>
      <w:r>
        <w:rPr>
          <w:rFonts w:hint="eastAsia"/>
        </w:rPr>
        <w:t>消能减震结构在罕遇地震作用下速度型消能器两端受到的最大相对速度值。</w:t>
      </w:r>
    </w:p>
    <w:p>
      <w:pPr>
        <w:pStyle w:val="167"/>
      </w:pPr>
      <w:r>
        <w:rPr>
          <w:rFonts w:hint="eastAsia"/>
        </w:rPr>
        <w:t>极限位移 ultimate displacement of energy dissipation device</w:t>
      </w:r>
    </w:p>
    <w:p>
      <w:pPr>
        <w:pStyle w:val="58"/>
        <w:ind w:firstLine="420"/>
      </w:pPr>
      <w:r>
        <w:rPr>
          <w:rFonts w:hint="eastAsia"/>
        </w:rPr>
        <w:t>消能减震结构在罕遇地震作用下消能器具有的大于设计位移的两端相对变形能力。</w:t>
      </w:r>
    </w:p>
    <w:p>
      <w:pPr>
        <w:pStyle w:val="167"/>
      </w:pPr>
      <w:r>
        <w:rPr>
          <w:rFonts w:hint="eastAsia"/>
        </w:rPr>
        <w:t>极限速度 ultimate velocity of energy dissipation device</w:t>
      </w:r>
    </w:p>
    <w:p>
      <w:pPr>
        <w:pStyle w:val="58"/>
        <w:ind w:firstLine="420"/>
      </w:pPr>
      <w:r>
        <w:rPr>
          <w:rFonts w:hint="eastAsia"/>
        </w:rPr>
        <w:t>消能减震结构在罕遇地震作用下速度型消能器可以承受的大于设计速度的两端相对速度值。</w:t>
      </w:r>
    </w:p>
    <w:p>
      <w:pPr>
        <w:pStyle w:val="226"/>
        <w:ind w:left="420" w:hanging="420" w:hangingChars="200"/>
        <w:rPr>
          <w:rFonts w:ascii="黑体" w:hAnsi="黑体" w:eastAsia="黑体"/>
        </w:rPr>
      </w:pPr>
      <w:r>
        <w:rPr>
          <w:rFonts w:hint="eastAsia" w:ascii="黑体" w:hAnsi="黑体" w:eastAsia="黑体"/>
        </w:rPr>
        <w:t>隔震建筑 isolated building</w:t>
      </w:r>
    </w:p>
    <w:p>
      <w:pPr>
        <w:pStyle w:val="58"/>
        <w:ind w:firstLine="420"/>
      </w:pPr>
      <w:r>
        <w:rPr>
          <w:rFonts w:hint="eastAsia"/>
        </w:rPr>
        <w:t>在建筑物中设置隔震装置而形成的结构体系。包括上部结构、隔震层、下部结构和基础。隔震房屋和隔震结构的定义与此相同。</w:t>
      </w:r>
    </w:p>
    <w:p>
      <w:pPr>
        <w:pStyle w:val="226"/>
        <w:rPr>
          <w:rFonts w:ascii="黑体" w:hAnsi="黑体" w:eastAsia="黑体"/>
        </w:rPr>
      </w:pPr>
      <w:r>
        <w:rPr>
          <w:rFonts w:hint="eastAsia" w:ascii="黑体" w:hAnsi="黑体" w:eastAsia="黑体"/>
        </w:rPr>
        <w:t>隔震层 isolation layer</w:t>
      </w:r>
    </w:p>
    <w:p>
      <w:pPr>
        <w:pStyle w:val="58"/>
        <w:ind w:firstLine="420"/>
        <w:rPr>
          <w:rFonts w:ascii="黑体" w:hAnsi="黑体" w:eastAsia="黑体"/>
        </w:rPr>
      </w:pPr>
      <w:r>
        <w:rPr>
          <w:rFonts w:hint="eastAsia"/>
        </w:rPr>
        <w:t>设置在被隔震的上部结构与下部结构或基础之间的全部隔震装置的总称。包括全部隔震支座、阻尼装置、抗风装置、限位装置、抗拉装置、附属装置及相关的支承或连接构件。</w:t>
      </w:r>
    </w:p>
    <w:p>
      <w:pPr>
        <w:pStyle w:val="226"/>
        <w:rPr>
          <w:rFonts w:ascii="黑体" w:hAnsi="黑体" w:eastAsia="黑体"/>
        </w:rPr>
      </w:pPr>
      <w:r>
        <w:rPr>
          <w:rFonts w:hint="eastAsia" w:ascii="黑体" w:hAnsi="黑体" w:eastAsia="黑体"/>
        </w:rPr>
        <w:t>上部结构super-structure above the isolation layer</w:t>
      </w:r>
    </w:p>
    <w:p>
      <w:pPr>
        <w:pStyle w:val="58"/>
        <w:ind w:firstLine="420"/>
      </w:pPr>
      <w:r>
        <w:rPr>
          <w:rFonts w:hint="eastAsia"/>
        </w:rPr>
        <w:t>隔震结构中位于隔震层以上的部分。</w:t>
      </w:r>
    </w:p>
    <w:p>
      <w:pPr>
        <w:pStyle w:val="226"/>
        <w:rPr>
          <w:rFonts w:ascii="黑体" w:hAnsi="黑体" w:eastAsia="黑体"/>
        </w:rPr>
      </w:pPr>
      <w:r>
        <w:rPr>
          <w:rFonts w:hint="eastAsia" w:ascii="黑体" w:hAnsi="黑体" w:eastAsia="黑体"/>
        </w:rPr>
        <w:t>下部结构sub-structure below the isolation layer</w:t>
      </w:r>
    </w:p>
    <w:p>
      <w:pPr>
        <w:pStyle w:val="58"/>
        <w:ind w:firstLine="420"/>
      </w:pPr>
      <w:r>
        <w:rPr>
          <w:rFonts w:hint="eastAsia"/>
        </w:rPr>
        <w:t>隔震结构中位于隔震层以下的部分，不包括基础。</w:t>
      </w:r>
    </w:p>
    <w:p>
      <w:pPr>
        <w:pStyle w:val="226"/>
        <w:rPr>
          <w:rFonts w:ascii="黑体" w:hAnsi="黑体" w:eastAsia="黑体"/>
        </w:rPr>
      </w:pPr>
      <w:r>
        <w:rPr>
          <w:rFonts w:hint="eastAsia" w:ascii="黑体" w:hAnsi="黑体" w:eastAsia="黑体"/>
        </w:rPr>
        <w:t>等效阻尼比 equivalent damping ratio</w:t>
      </w:r>
    </w:p>
    <w:p>
      <w:pPr>
        <w:pStyle w:val="58"/>
        <w:ind w:firstLine="420"/>
      </w:pPr>
      <w:r>
        <w:rPr>
          <w:rFonts w:hint="eastAsia"/>
        </w:rPr>
        <w:t>隔震结构往复运动时，相对于隔震层或隔震支座某特定水平位移，与隔震层（或隔震支座）所耗散的能量相对应的阻尼比。</w:t>
      </w:r>
    </w:p>
    <w:p>
      <w:pPr>
        <w:pStyle w:val="226"/>
        <w:rPr>
          <w:rFonts w:ascii="黑体" w:hAnsi="黑体" w:eastAsia="黑体"/>
        </w:rPr>
      </w:pPr>
      <w:r>
        <w:rPr>
          <w:rFonts w:hint="eastAsia" w:ascii="黑体" w:hAnsi="黑体" w:eastAsia="黑体"/>
        </w:rPr>
        <w:t>等效刚度 equivalent stiffness</w:t>
      </w:r>
    </w:p>
    <w:p>
      <w:pPr>
        <w:pStyle w:val="58"/>
        <w:ind w:firstLine="420"/>
      </w:pPr>
      <w:r>
        <w:rPr>
          <w:rFonts w:hint="eastAsia"/>
        </w:rPr>
        <w:t>隔震结构往复运动时，相对于隔震层或隔震支座）某特定水平位移，隔震层或隔震支座）所承受的荷载与相应位移的比值。其值可取荷载—位移曲线在对应位移点的割线刚度。</w:t>
      </w:r>
    </w:p>
    <w:p>
      <w:pPr>
        <w:pStyle w:val="226"/>
        <w:rPr>
          <w:rFonts w:ascii="黑体" w:hAnsi="黑体" w:eastAsia="黑体"/>
        </w:rPr>
      </w:pPr>
      <w:r>
        <w:rPr>
          <w:rFonts w:hint="eastAsia" w:ascii="黑体" w:hAnsi="黑体" w:eastAsia="黑体"/>
        </w:rPr>
        <w:t>阻尼装置damping device</w:t>
      </w:r>
    </w:p>
    <w:p>
      <w:pPr>
        <w:pStyle w:val="58"/>
        <w:ind w:firstLine="420"/>
      </w:pPr>
      <w:r>
        <w:rPr>
          <w:rFonts w:hint="eastAsia"/>
        </w:rPr>
        <w:t>设置在隔震层的吸收并耗散地震输入能量而使隔震层振动位移反应衰减的装置。</w:t>
      </w:r>
    </w:p>
    <w:p>
      <w:pPr>
        <w:pStyle w:val="226"/>
        <w:rPr>
          <w:rFonts w:ascii="黑体" w:hAnsi="黑体" w:eastAsia="黑体"/>
        </w:rPr>
      </w:pPr>
      <w:r>
        <w:rPr>
          <w:rFonts w:hint="eastAsia" w:ascii="黑体" w:hAnsi="黑体" w:eastAsia="黑体"/>
        </w:rPr>
        <w:t>橡胶隔震支座laminated rubber isolation bearing</w:t>
      </w:r>
    </w:p>
    <w:p>
      <w:pPr>
        <w:pStyle w:val="58"/>
        <w:ind w:firstLine="420"/>
      </w:pPr>
      <w:r>
        <w:rPr>
          <w:rFonts w:hint="eastAsia"/>
        </w:rPr>
        <w:t>在地震区，用于房屋、桥梁或其他结构隔震的橡胶支座，包括天然橡胶支座LNR、铅芯橡胶支座LRB、高阻尼橡胶支座HDR。</w:t>
      </w:r>
    </w:p>
    <w:p>
      <w:pPr>
        <w:pStyle w:val="226"/>
        <w:rPr>
          <w:rFonts w:ascii="黑体" w:hAnsi="黑体" w:eastAsia="黑体"/>
        </w:rPr>
      </w:pPr>
      <w:r>
        <w:rPr>
          <w:rFonts w:hint="eastAsia" w:ascii="黑体" w:hAnsi="黑体" w:eastAsia="黑体"/>
        </w:rPr>
        <w:t>弹性滑板隔震支座 elastic slide bearing</w:t>
      </w:r>
    </w:p>
    <w:p>
      <w:pPr>
        <w:pStyle w:val="58"/>
        <w:ind w:firstLine="420"/>
      </w:pPr>
      <w:r>
        <w:rPr>
          <w:rFonts w:hint="eastAsia"/>
        </w:rPr>
        <w:t>由弹性材料与摩擦滑板组成的隔震支座。</w:t>
      </w:r>
    </w:p>
    <w:p>
      <w:pPr>
        <w:pStyle w:val="226"/>
        <w:rPr>
          <w:rFonts w:ascii="黑体" w:hAnsi="黑体" w:eastAsia="黑体"/>
        </w:rPr>
      </w:pPr>
      <w:r>
        <w:rPr>
          <w:rFonts w:hint="eastAsia" w:ascii="黑体" w:hAnsi="黑体" w:eastAsia="黑体"/>
        </w:rPr>
        <w:t>摩擦摆隔震支座 friction pendulum system</w:t>
      </w:r>
    </w:p>
    <w:p>
      <w:pPr>
        <w:pStyle w:val="58"/>
        <w:ind w:firstLine="420"/>
      </w:pPr>
      <w:r>
        <w:rPr>
          <w:rFonts w:hint="eastAsia"/>
        </w:rPr>
        <w:t>具有特定形状的固体块在弧面板中摩擦摆动的隔震支座，通过滑动界面摩擦消耗地震能量。</w:t>
      </w:r>
    </w:p>
    <w:p>
      <w:pPr>
        <w:pStyle w:val="226"/>
        <w:rPr>
          <w:rFonts w:ascii="黑体" w:hAnsi="黑体" w:eastAsia="黑体"/>
        </w:rPr>
      </w:pPr>
      <w:r>
        <w:rPr>
          <w:rFonts w:hint="eastAsia" w:ascii="黑体" w:hAnsi="黑体" w:eastAsia="黑体"/>
        </w:rPr>
        <w:t>天然橡胶隔震支座linear natural rubber bearing</w:t>
      </w:r>
    </w:p>
    <w:p>
      <w:pPr>
        <w:pStyle w:val="58"/>
        <w:ind w:firstLine="420"/>
      </w:pPr>
      <w:r>
        <w:rPr>
          <w:rFonts w:hint="eastAsia"/>
        </w:rPr>
        <w:t>支座中的弹性材料为天然橡胶的橡胶隔震支座</w:t>
      </w:r>
    </w:p>
    <w:p>
      <w:pPr>
        <w:pStyle w:val="226"/>
        <w:rPr>
          <w:rFonts w:ascii="黑体" w:hAnsi="黑体" w:eastAsia="黑体"/>
        </w:rPr>
      </w:pPr>
      <w:r>
        <w:rPr>
          <w:rFonts w:hint="eastAsia" w:ascii="黑体" w:hAnsi="黑体" w:eastAsia="黑体"/>
        </w:rPr>
        <w:t>铅芯橡胶隔震支座 lead rubber bearing</w:t>
      </w:r>
    </w:p>
    <w:p>
      <w:pPr>
        <w:pStyle w:val="58"/>
        <w:ind w:firstLine="420"/>
      </w:pPr>
      <w:r>
        <w:rPr>
          <w:rFonts w:hint="eastAsia"/>
        </w:rPr>
        <w:t>支座中含有铅芯的橡胶隔震支座</w:t>
      </w:r>
    </w:p>
    <w:p>
      <w:pPr>
        <w:pStyle w:val="226"/>
        <w:rPr>
          <w:rFonts w:ascii="黑体" w:hAnsi="黑体" w:eastAsia="黑体"/>
        </w:rPr>
      </w:pPr>
      <w:r>
        <w:rPr>
          <w:rFonts w:hint="eastAsia" w:ascii="黑体" w:hAnsi="黑体" w:eastAsia="黑体"/>
        </w:rPr>
        <w:t>高阻尼橡胶隔震支座 high damping rubber bearing</w:t>
      </w:r>
    </w:p>
    <w:p>
      <w:pPr>
        <w:pStyle w:val="58"/>
        <w:ind w:firstLine="420"/>
      </w:pPr>
      <w:r>
        <w:rPr>
          <w:rFonts w:hint="eastAsia"/>
        </w:rPr>
        <w:t>支座中的弹性材料为高阻尼橡胶的橡胶隔震支座</w:t>
      </w:r>
    </w:p>
    <w:p>
      <w:pPr>
        <w:pStyle w:val="58"/>
        <w:ind w:firstLine="420"/>
      </w:pPr>
    </w:p>
    <w:p>
      <w:pPr>
        <w:pStyle w:val="58"/>
        <w:ind w:firstLine="420"/>
      </w:pPr>
    </w:p>
    <w:p>
      <w:pPr>
        <w:widowControl/>
        <w:adjustRightInd/>
        <w:spacing w:line="240" w:lineRule="auto"/>
        <w:jc w:val="left"/>
        <w:rPr>
          <w:rFonts w:ascii="黑体" w:hAnsi="Times New Roman" w:eastAsia="黑体"/>
          <w:kern w:val="0"/>
          <w:szCs w:val="20"/>
        </w:rPr>
      </w:pPr>
      <w:r>
        <w:br w:type="page"/>
      </w:r>
    </w:p>
    <w:p>
      <w:pPr>
        <w:pStyle w:val="107"/>
        <w:spacing w:before="156" w:after="156"/>
        <w:jc w:val="center"/>
      </w:pPr>
      <w:r>
        <w:rPr>
          <w:rFonts w:hint="eastAsia"/>
        </w:rPr>
        <w:t>符号</w:t>
      </w:r>
    </w:p>
    <w:tbl>
      <w:tblPr>
        <w:tblStyle w:val="27"/>
        <w:tblW w:w="8217" w:type="dxa"/>
        <w:tblInd w:w="0" w:type="dxa"/>
        <w:tblLayout w:type="fixed"/>
        <w:tblCellMar>
          <w:top w:w="0" w:type="dxa"/>
          <w:left w:w="108" w:type="dxa"/>
          <w:bottom w:w="0" w:type="dxa"/>
          <w:right w:w="108" w:type="dxa"/>
        </w:tblCellMar>
      </w:tblPr>
      <w:tblGrid>
        <w:gridCol w:w="1155"/>
        <w:gridCol w:w="7062"/>
      </w:tblGrid>
      <w:tr>
        <w:tblPrEx>
          <w:tblCellMar>
            <w:top w:w="0" w:type="dxa"/>
            <w:left w:w="108" w:type="dxa"/>
            <w:bottom w:w="0" w:type="dxa"/>
            <w:right w:w="108" w:type="dxa"/>
          </w:tblCellMar>
        </w:tblPrEx>
        <w:trPr>
          <w:trHeight w:val="397" w:hRule="atLeast"/>
        </w:trPr>
        <w:tc>
          <w:tcPr>
            <w:tcW w:w="1155" w:type="dxa"/>
            <w:vAlign w:val="center"/>
          </w:tcPr>
          <w:p>
            <w:pPr>
              <w:tabs>
                <w:tab w:val="left" w:pos="2055"/>
              </w:tabs>
              <w:snapToGrid w:val="0"/>
              <w:spacing w:line="480" w:lineRule="exact"/>
              <w:jc w:val="right"/>
              <w:rPr>
                <w:rFonts w:ascii="Times New Roman" w:hAnsi="Times New Roman"/>
              </w:rPr>
            </w:pPr>
            <w:r>
              <w:rPr>
                <w:rFonts w:ascii="Times New Roman" w:hAnsi="Times New Roman"/>
                <w:position w:val="-14"/>
              </w:rPr>
              <w:drawing>
                <wp:inline distT="0" distB="0" distL="0" distR="0">
                  <wp:extent cx="211455" cy="228600"/>
                  <wp:effectExtent l="0" t="0" r="0" b="0"/>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1455" cy="228600"/>
                          </a:xfrm>
                          <a:prstGeom prst="rect">
                            <a:avLst/>
                          </a:prstGeom>
                          <a:noFill/>
                          <a:ln>
                            <a:noFill/>
                          </a:ln>
                        </pic:spPr>
                      </pic:pic>
                    </a:graphicData>
                  </a:graphic>
                </wp:inline>
              </w:drawing>
            </w:r>
          </w:p>
        </w:tc>
        <w:tc>
          <w:tcPr>
            <w:tcW w:w="7062" w:type="dxa"/>
            <w:vAlign w:val="center"/>
          </w:tcPr>
          <w:p>
            <w:pPr>
              <w:tabs>
                <w:tab w:val="left" w:pos="2055"/>
              </w:tabs>
              <w:snapToGrid w:val="0"/>
              <w:spacing w:line="440" w:lineRule="exact"/>
              <w:rPr>
                <w:rFonts w:ascii="Times New Roman" w:hAnsi="Times New Roman"/>
              </w:rPr>
            </w:pPr>
            <w:r>
              <w:rPr>
                <w:rFonts w:ascii="Times New Roman" w:hAnsi="Times New Roman"/>
              </w:rPr>
              <w:t>—</w:t>
            </w:r>
            <w:r>
              <w:rPr>
                <w:rFonts w:hint="eastAsia" w:ascii="Times New Roman" w:hAnsi="Times New Roman"/>
                <w:bCs/>
              </w:rPr>
              <w:t>设置消能部件的主体结构层间屈服剪力；</w:t>
            </w:r>
          </w:p>
        </w:tc>
      </w:tr>
      <w:tr>
        <w:tblPrEx>
          <w:tblCellMar>
            <w:top w:w="0" w:type="dxa"/>
            <w:left w:w="108" w:type="dxa"/>
            <w:bottom w:w="0" w:type="dxa"/>
            <w:right w:w="108" w:type="dxa"/>
          </w:tblCellMar>
        </w:tblPrEx>
        <w:trPr>
          <w:trHeight w:val="397" w:hRule="atLeast"/>
        </w:trPr>
        <w:tc>
          <w:tcPr>
            <w:tcW w:w="1155" w:type="dxa"/>
            <w:vAlign w:val="center"/>
          </w:tcPr>
          <w:p>
            <w:pPr>
              <w:tabs>
                <w:tab w:val="left" w:pos="2055"/>
              </w:tabs>
              <w:snapToGrid w:val="0"/>
              <w:spacing w:line="480" w:lineRule="exact"/>
              <w:jc w:val="center"/>
              <w:rPr>
                <w:rFonts w:ascii="Times New Roman" w:hAnsi="Times New Roman"/>
              </w:rPr>
            </w:pPr>
            <w:r>
              <w:rPr>
                <w:rFonts w:ascii="Times New Roman" w:hAnsi="Times New Roman"/>
              </w:rPr>
              <w:t xml:space="preserve">      </w:t>
            </w:r>
            <w:r>
              <w:rPr>
                <w:rFonts w:ascii="Times New Roman" w:hAnsi="Times New Roman"/>
                <w:position w:val="-12"/>
              </w:rPr>
              <w:drawing>
                <wp:inline distT="0" distB="0" distL="0" distR="0">
                  <wp:extent cx="144145" cy="228600"/>
                  <wp:effectExtent l="0" t="0" r="8255" b="0"/>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4145" cy="228600"/>
                          </a:xfrm>
                          <a:prstGeom prst="rect">
                            <a:avLst/>
                          </a:prstGeom>
                          <a:noFill/>
                          <a:ln>
                            <a:noFill/>
                          </a:ln>
                        </pic:spPr>
                      </pic:pic>
                    </a:graphicData>
                  </a:graphic>
                </wp:inline>
              </w:drawing>
            </w:r>
          </w:p>
        </w:tc>
        <w:tc>
          <w:tcPr>
            <w:tcW w:w="7062" w:type="dxa"/>
            <w:vAlign w:val="center"/>
          </w:tcPr>
          <w:p>
            <w:pPr>
              <w:tabs>
                <w:tab w:val="left" w:pos="2055"/>
              </w:tabs>
              <w:snapToGrid w:val="0"/>
              <w:spacing w:line="440" w:lineRule="exact"/>
              <w:rPr>
                <w:rFonts w:ascii="Times New Roman" w:hAnsi="Times New Roman"/>
              </w:rPr>
            </w:pPr>
            <w:r>
              <w:rPr>
                <w:rFonts w:ascii="Times New Roman" w:hAnsi="Times New Roman"/>
              </w:rPr>
              <w:t>—</w:t>
            </w:r>
            <w:r>
              <w:rPr>
                <w:rFonts w:hint="eastAsia" w:ascii="Times New Roman" w:hAnsi="Times New Roman"/>
                <w:bCs/>
              </w:rPr>
              <w:t>消能减震结构的第</w:t>
            </w:r>
            <w:r>
              <w:rPr>
                <w:rFonts w:ascii="Times New Roman" w:hAnsi="Times New Roman"/>
                <w:bCs/>
                <w:i/>
              </w:rPr>
              <w:t>i</w:t>
            </w:r>
            <w:r>
              <w:rPr>
                <w:rFonts w:hint="eastAsia" w:ascii="Times New Roman" w:hAnsi="Times New Roman"/>
                <w:bCs/>
              </w:rPr>
              <w:t>阶振型周期；</w:t>
            </w:r>
          </w:p>
        </w:tc>
      </w:tr>
      <w:tr>
        <w:tblPrEx>
          <w:tblCellMar>
            <w:top w:w="0" w:type="dxa"/>
            <w:left w:w="108" w:type="dxa"/>
            <w:bottom w:w="0" w:type="dxa"/>
            <w:right w:w="108" w:type="dxa"/>
          </w:tblCellMar>
        </w:tblPrEx>
        <w:trPr>
          <w:trHeight w:val="397" w:hRule="atLeast"/>
        </w:trPr>
        <w:tc>
          <w:tcPr>
            <w:tcW w:w="1155" w:type="dxa"/>
            <w:vAlign w:val="center"/>
          </w:tcPr>
          <w:p>
            <w:pPr>
              <w:tabs>
                <w:tab w:val="left" w:pos="2055"/>
              </w:tabs>
              <w:snapToGrid w:val="0"/>
              <w:spacing w:line="480" w:lineRule="exact"/>
              <w:jc w:val="right"/>
              <w:rPr>
                <w:rFonts w:ascii="Times New Roman" w:hAnsi="Times New Roman"/>
              </w:rPr>
            </w:pPr>
            <w:r>
              <w:rPr>
                <w:rFonts w:ascii="Times New Roman" w:hAnsi="Times New Roman"/>
                <w:position w:val="-10"/>
              </w:rPr>
              <w:drawing>
                <wp:inline distT="0" distB="0" distL="0" distR="0">
                  <wp:extent cx="152400" cy="211455"/>
                  <wp:effectExtent l="0" t="0" r="0" b="0"/>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52400" cy="211455"/>
                          </a:xfrm>
                          <a:prstGeom prst="rect">
                            <a:avLst/>
                          </a:prstGeom>
                          <a:noFill/>
                          <a:ln>
                            <a:noFill/>
                          </a:ln>
                        </pic:spPr>
                      </pic:pic>
                    </a:graphicData>
                  </a:graphic>
                </wp:inline>
              </w:drawing>
            </w:r>
          </w:p>
        </w:tc>
        <w:tc>
          <w:tcPr>
            <w:tcW w:w="7062" w:type="dxa"/>
            <w:vAlign w:val="center"/>
          </w:tcPr>
          <w:p>
            <w:pPr>
              <w:tabs>
                <w:tab w:val="left" w:pos="2055"/>
              </w:tabs>
              <w:snapToGrid w:val="0"/>
              <w:spacing w:line="440" w:lineRule="exact"/>
              <w:rPr>
                <w:rFonts w:ascii="Times New Roman" w:hAnsi="Times New Roman"/>
              </w:rPr>
            </w:pPr>
            <w:r>
              <w:rPr>
                <w:rFonts w:ascii="Times New Roman" w:hAnsi="Times New Roman"/>
              </w:rPr>
              <w:t>—</w:t>
            </w:r>
            <w:r>
              <w:rPr>
                <w:rFonts w:hint="eastAsia" w:ascii="Times New Roman" w:hAnsi="Times New Roman"/>
                <w:bCs/>
              </w:rPr>
              <w:t>消能减震结构总阻尼比；</w:t>
            </w:r>
          </w:p>
        </w:tc>
      </w:tr>
      <w:tr>
        <w:tblPrEx>
          <w:tblCellMar>
            <w:top w:w="0" w:type="dxa"/>
            <w:left w:w="108" w:type="dxa"/>
            <w:bottom w:w="0" w:type="dxa"/>
            <w:right w:w="108" w:type="dxa"/>
          </w:tblCellMar>
        </w:tblPrEx>
        <w:trPr>
          <w:trHeight w:val="397" w:hRule="atLeast"/>
        </w:trPr>
        <w:tc>
          <w:tcPr>
            <w:tcW w:w="1155" w:type="dxa"/>
            <w:vAlign w:val="center"/>
          </w:tcPr>
          <w:p>
            <w:pPr>
              <w:tabs>
                <w:tab w:val="left" w:pos="2055"/>
              </w:tabs>
              <w:snapToGrid w:val="0"/>
              <w:spacing w:line="480" w:lineRule="exact"/>
              <w:jc w:val="right"/>
              <w:rPr>
                <w:rFonts w:ascii="Times New Roman" w:hAnsi="Times New Roman"/>
                <w:bCs/>
                <w:dstrike/>
                <w:position w:val="-6"/>
              </w:rPr>
            </w:pPr>
            <w:r>
              <w:rPr>
                <w:rFonts w:ascii="Times New Roman" w:hAnsi="Times New Roman"/>
                <w:position w:val="-10"/>
              </w:rPr>
              <w:drawing>
                <wp:inline distT="0" distB="0" distL="0" distR="0">
                  <wp:extent cx="169545" cy="211455"/>
                  <wp:effectExtent l="0" t="0" r="1905" b="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9545" cy="211455"/>
                          </a:xfrm>
                          <a:prstGeom prst="rect">
                            <a:avLst/>
                          </a:prstGeom>
                          <a:noFill/>
                          <a:ln>
                            <a:noFill/>
                          </a:ln>
                        </pic:spPr>
                      </pic:pic>
                    </a:graphicData>
                  </a:graphic>
                </wp:inline>
              </w:drawing>
            </w:r>
          </w:p>
        </w:tc>
        <w:tc>
          <w:tcPr>
            <w:tcW w:w="7062" w:type="dxa"/>
            <w:vAlign w:val="center"/>
          </w:tcPr>
          <w:p>
            <w:pPr>
              <w:tabs>
                <w:tab w:val="left" w:pos="2055"/>
              </w:tabs>
              <w:snapToGrid w:val="0"/>
              <w:spacing w:line="440" w:lineRule="exact"/>
              <w:rPr>
                <w:rFonts w:ascii="Times New Roman" w:hAnsi="Times New Roman"/>
              </w:rPr>
            </w:pPr>
            <w:r>
              <w:rPr>
                <w:rFonts w:ascii="Times New Roman" w:hAnsi="Times New Roman"/>
              </w:rPr>
              <w:t>—</w:t>
            </w:r>
            <w:r>
              <w:rPr>
                <w:rFonts w:hint="eastAsia" w:ascii="Times New Roman" w:hAnsi="Times New Roman"/>
                <w:bCs/>
              </w:rPr>
              <w:t>主体结构阻尼比；</w:t>
            </w:r>
          </w:p>
        </w:tc>
      </w:tr>
      <w:tr>
        <w:tblPrEx>
          <w:tblCellMar>
            <w:top w:w="0" w:type="dxa"/>
            <w:left w:w="108" w:type="dxa"/>
            <w:bottom w:w="0" w:type="dxa"/>
            <w:right w:w="108" w:type="dxa"/>
          </w:tblCellMar>
        </w:tblPrEx>
        <w:trPr>
          <w:trHeight w:val="397" w:hRule="atLeast"/>
        </w:trPr>
        <w:tc>
          <w:tcPr>
            <w:tcW w:w="1155" w:type="dxa"/>
            <w:vAlign w:val="center"/>
          </w:tcPr>
          <w:p>
            <w:pPr>
              <w:tabs>
                <w:tab w:val="left" w:pos="2055"/>
              </w:tabs>
              <w:snapToGrid w:val="0"/>
              <w:spacing w:line="480" w:lineRule="exact"/>
              <w:jc w:val="right"/>
              <w:rPr>
                <w:rFonts w:ascii="Times New Roman" w:hAnsi="Times New Roman"/>
              </w:rPr>
            </w:pPr>
            <w:r>
              <w:rPr>
                <w:rFonts w:ascii="Times New Roman" w:hAnsi="Times New Roman"/>
                <w:position w:val="-10"/>
              </w:rPr>
              <w:drawing>
                <wp:inline distT="0" distB="0" distL="0" distR="0">
                  <wp:extent cx="152400" cy="144145"/>
                  <wp:effectExtent l="0" t="0" r="0" b="8255"/>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52400" cy="144145"/>
                          </a:xfrm>
                          <a:prstGeom prst="rect">
                            <a:avLst/>
                          </a:prstGeom>
                          <a:noFill/>
                          <a:ln>
                            <a:noFill/>
                          </a:ln>
                        </pic:spPr>
                      </pic:pic>
                    </a:graphicData>
                  </a:graphic>
                </wp:inline>
              </w:drawing>
            </w:r>
          </w:p>
        </w:tc>
        <w:tc>
          <w:tcPr>
            <w:tcW w:w="7062" w:type="dxa"/>
            <w:vAlign w:val="center"/>
          </w:tcPr>
          <w:p>
            <w:pPr>
              <w:tabs>
                <w:tab w:val="left" w:pos="2055"/>
              </w:tabs>
              <w:snapToGrid w:val="0"/>
              <w:spacing w:line="440" w:lineRule="exact"/>
              <w:rPr>
                <w:rFonts w:ascii="Times New Roman" w:hAnsi="Times New Roman"/>
              </w:rPr>
            </w:pPr>
            <w:r>
              <w:rPr>
                <w:rFonts w:ascii="Times New Roman" w:hAnsi="Times New Roman"/>
              </w:rPr>
              <w:t>—</w:t>
            </w:r>
            <w:r>
              <w:rPr>
                <w:rFonts w:hint="eastAsia" w:ascii="Times New Roman" w:hAnsi="Times New Roman"/>
                <w:bCs/>
              </w:rPr>
              <w:t>结构自振频率；</w:t>
            </w:r>
          </w:p>
        </w:tc>
      </w:tr>
      <w:tr>
        <w:tblPrEx>
          <w:tblCellMar>
            <w:top w:w="0" w:type="dxa"/>
            <w:left w:w="108" w:type="dxa"/>
            <w:bottom w:w="0" w:type="dxa"/>
            <w:right w:w="108" w:type="dxa"/>
          </w:tblCellMar>
        </w:tblPrEx>
        <w:trPr>
          <w:trHeight w:val="397" w:hRule="atLeast"/>
        </w:trPr>
        <w:tc>
          <w:tcPr>
            <w:tcW w:w="1155" w:type="dxa"/>
            <w:vAlign w:val="center"/>
          </w:tcPr>
          <w:p>
            <w:pPr>
              <w:tabs>
                <w:tab w:val="left" w:pos="2055"/>
              </w:tabs>
              <w:snapToGrid w:val="0"/>
              <w:spacing w:line="480" w:lineRule="exact"/>
              <w:jc w:val="right"/>
              <w:rPr>
                <w:rFonts w:ascii="Times New Roman" w:hAnsi="Times New Roman"/>
              </w:rPr>
            </w:pPr>
            <w:r>
              <w:rPr>
                <w:rFonts w:ascii="Times New Roman" w:hAnsi="Times New Roman"/>
                <w:position w:val="-14"/>
              </w:rPr>
              <w:drawing>
                <wp:inline distT="0" distB="0" distL="0" distR="0">
                  <wp:extent cx="321945" cy="228600"/>
                  <wp:effectExtent l="0" t="0" r="1905"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21945" cy="228600"/>
                          </a:xfrm>
                          <a:prstGeom prst="rect">
                            <a:avLst/>
                          </a:prstGeom>
                          <a:noFill/>
                          <a:ln>
                            <a:noFill/>
                          </a:ln>
                        </pic:spPr>
                      </pic:pic>
                    </a:graphicData>
                  </a:graphic>
                </wp:inline>
              </w:drawing>
            </w:r>
          </w:p>
        </w:tc>
        <w:tc>
          <w:tcPr>
            <w:tcW w:w="7062" w:type="dxa"/>
            <w:vAlign w:val="center"/>
          </w:tcPr>
          <w:p>
            <w:pPr>
              <w:tabs>
                <w:tab w:val="left" w:pos="2055"/>
              </w:tabs>
              <w:snapToGrid w:val="0"/>
              <w:spacing w:line="440" w:lineRule="exact"/>
              <w:rPr>
                <w:rFonts w:ascii="Times New Roman" w:hAnsi="Times New Roman"/>
              </w:rPr>
            </w:pPr>
            <w:r>
              <w:rPr>
                <w:rFonts w:ascii="Times New Roman" w:hAnsi="Times New Roman"/>
              </w:rPr>
              <w:t>—</w:t>
            </w:r>
            <w:r>
              <w:rPr>
                <w:rFonts w:hint="eastAsia" w:ascii="Times New Roman" w:hAnsi="Times New Roman"/>
                <w:bCs/>
              </w:rPr>
              <w:t>设置消能部件的主体结构层间屈服位移；</w:t>
            </w:r>
          </w:p>
        </w:tc>
      </w:tr>
      <w:tr>
        <w:tblPrEx>
          <w:tblCellMar>
            <w:top w:w="0" w:type="dxa"/>
            <w:left w:w="108" w:type="dxa"/>
            <w:bottom w:w="0" w:type="dxa"/>
            <w:right w:w="108" w:type="dxa"/>
          </w:tblCellMar>
        </w:tblPrEx>
        <w:trPr>
          <w:trHeight w:val="397" w:hRule="atLeast"/>
        </w:trPr>
        <w:tc>
          <w:tcPr>
            <w:tcW w:w="1155" w:type="dxa"/>
            <w:vAlign w:val="center"/>
          </w:tcPr>
          <w:p>
            <w:pPr>
              <w:tabs>
                <w:tab w:val="left" w:pos="2055"/>
              </w:tabs>
              <w:snapToGrid w:val="0"/>
              <w:spacing w:line="480" w:lineRule="exact"/>
              <w:jc w:val="right"/>
              <w:rPr>
                <w:rFonts w:ascii="Times New Roman" w:hAnsi="Times New Roman"/>
                <w:position w:val="-14"/>
              </w:rPr>
            </w:pPr>
            <w:r>
              <w:rPr>
                <w:rFonts w:ascii="Times New Roman" w:hAnsi="Times New Roman"/>
                <w:position w:val="-14"/>
              </w:rPr>
              <w:drawing>
                <wp:inline distT="0" distB="0" distL="0" distR="0">
                  <wp:extent cx="211455" cy="2286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11455" cy="228600"/>
                          </a:xfrm>
                          <a:prstGeom prst="rect">
                            <a:avLst/>
                          </a:prstGeom>
                          <a:noFill/>
                          <a:ln>
                            <a:noFill/>
                          </a:ln>
                        </pic:spPr>
                      </pic:pic>
                    </a:graphicData>
                  </a:graphic>
                </wp:inline>
              </w:drawing>
            </w:r>
          </w:p>
        </w:tc>
        <w:tc>
          <w:tcPr>
            <w:tcW w:w="7062" w:type="dxa"/>
            <w:vAlign w:val="center"/>
          </w:tcPr>
          <w:p>
            <w:pPr>
              <w:tabs>
                <w:tab w:val="left" w:pos="2055"/>
              </w:tabs>
              <w:snapToGrid w:val="0"/>
              <w:spacing w:line="440" w:lineRule="exact"/>
              <w:rPr>
                <w:rFonts w:ascii="Times New Roman" w:hAnsi="Times New Roman"/>
              </w:rPr>
            </w:pPr>
            <w:r>
              <w:rPr>
                <w:rFonts w:ascii="Times New Roman" w:hAnsi="Times New Roman"/>
              </w:rPr>
              <w:t>—</w:t>
            </w:r>
            <w:r>
              <w:rPr>
                <w:rFonts w:hint="eastAsia" w:ascii="Times New Roman" w:hAnsi="Times New Roman"/>
              </w:rPr>
              <w:t>第</w:t>
            </w:r>
            <w:r>
              <w:rPr>
                <w:rFonts w:ascii="Times New Roman" w:hAnsi="Times New Roman"/>
              </w:rPr>
              <w:object>
                <v:shape id="_x0000_i1025" o:spt="75" type="#_x0000_t75" style="height:13.2pt;width:9.55pt;" o:ole="t" filled="f" o:preferrelative="t" stroked="f" coordsize="21600,21600">
                  <v:path/>
                  <v:fill on="f" focussize="0,0"/>
                  <v:stroke on="f" joinstyle="miter"/>
                  <v:imagedata r:id="rId36" o:title=""/>
                  <o:lock v:ext="edit" aspectratio="t"/>
                  <w10:wrap type="none"/>
                  <w10:anchorlock/>
                </v:shape>
                <o:OLEObject Type="Embed" ProgID="Equation.DSMT4" ShapeID="_x0000_i1025" DrawAspect="Content" ObjectID="_1468075725" r:id="rId35">
                  <o:LockedField>false</o:LockedField>
                </o:OLEObject>
              </w:object>
            </w:r>
            <w:r>
              <w:rPr>
                <w:rFonts w:hint="eastAsia" w:ascii="Times New Roman" w:hAnsi="Times New Roman"/>
              </w:rPr>
              <w:t>个消能器由试验确定的阻尼系数；</w:t>
            </w:r>
          </w:p>
        </w:tc>
      </w:tr>
      <w:tr>
        <w:tblPrEx>
          <w:tblCellMar>
            <w:top w:w="0" w:type="dxa"/>
            <w:left w:w="108" w:type="dxa"/>
            <w:bottom w:w="0" w:type="dxa"/>
            <w:right w:w="108" w:type="dxa"/>
          </w:tblCellMar>
        </w:tblPrEx>
        <w:trPr>
          <w:trHeight w:val="397" w:hRule="atLeast"/>
        </w:trPr>
        <w:tc>
          <w:tcPr>
            <w:tcW w:w="1155" w:type="dxa"/>
            <w:vAlign w:val="center"/>
          </w:tcPr>
          <w:p>
            <w:pPr>
              <w:tabs>
                <w:tab w:val="left" w:pos="2055"/>
              </w:tabs>
              <w:snapToGrid w:val="0"/>
              <w:spacing w:line="480" w:lineRule="exact"/>
              <w:jc w:val="right"/>
              <w:rPr>
                <w:rFonts w:ascii="Times New Roman" w:hAnsi="Times New Roman"/>
                <w:position w:val="-14"/>
              </w:rPr>
            </w:pPr>
            <w:r>
              <w:rPr>
                <w:rFonts w:ascii="Times New Roman" w:hAnsi="Times New Roman"/>
                <w:position w:val="-14"/>
              </w:rPr>
              <w:drawing>
                <wp:inline distT="0" distB="0" distL="0" distR="0">
                  <wp:extent cx="211455" cy="2286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1455" cy="228600"/>
                          </a:xfrm>
                          <a:prstGeom prst="rect">
                            <a:avLst/>
                          </a:prstGeom>
                          <a:noFill/>
                          <a:ln>
                            <a:noFill/>
                          </a:ln>
                        </pic:spPr>
                      </pic:pic>
                    </a:graphicData>
                  </a:graphic>
                </wp:inline>
              </w:drawing>
            </w:r>
          </w:p>
        </w:tc>
        <w:tc>
          <w:tcPr>
            <w:tcW w:w="7062" w:type="dxa"/>
            <w:vAlign w:val="center"/>
          </w:tcPr>
          <w:p>
            <w:pPr>
              <w:tabs>
                <w:tab w:val="left" w:pos="2055"/>
              </w:tabs>
              <w:snapToGrid w:val="0"/>
              <w:spacing w:line="440" w:lineRule="exact"/>
              <w:rPr>
                <w:rFonts w:ascii="Times New Roman" w:hAnsi="Times New Roman"/>
              </w:rPr>
            </w:pPr>
            <w:r>
              <w:rPr>
                <w:rFonts w:ascii="Times New Roman" w:hAnsi="Times New Roman"/>
              </w:rPr>
              <w:t>—</w:t>
            </w:r>
            <w:r>
              <w:rPr>
                <w:rFonts w:hint="eastAsia" w:ascii="Times New Roman" w:hAnsi="Times New Roman"/>
              </w:rPr>
              <w:t>消能器在相应位移下的抗力（阻尼力）；</w:t>
            </w:r>
          </w:p>
        </w:tc>
      </w:tr>
      <w:tr>
        <w:tblPrEx>
          <w:tblCellMar>
            <w:top w:w="0" w:type="dxa"/>
            <w:left w:w="108" w:type="dxa"/>
            <w:bottom w:w="0" w:type="dxa"/>
            <w:right w:w="108" w:type="dxa"/>
          </w:tblCellMar>
        </w:tblPrEx>
        <w:trPr>
          <w:trHeight w:val="397" w:hRule="atLeast"/>
        </w:trPr>
        <w:tc>
          <w:tcPr>
            <w:tcW w:w="1155" w:type="dxa"/>
            <w:vAlign w:val="center"/>
          </w:tcPr>
          <w:p>
            <w:pPr>
              <w:tabs>
                <w:tab w:val="left" w:pos="2055"/>
              </w:tabs>
              <w:snapToGrid w:val="0"/>
              <w:spacing w:line="480" w:lineRule="exact"/>
              <w:jc w:val="right"/>
              <w:rPr>
                <w:rFonts w:ascii="Times New Roman" w:hAnsi="Times New Roman"/>
                <w:position w:val="-14"/>
              </w:rPr>
            </w:pPr>
            <w:r>
              <w:rPr>
                <w:rFonts w:ascii="Times New Roman" w:hAnsi="Times New Roman"/>
                <w:position w:val="-14"/>
              </w:rPr>
              <w:drawing>
                <wp:inline distT="0" distB="0" distL="0" distR="0">
                  <wp:extent cx="211455" cy="2286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11455" cy="228600"/>
                          </a:xfrm>
                          <a:prstGeom prst="rect">
                            <a:avLst/>
                          </a:prstGeom>
                          <a:noFill/>
                          <a:ln>
                            <a:noFill/>
                          </a:ln>
                        </pic:spPr>
                      </pic:pic>
                    </a:graphicData>
                  </a:graphic>
                </wp:inline>
              </w:drawing>
            </w:r>
          </w:p>
        </w:tc>
        <w:tc>
          <w:tcPr>
            <w:tcW w:w="7062" w:type="dxa"/>
            <w:vAlign w:val="center"/>
          </w:tcPr>
          <w:p>
            <w:pPr>
              <w:tabs>
                <w:tab w:val="left" w:pos="2055"/>
              </w:tabs>
              <w:snapToGrid w:val="0"/>
              <w:spacing w:line="440" w:lineRule="exact"/>
              <w:rPr>
                <w:rFonts w:ascii="Times New Roman" w:hAnsi="Times New Roman"/>
              </w:rPr>
            </w:pPr>
            <w:r>
              <w:rPr>
                <w:rFonts w:ascii="Times New Roman" w:hAnsi="Times New Roman"/>
              </w:rPr>
              <w:t>—</w:t>
            </w:r>
            <w:r>
              <w:rPr>
                <w:rFonts w:hint="eastAsia" w:ascii="Times New Roman" w:hAnsi="Times New Roman"/>
              </w:rPr>
              <w:t>支撑构件沿消能方向的刚度；</w:t>
            </w:r>
          </w:p>
        </w:tc>
      </w:tr>
      <w:tr>
        <w:tblPrEx>
          <w:tblCellMar>
            <w:top w:w="0" w:type="dxa"/>
            <w:left w:w="108" w:type="dxa"/>
            <w:bottom w:w="0" w:type="dxa"/>
            <w:right w:w="108" w:type="dxa"/>
          </w:tblCellMar>
        </w:tblPrEx>
        <w:trPr>
          <w:trHeight w:val="397" w:hRule="atLeast"/>
        </w:trPr>
        <w:tc>
          <w:tcPr>
            <w:tcW w:w="1155" w:type="dxa"/>
            <w:vAlign w:val="center"/>
          </w:tcPr>
          <w:p>
            <w:pPr>
              <w:tabs>
                <w:tab w:val="left" w:pos="2055"/>
              </w:tabs>
              <w:snapToGrid w:val="0"/>
              <w:spacing w:line="480" w:lineRule="exact"/>
              <w:jc w:val="right"/>
              <w:rPr>
                <w:rFonts w:ascii="Times New Roman" w:hAnsi="Times New Roman"/>
                <w:position w:val="-14"/>
              </w:rPr>
            </w:pPr>
            <w:r>
              <w:rPr>
                <w:rFonts w:ascii="Times New Roman" w:hAnsi="Times New Roman"/>
                <w:position w:val="-14"/>
              </w:rPr>
              <w:drawing>
                <wp:inline distT="0" distB="0" distL="0" distR="0">
                  <wp:extent cx="228600" cy="2286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p>
        </w:tc>
        <w:tc>
          <w:tcPr>
            <w:tcW w:w="7062" w:type="dxa"/>
            <w:vAlign w:val="center"/>
          </w:tcPr>
          <w:p>
            <w:pPr>
              <w:tabs>
                <w:tab w:val="left" w:pos="2055"/>
              </w:tabs>
              <w:snapToGrid w:val="0"/>
              <w:spacing w:line="440" w:lineRule="exact"/>
              <w:rPr>
                <w:rFonts w:ascii="Times New Roman" w:hAnsi="Times New Roman"/>
              </w:rPr>
            </w:pPr>
            <w:r>
              <w:rPr>
                <w:rFonts w:ascii="Times New Roman" w:hAnsi="Times New Roman"/>
              </w:rPr>
              <w:t>—</w:t>
            </w:r>
            <w:r>
              <w:rPr>
                <w:rFonts w:hint="eastAsia" w:ascii="Times New Roman" w:hAnsi="Times New Roman"/>
              </w:rPr>
              <w:t>第</w:t>
            </w:r>
            <w:r>
              <w:rPr>
                <w:rFonts w:ascii="Times New Roman" w:hAnsi="Times New Roman"/>
              </w:rPr>
              <w:t>j</w:t>
            </w:r>
            <w:r>
              <w:rPr>
                <w:rFonts w:hint="eastAsia" w:ascii="Times New Roman" w:hAnsi="Times New Roman"/>
              </w:rPr>
              <w:t>个消能部件在结构预期层间位移下往复循环一周所消耗的能量；</w:t>
            </w:r>
          </w:p>
        </w:tc>
      </w:tr>
      <w:tr>
        <w:tblPrEx>
          <w:tblCellMar>
            <w:top w:w="0" w:type="dxa"/>
            <w:left w:w="108" w:type="dxa"/>
            <w:bottom w:w="0" w:type="dxa"/>
            <w:right w:w="108" w:type="dxa"/>
          </w:tblCellMar>
        </w:tblPrEx>
        <w:trPr>
          <w:trHeight w:val="397" w:hRule="atLeast"/>
        </w:trPr>
        <w:tc>
          <w:tcPr>
            <w:tcW w:w="1155" w:type="dxa"/>
            <w:vAlign w:val="center"/>
          </w:tcPr>
          <w:p>
            <w:pPr>
              <w:tabs>
                <w:tab w:val="left" w:pos="2055"/>
              </w:tabs>
              <w:snapToGrid w:val="0"/>
              <w:spacing w:line="480" w:lineRule="exact"/>
              <w:jc w:val="right"/>
              <w:rPr>
                <w:rFonts w:ascii="Times New Roman" w:hAnsi="Times New Roman"/>
                <w:position w:val="-14"/>
              </w:rPr>
            </w:pPr>
            <w:r>
              <w:rPr>
                <w:rFonts w:ascii="Times New Roman" w:hAnsi="Times New Roman"/>
                <w:position w:val="-14"/>
              </w:rPr>
              <w:drawing>
                <wp:inline distT="0" distB="0" distL="0" distR="0">
                  <wp:extent cx="211455" cy="228600"/>
                  <wp:effectExtent l="0" t="0" r="0" b="0"/>
                  <wp:docPr id="474"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1455" cy="228600"/>
                          </a:xfrm>
                          <a:prstGeom prst="rect">
                            <a:avLst/>
                          </a:prstGeom>
                          <a:noFill/>
                          <a:ln>
                            <a:noFill/>
                          </a:ln>
                        </pic:spPr>
                      </pic:pic>
                    </a:graphicData>
                  </a:graphic>
                </wp:inline>
              </w:drawing>
            </w:r>
          </w:p>
        </w:tc>
        <w:tc>
          <w:tcPr>
            <w:tcW w:w="7062" w:type="dxa"/>
            <w:vAlign w:val="center"/>
          </w:tcPr>
          <w:p>
            <w:pPr>
              <w:tabs>
                <w:tab w:val="left" w:pos="2055"/>
              </w:tabs>
              <w:snapToGrid w:val="0"/>
              <w:spacing w:line="440" w:lineRule="exact"/>
              <w:rPr>
                <w:rFonts w:ascii="Times New Roman" w:hAnsi="Times New Roman"/>
              </w:rPr>
            </w:pPr>
            <w:r>
              <w:rPr>
                <w:rFonts w:ascii="Times New Roman" w:hAnsi="Times New Roman"/>
              </w:rPr>
              <w:t>—</w:t>
            </w:r>
            <w:r>
              <w:rPr>
                <w:rFonts w:hint="eastAsia" w:ascii="Times New Roman" w:hAnsi="Times New Roman"/>
              </w:rPr>
              <w:t>消能部件附加给结构的有效阻尼比；</w:t>
            </w:r>
          </w:p>
        </w:tc>
      </w:tr>
      <w:tr>
        <w:tblPrEx>
          <w:tblCellMar>
            <w:top w:w="0" w:type="dxa"/>
            <w:left w:w="108" w:type="dxa"/>
            <w:bottom w:w="0" w:type="dxa"/>
            <w:right w:w="108" w:type="dxa"/>
          </w:tblCellMar>
        </w:tblPrEx>
        <w:trPr>
          <w:trHeight w:val="397" w:hRule="atLeast"/>
        </w:trPr>
        <w:tc>
          <w:tcPr>
            <w:tcW w:w="1155" w:type="dxa"/>
            <w:vAlign w:val="center"/>
          </w:tcPr>
          <w:p>
            <w:pPr>
              <w:tabs>
                <w:tab w:val="left" w:pos="2055"/>
              </w:tabs>
              <w:snapToGrid w:val="0"/>
              <w:spacing w:line="480" w:lineRule="exact"/>
              <w:jc w:val="right"/>
              <w:rPr>
                <w:rFonts w:ascii="Times New Roman" w:hAnsi="Times New Roman"/>
                <w:position w:val="-14"/>
              </w:rPr>
            </w:pPr>
            <w:r>
              <w:rPr>
                <w:rFonts w:ascii="Times New Roman" w:hAnsi="Times New Roman"/>
                <w:i/>
              </w:rPr>
              <w:t>u</w:t>
            </w:r>
          </w:p>
        </w:tc>
        <w:tc>
          <w:tcPr>
            <w:tcW w:w="7062" w:type="dxa"/>
            <w:vAlign w:val="center"/>
          </w:tcPr>
          <w:p>
            <w:pPr>
              <w:tabs>
                <w:tab w:val="left" w:pos="2055"/>
              </w:tabs>
              <w:snapToGrid w:val="0"/>
              <w:spacing w:line="440" w:lineRule="exact"/>
              <w:rPr>
                <w:rFonts w:ascii="Times New Roman" w:hAnsi="Times New Roman"/>
              </w:rPr>
            </w:pPr>
            <w:r>
              <w:rPr>
                <w:rFonts w:ascii="Times New Roman" w:hAnsi="Times New Roman"/>
              </w:rPr>
              <w:t>—</w:t>
            </w:r>
            <w:r>
              <w:rPr>
                <w:rFonts w:hint="eastAsia" w:ascii="Times New Roman" w:hAnsi="Times New Roman"/>
              </w:rPr>
              <w:t>沿消能方向消能器两端相对位移；</w:t>
            </w:r>
          </w:p>
        </w:tc>
      </w:tr>
      <w:tr>
        <w:tblPrEx>
          <w:tblCellMar>
            <w:top w:w="0" w:type="dxa"/>
            <w:left w:w="108" w:type="dxa"/>
            <w:bottom w:w="0" w:type="dxa"/>
            <w:right w:w="108" w:type="dxa"/>
          </w:tblCellMar>
        </w:tblPrEx>
        <w:trPr>
          <w:trHeight w:val="397" w:hRule="atLeast"/>
        </w:trPr>
        <w:tc>
          <w:tcPr>
            <w:tcW w:w="1155" w:type="dxa"/>
            <w:vAlign w:val="center"/>
          </w:tcPr>
          <w:p>
            <w:pPr>
              <w:tabs>
                <w:tab w:val="left" w:pos="2055"/>
              </w:tabs>
              <w:snapToGrid w:val="0"/>
              <w:spacing w:line="480" w:lineRule="exact"/>
              <w:jc w:val="right"/>
              <w:rPr>
                <w:rFonts w:ascii="Times New Roman" w:hAnsi="Times New Roman"/>
                <w:position w:val="-14"/>
              </w:rPr>
            </w:pPr>
            <w:r>
              <w:rPr>
                <w:rFonts w:ascii="Times New Roman" w:hAnsi="Times New Roman"/>
                <w:position w:val="-14"/>
              </w:rPr>
              <w:drawing>
                <wp:inline distT="0" distB="0" distL="0" distR="0">
                  <wp:extent cx="287655" cy="228600"/>
                  <wp:effectExtent l="0" t="0" r="0" b="0"/>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87655" cy="228600"/>
                          </a:xfrm>
                          <a:prstGeom prst="rect">
                            <a:avLst/>
                          </a:prstGeom>
                          <a:noFill/>
                          <a:ln>
                            <a:noFill/>
                          </a:ln>
                        </pic:spPr>
                      </pic:pic>
                    </a:graphicData>
                  </a:graphic>
                </wp:inline>
              </w:drawing>
            </w:r>
          </w:p>
        </w:tc>
        <w:tc>
          <w:tcPr>
            <w:tcW w:w="7062" w:type="dxa"/>
            <w:vAlign w:val="center"/>
          </w:tcPr>
          <w:p>
            <w:pPr>
              <w:tabs>
                <w:tab w:val="left" w:pos="2055"/>
              </w:tabs>
              <w:snapToGrid w:val="0"/>
              <w:spacing w:line="440" w:lineRule="exact"/>
              <w:rPr>
                <w:rFonts w:ascii="Times New Roman" w:hAnsi="Times New Roman"/>
              </w:rPr>
            </w:pPr>
            <w:r>
              <w:rPr>
                <w:rFonts w:ascii="Times New Roman" w:hAnsi="Times New Roman"/>
              </w:rPr>
              <w:t>—</w:t>
            </w:r>
            <w:r>
              <w:rPr>
                <w:rFonts w:hint="eastAsia" w:ascii="Times New Roman" w:hAnsi="Times New Roman"/>
              </w:rPr>
              <w:t>位移型消能部件在水平方向的屈服位移</w:t>
            </w:r>
            <w:r>
              <w:rPr>
                <w:rFonts w:ascii="Times New Roman" w:hAnsi="Times New Roman"/>
              </w:rPr>
              <w:t>;</w:t>
            </w:r>
          </w:p>
        </w:tc>
      </w:tr>
      <w:tr>
        <w:tblPrEx>
          <w:tblCellMar>
            <w:top w:w="0" w:type="dxa"/>
            <w:left w:w="108" w:type="dxa"/>
            <w:bottom w:w="0" w:type="dxa"/>
            <w:right w:w="108" w:type="dxa"/>
          </w:tblCellMar>
        </w:tblPrEx>
        <w:trPr>
          <w:trHeight w:val="397" w:hRule="atLeast"/>
        </w:trPr>
        <w:tc>
          <w:tcPr>
            <w:tcW w:w="1155" w:type="dxa"/>
            <w:vAlign w:val="center"/>
          </w:tcPr>
          <w:p>
            <w:pPr>
              <w:tabs>
                <w:tab w:val="left" w:pos="2055"/>
              </w:tabs>
              <w:snapToGrid w:val="0"/>
              <w:spacing w:line="480" w:lineRule="exact"/>
              <w:jc w:val="right"/>
              <w:rPr>
                <w:rFonts w:ascii="Times New Roman" w:hAnsi="Times New Roman"/>
                <w:position w:val="-14"/>
              </w:rPr>
            </w:pPr>
            <w:r>
              <w:rPr>
                <w:rFonts w:ascii="Times New Roman" w:hAnsi="Times New Roman"/>
                <w:position w:val="-14"/>
              </w:rPr>
              <w:drawing>
                <wp:inline distT="0" distB="0" distL="0" distR="0">
                  <wp:extent cx="177800" cy="228600"/>
                  <wp:effectExtent l="0" t="0" r="0" b="0"/>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77800" cy="228600"/>
                          </a:xfrm>
                          <a:prstGeom prst="rect">
                            <a:avLst/>
                          </a:prstGeom>
                          <a:noFill/>
                          <a:ln>
                            <a:noFill/>
                          </a:ln>
                        </pic:spPr>
                      </pic:pic>
                    </a:graphicData>
                  </a:graphic>
                </wp:inline>
              </w:drawing>
            </w:r>
          </w:p>
        </w:tc>
        <w:tc>
          <w:tcPr>
            <w:tcW w:w="7062" w:type="dxa"/>
            <w:vAlign w:val="center"/>
          </w:tcPr>
          <w:p>
            <w:pPr>
              <w:tabs>
                <w:tab w:val="left" w:pos="2055"/>
              </w:tabs>
              <w:snapToGrid w:val="0"/>
              <w:spacing w:line="440" w:lineRule="exact"/>
              <w:rPr>
                <w:rFonts w:ascii="Times New Roman" w:hAnsi="Times New Roman"/>
              </w:rPr>
            </w:pPr>
            <w:r>
              <w:rPr>
                <w:rFonts w:ascii="Times New Roman" w:hAnsi="Times New Roman"/>
              </w:rPr>
              <w:t>—</w:t>
            </w:r>
            <w:r>
              <w:rPr>
                <w:rFonts w:hint="eastAsia" w:ascii="Times New Roman" w:hAnsi="Times New Roman"/>
              </w:rPr>
              <w:t>位移型消能器屈服位移与计算屈服位移之比。</w:t>
            </w:r>
          </w:p>
        </w:tc>
      </w:tr>
      <w:tr>
        <w:tblPrEx>
          <w:tblCellMar>
            <w:top w:w="0" w:type="dxa"/>
            <w:left w:w="108" w:type="dxa"/>
            <w:bottom w:w="0" w:type="dxa"/>
            <w:right w:w="108" w:type="dxa"/>
          </w:tblCellMar>
        </w:tblPrEx>
        <w:trPr>
          <w:trHeight w:val="397" w:hRule="atLeast"/>
        </w:trPr>
        <w:tc>
          <w:tcPr>
            <w:tcW w:w="1155" w:type="dxa"/>
            <w:vAlign w:val="center"/>
          </w:tcPr>
          <w:p>
            <w:pPr>
              <w:tabs>
                <w:tab w:val="left" w:pos="2055"/>
              </w:tabs>
              <w:snapToGrid w:val="0"/>
              <w:spacing w:line="480" w:lineRule="exact"/>
              <w:jc w:val="right"/>
              <w:rPr>
                <w:rFonts w:ascii="Times New Roman" w:hAnsi="Times New Roman"/>
                <w:position w:val="-14"/>
              </w:rPr>
            </w:pPr>
            <w:r>
              <w:rPr>
                <w:position w:val="-8"/>
              </w:rPr>
              <w:object>
                <v:shape id="_x0000_i1026" o:spt="75" type="#_x0000_t75" style="height:15.45pt;width:13.2pt;" o:ole="t" fillcolor="#000005" filled="f" o:preferrelative="t" stroked="f" coordsize="21600,21600">
                  <v:path/>
                  <v:fill on="f" focussize="0,0"/>
                  <v:stroke on="f" joinstyle="miter"/>
                  <v:imagedata r:id="rId44" o:title=""/>
                  <o:lock v:ext="edit" aspectratio="t"/>
                  <w10:wrap type="none"/>
                  <w10:anchorlock/>
                </v:shape>
                <o:OLEObject Type="Embed" ProgID="Equation.DSMT4" ShapeID="_x0000_i1026" DrawAspect="Content" ObjectID="_1468075726" r:id="rId43">
                  <o:LockedField>false</o:LockedField>
                </o:OLEObject>
              </w:object>
            </w:r>
          </w:p>
        </w:tc>
        <w:tc>
          <w:tcPr>
            <w:tcW w:w="7062" w:type="dxa"/>
            <w:vAlign w:val="center"/>
          </w:tcPr>
          <w:p>
            <w:pPr>
              <w:tabs>
                <w:tab w:val="left" w:pos="2055"/>
              </w:tabs>
              <w:snapToGrid w:val="0"/>
              <w:spacing w:line="440" w:lineRule="exact"/>
              <w:rPr>
                <w:rFonts w:ascii="Times New Roman" w:hAnsi="Times New Roman"/>
              </w:rPr>
            </w:pPr>
            <w:r>
              <w:rPr>
                <w:rFonts w:ascii="Times New Roman" w:hAnsi="Times New Roman"/>
              </w:rPr>
              <w:t>—</w:t>
            </w:r>
            <w:r>
              <w:rPr>
                <w:rFonts w:hint="eastAsia" w:hAnsi="宋体"/>
              </w:rPr>
              <w:t>隔震结构底部剪力比；</w:t>
            </w:r>
          </w:p>
        </w:tc>
      </w:tr>
      <w:tr>
        <w:tblPrEx>
          <w:tblCellMar>
            <w:top w:w="0" w:type="dxa"/>
            <w:left w:w="108" w:type="dxa"/>
            <w:bottom w:w="0" w:type="dxa"/>
            <w:right w:w="108" w:type="dxa"/>
          </w:tblCellMar>
        </w:tblPrEx>
        <w:trPr>
          <w:trHeight w:val="397" w:hRule="atLeast"/>
        </w:trPr>
        <w:tc>
          <w:tcPr>
            <w:tcW w:w="1155" w:type="dxa"/>
            <w:vAlign w:val="center"/>
          </w:tcPr>
          <w:p>
            <w:pPr>
              <w:tabs>
                <w:tab w:val="left" w:pos="2055"/>
              </w:tabs>
              <w:snapToGrid w:val="0"/>
              <w:spacing w:line="480" w:lineRule="exact"/>
              <w:jc w:val="right"/>
              <w:rPr>
                <w:position w:val="-8"/>
              </w:rPr>
            </w:pPr>
            <w:r>
              <w:rPr>
                <w:position w:val="-12"/>
              </w:rPr>
              <w:object>
                <v:shape id="_x0000_i1027" o:spt="75" type="#_x0000_t75" style="height:20.55pt;width:21.3pt;" o:ole="t" fillcolor="#000005" filled="f" o:preferrelative="t" stroked="f" coordsize="21600,21600">
                  <v:path/>
                  <v:fill on="f" focussize="0,0"/>
                  <v:stroke on="f" joinstyle="miter"/>
                  <v:imagedata r:id="rId46" o:title=""/>
                  <o:lock v:ext="edit" aspectratio="t"/>
                  <w10:wrap type="none"/>
                  <w10:anchorlock/>
                </v:shape>
                <o:OLEObject Type="Embed" ProgID="Equation.DSMT4" ShapeID="_x0000_i1027" DrawAspect="Content" ObjectID="_1468075727" r:id="rId45">
                  <o:LockedField>false</o:LockedField>
                </o:OLEObject>
              </w:object>
            </w:r>
          </w:p>
        </w:tc>
        <w:tc>
          <w:tcPr>
            <w:tcW w:w="7062" w:type="dxa"/>
            <w:vAlign w:val="center"/>
          </w:tcPr>
          <w:p>
            <w:pPr>
              <w:tabs>
                <w:tab w:val="left" w:pos="2055"/>
              </w:tabs>
              <w:snapToGrid w:val="0"/>
              <w:spacing w:line="440" w:lineRule="exact"/>
              <w:rPr>
                <w:rFonts w:ascii="Times New Roman" w:hAnsi="Times New Roman"/>
              </w:rPr>
            </w:pPr>
            <w:r>
              <w:rPr>
                <w:rFonts w:ascii="Times New Roman" w:hAnsi="Times New Roman"/>
              </w:rPr>
              <w:t>—</w:t>
            </w:r>
            <w:r>
              <w:rPr>
                <w:rFonts w:hint="eastAsia" w:hAnsi="宋体"/>
              </w:rPr>
              <w:t>弹性层间位移角限值；</w:t>
            </w:r>
          </w:p>
        </w:tc>
      </w:tr>
      <w:tr>
        <w:tblPrEx>
          <w:tblCellMar>
            <w:top w:w="0" w:type="dxa"/>
            <w:left w:w="108" w:type="dxa"/>
            <w:bottom w:w="0" w:type="dxa"/>
            <w:right w:w="108" w:type="dxa"/>
          </w:tblCellMar>
        </w:tblPrEx>
        <w:trPr>
          <w:trHeight w:val="397" w:hRule="atLeast"/>
        </w:trPr>
        <w:tc>
          <w:tcPr>
            <w:tcW w:w="1155" w:type="dxa"/>
            <w:vAlign w:val="center"/>
          </w:tcPr>
          <w:p>
            <w:pPr>
              <w:tabs>
                <w:tab w:val="left" w:pos="2055"/>
              </w:tabs>
              <w:snapToGrid w:val="0"/>
              <w:spacing w:line="480" w:lineRule="exact"/>
              <w:jc w:val="right"/>
              <w:rPr>
                <w:position w:val="-12"/>
              </w:rPr>
            </w:pPr>
            <w:r>
              <w:rPr>
                <w:position w:val="-14"/>
              </w:rPr>
              <w:object>
                <v:shape id="_x0000_i1028" o:spt="75" type="#_x0000_t75" style="height:22.05pt;width:27.2pt;" o:ole="t" fillcolor="#000005" filled="f" o:preferrelative="t" stroked="f" coordsize="21600,21600">
                  <v:path/>
                  <v:fill on="f" focussize="0,0"/>
                  <v:stroke on="f" joinstyle="miter"/>
                  <v:imagedata r:id="rId48" o:title=""/>
                  <o:lock v:ext="edit" aspectratio="t"/>
                  <w10:wrap type="none"/>
                  <w10:anchorlock/>
                </v:shape>
                <o:OLEObject Type="Embed" ProgID="Equation.DSMT4" ShapeID="_x0000_i1028" DrawAspect="Content" ObjectID="_1468075728" r:id="rId47">
                  <o:LockedField>false</o:LockedField>
                </o:OLEObject>
              </w:object>
            </w:r>
          </w:p>
        </w:tc>
        <w:tc>
          <w:tcPr>
            <w:tcW w:w="7062" w:type="dxa"/>
            <w:vAlign w:val="center"/>
          </w:tcPr>
          <w:p>
            <w:pPr>
              <w:tabs>
                <w:tab w:val="left" w:pos="2055"/>
              </w:tabs>
              <w:snapToGrid w:val="0"/>
              <w:spacing w:line="440" w:lineRule="exact"/>
              <w:rPr>
                <w:rFonts w:hAnsi="宋体"/>
              </w:rPr>
            </w:pPr>
            <w:r>
              <w:rPr>
                <w:rFonts w:ascii="Times New Roman" w:hAnsi="Times New Roman"/>
              </w:rPr>
              <w:t>—</w:t>
            </w:r>
            <w:r>
              <w:rPr>
                <w:rFonts w:hint="eastAsia" w:hAnsi="宋体"/>
              </w:rPr>
              <w:t>弹塑性位移角限值；</w:t>
            </w:r>
          </w:p>
        </w:tc>
      </w:tr>
      <w:tr>
        <w:tblPrEx>
          <w:tblCellMar>
            <w:top w:w="0" w:type="dxa"/>
            <w:left w:w="108" w:type="dxa"/>
            <w:bottom w:w="0" w:type="dxa"/>
            <w:right w:w="108" w:type="dxa"/>
          </w:tblCellMar>
        </w:tblPrEx>
        <w:trPr>
          <w:trHeight w:val="397" w:hRule="atLeast"/>
        </w:trPr>
        <w:tc>
          <w:tcPr>
            <w:tcW w:w="1155" w:type="dxa"/>
            <w:vAlign w:val="center"/>
          </w:tcPr>
          <w:p>
            <w:pPr>
              <w:tabs>
                <w:tab w:val="left" w:pos="2055"/>
              </w:tabs>
              <w:snapToGrid w:val="0"/>
              <w:spacing w:line="480" w:lineRule="exact"/>
              <w:jc w:val="right"/>
              <w:rPr>
                <w:position w:val="-14"/>
              </w:rPr>
            </w:pPr>
            <w:r>
              <w:rPr>
                <w:position w:val="-10"/>
              </w:rPr>
              <w:object>
                <v:shape id="_x0000_i1029" o:spt="75" type="#_x0000_t75" style="height:16.9pt;width:19.85pt;" o:ole="t" filled="f" o:preferrelative="t" stroked="f" coordsize="21600,21600">
                  <v:path/>
                  <v:fill on="f" focussize="0,0"/>
                  <v:stroke on="f" joinstyle="miter"/>
                  <v:imagedata r:id="rId50" o:title=""/>
                  <o:lock v:ext="edit" aspectratio="t"/>
                  <w10:wrap type="none"/>
                  <w10:anchorlock/>
                </v:shape>
                <o:OLEObject Type="Embed" ProgID="Equation.DSMT4" ShapeID="_x0000_i1029" DrawAspect="Content" ObjectID="_1468075729" r:id="rId49">
                  <o:LockedField>false</o:LockedField>
                </o:OLEObject>
              </w:object>
            </w:r>
          </w:p>
        </w:tc>
        <w:tc>
          <w:tcPr>
            <w:tcW w:w="7062" w:type="dxa"/>
            <w:vAlign w:val="center"/>
          </w:tcPr>
          <w:p>
            <w:pPr>
              <w:tabs>
                <w:tab w:val="left" w:pos="2055"/>
              </w:tabs>
              <w:snapToGrid w:val="0"/>
              <w:spacing w:line="440" w:lineRule="exact"/>
              <w:rPr>
                <w:rFonts w:ascii="Times New Roman" w:hAnsi="Times New Roman"/>
              </w:rPr>
            </w:pPr>
            <w:r>
              <w:rPr>
                <w:rFonts w:ascii="Times New Roman" w:hAnsi="Times New Roman"/>
              </w:rPr>
              <w:t>—</w:t>
            </w:r>
            <w:r>
              <w:rPr>
                <w:rFonts w:hint="eastAsia" w:hAnsi="宋体"/>
              </w:rPr>
              <w:t>隔震支座或隔震层等效水平刚度;</w:t>
            </w:r>
          </w:p>
        </w:tc>
      </w:tr>
      <w:tr>
        <w:tblPrEx>
          <w:tblCellMar>
            <w:top w:w="0" w:type="dxa"/>
            <w:left w:w="108" w:type="dxa"/>
            <w:bottom w:w="0" w:type="dxa"/>
            <w:right w:w="108" w:type="dxa"/>
          </w:tblCellMar>
        </w:tblPrEx>
        <w:trPr>
          <w:trHeight w:val="397" w:hRule="atLeast"/>
        </w:trPr>
        <w:tc>
          <w:tcPr>
            <w:tcW w:w="1155" w:type="dxa"/>
            <w:vAlign w:val="center"/>
          </w:tcPr>
          <w:p>
            <w:pPr>
              <w:tabs>
                <w:tab w:val="left" w:pos="2055"/>
              </w:tabs>
              <w:snapToGrid w:val="0"/>
              <w:spacing w:line="480" w:lineRule="exact"/>
              <w:jc w:val="right"/>
              <w:rPr>
                <w:position w:val="-10"/>
              </w:rPr>
            </w:pPr>
            <w:r>
              <w:rPr>
                <w:position w:val="-12"/>
              </w:rPr>
              <w:object>
                <v:shape id="_x0000_i1030" o:spt="75" type="#_x0000_t75" style="height:19.85pt;width:16.15pt;" o:ole="t" fillcolor="#000005" filled="f" o:preferrelative="t" stroked="f" coordsize="21600,21600">
                  <v:path/>
                  <v:fill on="f" focussize="0,0"/>
                  <v:stroke on="f" joinstyle="miter"/>
                  <v:imagedata r:id="rId52" o:title=""/>
                  <o:lock v:ext="edit" aspectratio="t"/>
                  <w10:wrap type="none"/>
                  <w10:anchorlock/>
                </v:shape>
                <o:OLEObject Type="Embed" ProgID="Equation.DSMT4" ShapeID="_x0000_i1030" DrawAspect="Content" ObjectID="_1468075730" r:id="rId51">
                  <o:LockedField>false</o:LockedField>
                </o:OLEObject>
              </w:object>
            </w:r>
          </w:p>
        </w:tc>
        <w:tc>
          <w:tcPr>
            <w:tcW w:w="7062" w:type="dxa"/>
            <w:vAlign w:val="center"/>
          </w:tcPr>
          <w:p>
            <w:pPr>
              <w:tabs>
                <w:tab w:val="left" w:pos="2055"/>
              </w:tabs>
              <w:snapToGrid w:val="0"/>
              <w:spacing w:line="440" w:lineRule="exact"/>
              <w:rPr>
                <w:rFonts w:ascii="Times New Roman" w:hAnsi="Times New Roman"/>
              </w:rPr>
            </w:pPr>
            <w:r>
              <w:rPr>
                <w:rFonts w:ascii="Times New Roman" w:hAnsi="Times New Roman"/>
              </w:rPr>
              <w:t>—</w:t>
            </w:r>
            <w:r>
              <w:rPr>
                <w:rFonts w:hint="eastAsia"/>
              </w:rPr>
              <w:t>隔震层等效阻尼比；</w:t>
            </w:r>
          </w:p>
        </w:tc>
      </w:tr>
    </w:tbl>
    <w:p>
      <w:pPr>
        <w:pStyle w:val="58"/>
        <w:ind w:firstLine="0" w:firstLineChars="0"/>
      </w:pPr>
    </w:p>
    <w:p>
      <w:pPr>
        <w:pStyle w:val="58"/>
        <w:ind w:firstLine="0" w:firstLineChars="0"/>
      </w:pPr>
    </w:p>
    <w:p>
      <w:pPr>
        <w:pStyle w:val="58"/>
        <w:ind w:firstLine="0" w:firstLineChars="0"/>
      </w:pPr>
    </w:p>
    <w:p>
      <w:pPr>
        <w:pStyle w:val="58"/>
        <w:ind w:firstLine="0" w:firstLineChars="0"/>
      </w:pPr>
    </w:p>
    <w:p>
      <w:pPr>
        <w:widowControl/>
        <w:adjustRightInd/>
        <w:spacing w:line="240" w:lineRule="auto"/>
        <w:jc w:val="left"/>
        <w:rPr>
          <w:rFonts w:ascii="宋体" w:hAnsi="Times New Roman"/>
          <w:kern w:val="0"/>
          <w:szCs w:val="20"/>
        </w:rPr>
      </w:pPr>
      <w:r>
        <w:br w:type="page"/>
      </w:r>
    </w:p>
    <w:p>
      <w:pPr>
        <w:pStyle w:val="106"/>
        <w:spacing w:before="312" w:after="312"/>
        <w:jc w:val="center"/>
      </w:pPr>
      <w:bookmarkStart w:id="38" w:name="_Toc92414093"/>
      <w:r>
        <w:rPr>
          <w:rFonts w:hint="eastAsia"/>
        </w:rPr>
        <w:t>基本规定</w:t>
      </w:r>
      <w:bookmarkEnd w:id="38"/>
    </w:p>
    <w:p>
      <w:pPr>
        <w:pStyle w:val="167"/>
      </w:pPr>
      <w:r>
        <w:rPr>
          <w:rFonts w:hint="eastAsia"/>
        </w:rPr>
        <w:t>消能减震、隔震建筑应按现行国家标准《建筑工程抗震设防分类标准》GB50223 确定其抗震设防类别及其抗震设防标准，并进行抗震设计。</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3.1.1</w:t>
      </w:r>
      <w:r>
        <w:rPr>
          <w:rFonts w:hint="eastAsia" w:ascii="华文楷体" w:hAnsi="华文楷体" w:eastAsia="华文楷体" w:cs="华文楷体"/>
          <w:color w:val="0000FF"/>
          <w:szCs w:val="22"/>
        </w:rPr>
        <w:t>按照遭受地震破坏后可能造成的人员伤亡、经济损失和社会影响的程度及建筑功能在抗震救灾中的作用，将建筑工程划分为不同的类别，区别对待，采取不同的设计要求，是根据我国现有技术和经济条件的实际情况，达到减轻地震灾害又合理控制建设投资的重要对策之一。故消能减震、隔震建筑虽然能提高结构安全度，减少地震损失，依然采用现行国家标准《建筑工程抗震设防分类标准》</w:t>
      </w:r>
      <w:r>
        <w:rPr>
          <w:rFonts w:ascii="华文楷体" w:hAnsi="华文楷体" w:eastAsia="华文楷体" w:cs="华文楷体"/>
          <w:color w:val="0000FF"/>
          <w:szCs w:val="22"/>
        </w:rPr>
        <w:t xml:space="preserve">GB50223 </w:t>
      </w:r>
      <w:r>
        <w:rPr>
          <w:rFonts w:hint="eastAsia" w:ascii="华文楷体" w:hAnsi="华文楷体" w:eastAsia="华文楷体" w:cs="华文楷体"/>
          <w:color w:val="0000FF"/>
          <w:szCs w:val="22"/>
        </w:rPr>
        <w:t>确定其抗震设防类别及其抗震设防标准。</w:t>
      </w:r>
    </w:p>
    <w:p>
      <w:pPr>
        <w:pStyle w:val="167"/>
      </w:pPr>
      <w:r>
        <w:rPr>
          <w:rFonts w:hint="eastAsia"/>
        </w:rPr>
        <w:t>既有钢筋混凝土建筑结构采用本标准加固时，应根据后续使用年限分为三类：后续使用30年的建筑，简称A类建筑；后续使用40年的建筑，简称B类建筑；后续使用50年的建筑，简称C类建筑。</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3.1.2</w:t>
      </w:r>
      <w:r>
        <w:rPr>
          <w:rFonts w:hint="eastAsia" w:ascii="华文楷体" w:hAnsi="华文楷体" w:eastAsia="华文楷体" w:cs="华文楷体"/>
          <w:color w:val="0000FF"/>
          <w:szCs w:val="22"/>
        </w:rPr>
        <w:t>采用消能减震、隔震技术对既有钢筋混凝土结构进行抗震加固时，其后续设计使用年限按现行国家标准《建筑抗震鉴定标准》</w:t>
      </w:r>
      <w:r>
        <w:rPr>
          <w:rFonts w:ascii="华文楷体" w:hAnsi="华文楷体" w:eastAsia="华文楷体" w:cs="华文楷体"/>
          <w:color w:val="0000FF"/>
          <w:szCs w:val="22"/>
        </w:rPr>
        <w:t>GB50023</w:t>
      </w:r>
      <w:r>
        <w:rPr>
          <w:rFonts w:hint="eastAsia" w:ascii="华文楷体" w:hAnsi="华文楷体" w:eastAsia="华文楷体" w:cs="华文楷体"/>
          <w:color w:val="0000FF"/>
          <w:szCs w:val="22"/>
        </w:rPr>
        <w:t>的有关规定确定。</w:t>
      </w:r>
    </w:p>
    <w:p>
      <w:pPr>
        <w:pStyle w:val="167"/>
      </w:pPr>
      <w:r>
        <w:rPr>
          <w:rFonts w:hint="eastAsia"/>
        </w:rPr>
        <w:t>消能器、隔震装置的经济使用寿命应与主体结构设计使用年限或后续使用年限匹配，达到免维护使用周期或经历设防烈度以上的地震后，应全面检测，并依据检测结果确定剩余使用年限或进行替换。</w:t>
      </w:r>
    </w:p>
    <w:p>
      <w:pPr>
        <w:pStyle w:val="167"/>
      </w:pPr>
      <w:r>
        <w:rPr>
          <w:rFonts w:hint="eastAsia"/>
        </w:rPr>
        <w:t>既有建筑抗震加固前，应根据设防烈度、抗震设防分类、后续使用年限和结构类型等，按现行国家标准《建筑抗震鉴定标准》GB50023的有关规定进行抗震鉴定。</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 xml:space="preserve">3.1.4 </w:t>
      </w:r>
      <w:r>
        <w:rPr>
          <w:rFonts w:hint="eastAsia" w:ascii="华文楷体" w:hAnsi="华文楷体" w:eastAsia="华文楷体" w:cs="华文楷体"/>
          <w:color w:val="0000FF"/>
          <w:szCs w:val="22"/>
        </w:rPr>
        <w:t>设防烈度应按现行国家标准《建筑抗震设计规范》</w:t>
      </w:r>
      <w:r>
        <w:rPr>
          <w:rFonts w:ascii="华文楷体" w:hAnsi="华文楷体" w:eastAsia="华文楷体" w:cs="华文楷体"/>
          <w:color w:val="0000FF"/>
          <w:szCs w:val="22"/>
        </w:rPr>
        <w:t>GB50011</w:t>
      </w:r>
      <w:r>
        <w:rPr>
          <w:rFonts w:hint="eastAsia" w:ascii="华文楷体" w:hAnsi="华文楷体" w:eastAsia="华文楷体" w:cs="华文楷体"/>
          <w:color w:val="0000FF"/>
          <w:szCs w:val="22"/>
        </w:rPr>
        <w:t>采取，荷载应按现行国家标准《建筑结构荷载规范》</w:t>
      </w:r>
      <w:r>
        <w:rPr>
          <w:rFonts w:ascii="华文楷体" w:hAnsi="华文楷体" w:eastAsia="华文楷体" w:cs="华文楷体"/>
          <w:color w:val="0000FF"/>
          <w:szCs w:val="22"/>
        </w:rPr>
        <w:t>GB50009</w:t>
      </w:r>
      <w:r>
        <w:rPr>
          <w:rFonts w:hint="eastAsia" w:ascii="华文楷体" w:hAnsi="华文楷体" w:eastAsia="华文楷体" w:cs="华文楷体"/>
          <w:color w:val="0000FF"/>
          <w:szCs w:val="22"/>
        </w:rPr>
        <w:t>取值，建筑抗震设防类别应按现行《建筑工程抗震设防分类标准》</w:t>
      </w:r>
      <w:r>
        <w:rPr>
          <w:rFonts w:ascii="华文楷体" w:hAnsi="华文楷体" w:eastAsia="华文楷体" w:cs="华文楷体"/>
          <w:color w:val="0000FF"/>
          <w:szCs w:val="22"/>
        </w:rPr>
        <w:t>GB50223</w:t>
      </w:r>
      <w:r>
        <w:rPr>
          <w:rFonts w:hint="eastAsia" w:ascii="华文楷体" w:hAnsi="华文楷体" w:eastAsia="华文楷体" w:cs="华文楷体"/>
          <w:color w:val="0000FF"/>
          <w:szCs w:val="22"/>
        </w:rPr>
        <w:t>执行。</w:t>
      </w:r>
    </w:p>
    <w:p>
      <w:pPr>
        <w:pStyle w:val="167"/>
      </w:pPr>
      <w:r>
        <w:rPr>
          <w:rFonts w:hint="eastAsia"/>
        </w:rPr>
        <w:t>宜选择对抗震有利地段作为消能减震、隔震减震的场地，避开不利地段，当无法避开时应采取有效的措施，不应选择危险地段。</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 xml:space="preserve">3.1.5 </w:t>
      </w:r>
      <w:r>
        <w:rPr>
          <w:rFonts w:hint="eastAsia" w:ascii="华文楷体" w:hAnsi="华文楷体" w:eastAsia="华文楷体" w:cs="华文楷体"/>
          <w:color w:val="0000FF"/>
          <w:szCs w:val="22"/>
        </w:rPr>
        <w:t>对消能减震、隔震建筑建设场地有利、一般、不利和危险的划分按现行国家标准《建筑抗震设计规范》</w:t>
      </w:r>
      <w:r>
        <w:rPr>
          <w:rFonts w:ascii="华文楷体" w:hAnsi="华文楷体" w:eastAsia="华文楷体" w:cs="华文楷体"/>
          <w:color w:val="0000FF"/>
          <w:szCs w:val="22"/>
        </w:rPr>
        <w:t>GB50011</w:t>
      </w:r>
      <w:r>
        <w:rPr>
          <w:rFonts w:hint="eastAsia" w:ascii="华文楷体" w:hAnsi="华文楷体" w:eastAsia="华文楷体" w:cs="华文楷体"/>
          <w:color w:val="0000FF"/>
          <w:szCs w:val="22"/>
        </w:rPr>
        <w:t>有关规定划分。</w:t>
      </w:r>
    </w:p>
    <w:p>
      <w:pPr>
        <w:pStyle w:val="167"/>
      </w:pPr>
      <w:r>
        <w:rPr>
          <w:rFonts w:hint="eastAsia"/>
        </w:rPr>
        <w:t>消能减震、隔震建筑的结构布置应符合现行国家标准《建筑抗震设计规范》GB50011关于规则性相关规定。</w:t>
      </w:r>
    </w:p>
    <w:p>
      <w:pPr>
        <w:pStyle w:val="167"/>
      </w:pPr>
      <w:r>
        <w:rPr>
          <w:rFonts w:hint="eastAsia"/>
        </w:rPr>
        <w:t>非结构构件抗震设计应符合现行国家标准《建筑抗震设计规范》GB50011、《非结构构件抗震设计规范》JGJ339-2015关于非结构构件相关规定。</w:t>
      </w:r>
    </w:p>
    <w:p>
      <w:pPr>
        <w:pStyle w:val="167"/>
        <w:numPr>
          <w:ilvl w:val="0"/>
          <w:numId w:val="0"/>
        </w:numPr>
      </w:pPr>
    </w:p>
    <w:p>
      <w:pPr>
        <w:widowControl/>
        <w:adjustRightInd/>
        <w:spacing w:line="240" w:lineRule="auto"/>
        <w:jc w:val="left"/>
        <w:rPr>
          <w:rFonts w:ascii="宋体" w:hAnsi="Times New Roman"/>
          <w:kern w:val="0"/>
          <w:szCs w:val="20"/>
        </w:rPr>
      </w:pPr>
      <w:r>
        <w:br w:type="page"/>
      </w:r>
    </w:p>
    <w:p>
      <w:pPr>
        <w:pStyle w:val="106"/>
        <w:spacing w:before="312" w:after="312"/>
        <w:jc w:val="center"/>
      </w:pPr>
      <w:bookmarkStart w:id="39" w:name="_Toc92414094"/>
      <w:r>
        <w:rPr>
          <w:rFonts w:hint="eastAsia"/>
        </w:rPr>
        <w:t>地震作用与验算</w:t>
      </w:r>
      <w:bookmarkEnd w:id="39"/>
    </w:p>
    <w:p>
      <w:pPr>
        <w:pStyle w:val="107"/>
        <w:spacing w:before="156" w:after="156"/>
        <w:jc w:val="center"/>
      </w:pPr>
      <w:r>
        <w:rPr>
          <w:rFonts w:hint="eastAsia"/>
        </w:rPr>
        <w:t>一般规定</w:t>
      </w:r>
    </w:p>
    <w:p>
      <w:pPr>
        <w:pStyle w:val="167"/>
      </w:pPr>
      <w:r>
        <w:rPr>
          <w:rFonts w:hint="eastAsia"/>
        </w:rPr>
        <w:t>消能减震、隔震结构的地震作用，应符合下列规定：</w:t>
      </w:r>
    </w:p>
    <w:p>
      <w:pPr>
        <w:pStyle w:val="58"/>
        <w:ind w:firstLine="420"/>
      </w:pPr>
      <w:r>
        <w:rPr>
          <w:rFonts w:hint="eastAsia" w:ascii="黑体" w:hAnsi="黑体" w:eastAsia="黑体"/>
        </w:rPr>
        <w:t>1</w:t>
      </w:r>
      <w:r>
        <w:rPr>
          <w:rFonts w:ascii="黑体" w:hAnsi="黑体" w:eastAsia="黑体"/>
        </w:rPr>
        <w:t xml:space="preserve">  </w:t>
      </w:r>
      <w:r>
        <w:rPr>
          <w:rFonts w:hint="eastAsia"/>
        </w:rPr>
        <w:t>一般情况下，应至少在建筑结构的两个主轴方向分别计算水平地震作用，各方向的水平地震作用应由该方向抗侧力构件和消能部件共同承担。</w:t>
      </w:r>
    </w:p>
    <w:p>
      <w:pPr>
        <w:pStyle w:val="58"/>
        <w:ind w:firstLine="420"/>
      </w:pPr>
      <w:r>
        <w:rPr>
          <w:rFonts w:ascii="黑体" w:hAnsi="黑体" w:eastAsia="黑体"/>
        </w:rPr>
        <w:t xml:space="preserve">2 </w:t>
      </w:r>
      <w:r>
        <w:t xml:space="preserve"> </w:t>
      </w:r>
      <w:r>
        <w:rPr>
          <w:rFonts w:hint="eastAsia"/>
        </w:rPr>
        <w:t>有斜交抗侧力构件的结构，当相交角度大于15°时，应分别计算各抗侧力构件方向的水平地震作用。</w:t>
      </w:r>
    </w:p>
    <w:p>
      <w:pPr>
        <w:pStyle w:val="58"/>
        <w:ind w:firstLine="420"/>
        <w:rPr>
          <w:rFonts w:ascii="黑体" w:hAnsi="黑体" w:eastAsia="黑体"/>
        </w:rPr>
      </w:pPr>
      <w:r>
        <w:rPr>
          <w:rFonts w:hint="eastAsia" w:ascii="黑体" w:hAnsi="黑体" w:eastAsia="黑体"/>
        </w:rPr>
        <w:t>3</w:t>
      </w:r>
      <w:r>
        <w:rPr>
          <w:rFonts w:ascii="黑体" w:hAnsi="黑体" w:eastAsia="黑体"/>
        </w:rPr>
        <w:t xml:space="preserve">  </w:t>
      </w:r>
      <w:r>
        <w:rPr>
          <w:rFonts w:hint="eastAsia" w:ascii="Times New Roman"/>
          <w:szCs w:val="21"/>
        </w:rPr>
        <w:t>质量和刚度分布明显不对称的结构，应计入双向水平地震作用下的扭转影响；其它情况，应允许采用调整地震作用效应的方法计入扭转影响。</w:t>
      </w:r>
    </w:p>
    <w:p>
      <w:pPr>
        <w:pStyle w:val="58"/>
        <w:ind w:firstLine="420"/>
      </w:pPr>
      <w:r>
        <w:rPr>
          <w:rFonts w:ascii="黑体" w:hAnsi="黑体" w:eastAsia="黑体"/>
        </w:rPr>
        <w:t>4</w:t>
      </w:r>
      <w:r>
        <w:t xml:space="preserve">  </w:t>
      </w:r>
      <w:r>
        <w:rPr>
          <w:rFonts w:hint="eastAsia"/>
        </w:rPr>
        <w:t>8度和9度时的长悬臂或大跨度结构，及9度时的高层建筑结构，应计算竖向地震作用。</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4.1.1</w:t>
      </w:r>
      <w:r>
        <w:rPr>
          <w:rFonts w:hint="eastAsia" w:ascii="华文楷体" w:hAnsi="华文楷体" w:eastAsia="华文楷体" w:cs="华文楷体"/>
          <w:color w:val="0000FF"/>
          <w:szCs w:val="22"/>
        </w:rPr>
        <w:t>施加在建筑结构上的地震荷载实际上是由于地震地面运动引起的动态作用，包括地震加速度、速度以及动位移的作用，具有显著的动力属性。消能减震、隔震结构在地震作用下的响应除与地震动大小、频谱特性、作用方向以及持续时间有关外，还与结构抗侧力构件布置方式、质量与刚度分布情况、消能器的类别及空间分布形式、隔震装置的类别及布置形式以及自身的动力特性等因素有关。</w:t>
      </w:r>
    </w:p>
    <w:p>
      <w:pPr>
        <w:pStyle w:val="167"/>
      </w:pPr>
      <w:r>
        <w:rPr>
          <w:rFonts w:hint="eastAsia"/>
        </w:rPr>
        <w:t>计算地震作用时，建筑的重力荷载代表值应取结构和构配件自重标准值和各可变荷载组合值之和。各可变荷载的组合值系数，应按表4.1.2采用。</w:t>
      </w:r>
    </w:p>
    <w:p>
      <w:pPr>
        <w:pStyle w:val="114"/>
        <w:numPr>
          <w:ilvl w:val="0"/>
          <w:numId w:val="0"/>
        </w:numPr>
        <w:spacing w:before="156" w:after="156"/>
      </w:pPr>
      <w:r>
        <w:rPr>
          <w:rFonts w:hint="eastAsia"/>
        </w:rPr>
        <w:t>表4</w:t>
      </w:r>
      <w:r>
        <w:t xml:space="preserve">.1.2 </w:t>
      </w:r>
      <w:r>
        <w:rPr>
          <w:rFonts w:hint="eastAsia"/>
        </w:rPr>
        <w:t>组合值系数</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986"/>
        <w:gridCol w:w="3112"/>
        <w:gridCol w:w="10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5098" w:type="dxa"/>
            <w:gridSpan w:val="2"/>
            <w:tcBorders>
              <w:top w:val="single" w:color="auto" w:sz="8" w:space="0"/>
              <w:bottom w:val="single" w:color="auto" w:sz="8" w:space="0"/>
            </w:tcBorders>
            <w:shd w:val="clear" w:color="auto" w:fill="auto"/>
          </w:tcPr>
          <w:p>
            <w:pPr>
              <w:pStyle w:val="180"/>
            </w:pPr>
            <w:r>
              <w:rPr>
                <w:rFonts w:hint="eastAsia"/>
              </w:rPr>
              <w:t>可变荷载种类</w:t>
            </w:r>
          </w:p>
        </w:tc>
        <w:tc>
          <w:tcPr>
            <w:tcW w:w="1080" w:type="dxa"/>
            <w:tcBorders>
              <w:top w:val="single" w:color="auto" w:sz="8" w:space="0"/>
              <w:bottom w:val="single" w:color="auto" w:sz="8" w:space="0"/>
            </w:tcBorders>
            <w:shd w:val="clear" w:color="auto" w:fill="auto"/>
          </w:tcPr>
          <w:p>
            <w:pPr>
              <w:pStyle w:val="180"/>
            </w:pPr>
            <w:r>
              <w:rPr>
                <w:rFonts w:hint="eastAsia"/>
              </w:rPr>
              <w:t>组合值系数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8" w:type="dxa"/>
            <w:gridSpan w:val="2"/>
            <w:tcBorders>
              <w:top w:val="single" w:color="auto" w:sz="8" w:space="0"/>
            </w:tcBorders>
            <w:shd w:val="clear" w:color="auto" w:fill="auto"/>
          </w:tcPr>
          <w:p>
            <w:pPr>
              <w:pStyle w:val="180"/>
            </w:pPr>
            <w:r>
              <w:rPr>
                <w:rFonts w:hint="eastAsia"/>
              </w:rPr>
              <w:t>雪荷载</w:t>
            </w:r>
          </w:p>
        </w:tc>
        <w:tc>
          <w:tcPr>
            <w:tcW w:w="1080" w:type="dxa"/>
            <w:tcBorders>
              <w:top w:val="single" w:color="auto" w:sz="8" w:space="0"/>
            </w:tcBorders>
            <w:shd w:val="clear" w:color="auto" w:fill="auto"/>
          </w:tcPr>
          <w:p>
            <w:pPr>
              <w:pStyle w:val="180"/>
            </w:pPr>
            <w: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8" w:type="dxa"/>
            <w:gridSpan w:val="2"/>
            <w:shd w:val="clear" w:color="auto" w:fill="auto"/>
          </w:tcPr>
          <w:p>
            <w:pPr>
              <w:pStyle w:val="180"/>
            </w:pPr>
            <w:r>
              <w:rPr>
                <w:rFonts w:hint="eastAsia"/>
              </w:rPr>
              <w:t>屋面积灰荷载</w:t>
            </w:r>
          </w:p>
        </w:tc>
        <w:tc>
          <w:tcPr>
            <w:tcW w:w="1080" w:type="dxa"/>
            <w:shd w:val="clear" w:color="auto" w:fill="auto"/>
          </w:tcPr>
          <w:p>
            <w:pPr>
              <w:pStyle w:val="180"/>
            </w:pPr>
            <w: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8" w:type="dxa"/>
            <w:gridSpan w:val="2"/>
            <w:shd w:val="clear" w:color="auto" w:fill="auto"/>
          </w:tcPr>
          <w:p>
            <w:pPr>
              <w:pStyle w:val="180"/>
            </w:pPr>
            <w:r>
              <w:rPr>
                <w:rFonts w:hint="eastAsia"/>
              </w:rPr>
              <w:t>屋面活荷载</w:t>
            </w:r>
          </w:p>
        </w:tc>
        <w:tc>
          <w:tcPr>
            <w:tcW w:w="1080" w:type="dxa"/>
            <w:shd w:val="clear" w:color="auto" w:fill="auto"/>
          </w:tcPr>
          <w:p>
            <w:pPr>
              <w:pStyle w:val="180"/>
            </w:pPr>
            <w:r>
              <w:rPr>
                <w:rFonts w:hint="eastAsia"/>
              </w:rPr>
              <w:t>不计入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8" w:type="dxa"/>
            <w:gridSpan w:val="2"/>
            <w:shd w:val="clear" w:color="auto" w:fill="auto"/>
          </w:tcPr>
          <w:p>
            <w:pPr>
              <w:pStyle w:val="180"/>
            </w:pPr>
            <w:r>
              <w:rPr>
                <w:rFonts w:hint="eastAsia"/>
              </w:rPr>
              <w:t>按实际情况计算的楼面活荷载</w:t>
            </w:r>
          </w:p>
        </w:tc>
        <w:tc>
          <w:tcPr>
            <w:tcW w:w="1080" w:type="dxa"/>
            <w:shd w:val="clear" w:color="auto" w:fill="auto"/>
          </w:tcPr>
          <w:p>
            <w:pPr>
              <w:pStyle w:val="180"/>
            </w:pPr>
            <w: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986" w:type="dxa"/>
            <w:vMerge w:val="restart"/>
            <w:shd w:val="clear" w:color="auto" w:fill="auto"/>
            <w:vAlign w:val="center"/>
          </w:tcPr>
          <w:p>
            <w:pPr>
              <w:pStyle w:val="180"/>
            </w:pPr>
            <w:r>
              <w:rPr>
                <w:rFonts w:hint="eastAsia"/>
              </w:rPr>
              <w:t>按等效均布荷载计</w:t>
            </w:r>
          </w:p>
          <w:p>
            <w:pPr>
              <w:pStyle w:val="180"/>
            </w:pPr>
            <w:r>
              <w:rPr>
                <w:rFonts w:hint="eastAsia"/>
              </w:rPr>
              <w:t>算的楼面活荷载</w:t>
            </w:r>
          </w:p>
        </w:tc>
        <w:tc>
          <w:tcPr>
            <w:tcW w:w="3112" w:type="dxa"/>
            <w:shd w:val="clear" w:color="auto" w:fill="auto"/>
          </w:tcPr>
          <w:p>
            <w:pPr>
              <w:pStyle w:val="180"/>
            </w:pPr>
            <w:r>
              <w:rPr>
                <w:rFonts w:hint="eastAsia"/>
              </w:rPr>
              <w:t>藏书库、档案库</w:t>
            </w:r>
          </w:p>
        </w:tc>
        <w:tc>
          <w:tcPr>
            <w:tcW w:w="1080" w:type="dxa"/>
            <w:shd w:val="clear" w:color="auto" w:fill="auto"/>
          </w:tcPr>
          <w:p>
            <w:pPr>
              <w:pStyle w:val="180"/>
            </w:pPr>
            <w: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986" w:type="dxa"/>
            <w:vMerge w:val="continue"/>
            <w:shd w:val="clear" w:color="auto" w:fill="auto"/>
            <w:vAlign w:val="center"/>
          </w:tcPr>
          <w:p>
            <w:pPr>
              <w:pStyle w:val="180"/>
            </w:pPr>
          </w:p>
        </w:tc>
        <w:tc>
          <w:tcPr>
            <w:tcW w:w="3112" w:type="dxa"/>
            <w:shd w:val="clear" w:color="auto" w:fill="auto"/>
          </w:tcPr>
          <w:p>
            <w:pPr>
              <w:pStyle w:val="180"/>
            </w:pPr>
            <w:r>
              <w:rPr>
                <w:rFonts w:hint="eastAsia"/>
              </w:rPr>
              <w:t>其它民用建筑</w:t>
            </w:r>
          </w:p>
        </w:tc>
        <w:tc>
          <w:tcPr>
            <w:tcW w:w="1080" w:type="dxa"/>
            <w:shd w:val="clear" w:color="auto" w:fill="auto"/>
          </w:tcPr>
          <w:p>
            <w:pPr>
              <w:pStyle w:val="180"/>
            </w:pPr>
            <w: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986" w:type="dxa"/>
            <w:vMerge w:val="restart"/>
            <w:shd w:val="clear" w:color="auto" w:fill="auto"/>
            <w:vAlign w:val="center"/>
          </w:tcPr>
          <w:p>
            <w:pPr>
              <w:pStyle w:val="180"/>
            </w:pPr>
            <w:r>
              <w:rPr>
                <w:rFonts w:hint="eastAsia"/>
              </w:rPr>
              <w:t>起重机悬吊物重力</w:t>
            </w:r>
          </w:p>
        </w:tc>
        <w:tc>
          <w:tcPr>
            <w:tcW w:w="3112" w:type="dxa"/>
            <w:shd w:val="clear" w:color="auto" w:fill="auto"/>
          </w:tcPr>
          <w:p>
            <w:pPr>
              <w:pStyle w:val="180"/>
            </w:pPr>
            <w:r>
              <w:rPr>
                <w:rFonts w:hint="eastAsia"/>
              </w:rPr>
              <w:t>硬钩吊车</w:t>
            </w:r>
          </w:p>
        </w:tc>
        <w:tc>
          <w:tcPr>
            <w:tcW w:w="1080" w:type="dxa"/>
            <w:shd w:val="clear" w:color="auto" w:fill="auto"/>
          </w:tcPr>
          <w:p>
            <w:pPr>
              <w:pStyle w:val="180"/>
            </w:pPr>
            <w: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986" w:type="dxa"/>
            <w:vMerge w:val="continue"/>
            <w:tcBorders>
              <w:bottom w:val="single" w:color="auto" w:sz="8" w:space="0"/>
            </w:tcBorders>
            <w:shd w:val="clear" w:color="auto" w:fill="auto"/>
            <w:vAlign w:val="center"/>
          </w:tcPr>
          <w:p>
            <w:pPr>
              <w:pStyle w:val="180"/>
            </w:pPr>
          </w:p>
        </w:tc>
        <w:tc>
          <w:tcPr>
            <w:tcW w:w="3112" w:type="dxa"/>
            <w:tcBorders>
              <w:bottom w:val="single" w:color="auto" w:sz="8" w:space="0"/>
            </w:tcBorders>
            <w:shd w:val="clear" w:color="auto" w:fill="auto"/>
          </w:tcPr>
          <w:p>
            <w:pPr>
              <w:pStyle w:val="180"/>
            </w:pPr>
            <w:r>
              <w:rPr>
                <w:rFonts w:hint="eastAsia"/>
              </w:rPr>
              <w:t>软钩吊车</w:t>
            </w:r>
          </w:p>
        </w:tc>
        <w:tc>
          <w:tcPr>
            <w:tcW w:w="1080" w:type="dxa"/>
            <w:tcBorders>
              <w:bottom w:val="single" w:color="auto" w:sz="8" w:space="0"/>
            </w:tcBorders>
            <w:shd w:val="clear" w:color="auto" w:fill="auto"/>
          </w:tcPr>
          <w:p>
            <w:pPr>
              <w:pStyle w:val="180"/>
            </w:pPr>
            <w:r>
              <w:rPr>
                <w:rFonts w:hint="eastAsia"/>
              </w:rPr>
              <w:t>不计入</w:t>
            </w:r>
          </w:p>
        </w:tc>
      </w:tr>
    </w:tbl>
    <w:p>
      <w:pPr>
        <w:pStyle w:val="167"/>
        <w:numPr>
          <w:ilvl w:val="0"/>
          <w:numId w:val="0"/>
        </w:numPr>
        <w:ind w:firstLine="1260" w:firstLineChars="700"/>
        <w:rPr>
          <w:rFonts w:ascii="Times New Roman"/>
          <w:sz w:val="18"/>
        </w:rPr>
      </w:pPr>
      <w:r>
        <w:rPr>
          <w:rFonts w:hint="eastAsia" w:ascii="Times New Roman"/>
          <w:sz w:val="18"/>
        </w:rPr>
        <w:t>注：硬钩吊车的吊重较大时，组合值系数应按实际情况采用。</w:t>
      </w:r>
    </w:p>
    <w:p>
      <w:pPr>
        <w:pStyle w:val="167"/>
      </w:pPr>
      <w:r>
        <w:rPr>
          <w:rFonts w:hint="eastAsia"/>
        </w:rPr>
        <w:t>消能减震、隔震结构的地震作用效应计算，应采用下列方法：</w:t>
      </w:r>
    </w:p>
    <w:p>
      <w:pPr>
        <w:pStyle w:val="58"/>
        <w:ind w:firstLine="420"/>
      </w:pPr>
      <w:r>
        <w:rPr>
          <w:rFonts w:hint="eastAsia" w:ascii="黑体" w:hAnsi="黑体" w:eastAsia="黑体"/>
        </w:rPr>
        <w:t xml:space="preserve">1 </w:t>
      </w:r>
      <w:r>
        <w:t xml:space="preserve"> </w:t>
      </w:r>
      <w:r>
        <w:rPr>
          <w:rFonts w:hint="eastAsia"/>
        </w:rPr>
        <w:t>计算模型应包括隔震支座、消能部件的力学参数，宜采用空间结构有限元模型。</w:t>
      </w:r>
    </w:p>
    <w:p>
      <w:pPr>
        <w:pStyle w:val="58"/>
        <w:ind w:firstLine="420"/>
      </w:pPr>
      <w:r>
        <w:rPr>
          <w:rFonts w:ascii="黑体" w:hAnsi="黑体" w:eastAsia="黑体"/>
        </w:rPr>
        <w:t>2</w:t>
      </w:r>
      <w:r>
        <w:rPr>
          <w:rFonts w:hint="eastAsia"/>
        </w:rPr>
        <w:t xml:space="preserve">  当结构主体结构处于弹性工作状态，且隔震支座、消能器处于线性工作状态时，可采用振型分解反应谱法、弹性时程分析法。</w:t>
      </w:r>
    </w:p>
    <w:p>
      <w:pPr>
        <w:pStyle w:val="58"/>
        <w:ind w:firstLine="420"/>
      </w:pPr>
      <w:r>
        <w:rPr>
          <w:rFonts w:hint="eastAsia" w:ascii="黑体" w:hAnsi="黑体" w:eastAsia="黑体"/>
        </w:rPr>
        <w:t>3</w:t>
      </w:r>
      <w:r>
        <w:rPr>
          <w:rFonts w:ascii="黑体" w:hAnsi="黑体" w:eastAsia="黑体"/>
        </w:rPr>
        <w:t xml:space="preserve">  </w:t>
      </w:r>
      <w:r>
        <w:rPr>
          <w:rFonts w:hint="eastAsia"/>
        </w:rPr>
        <w:t>当结构主体结构处于弹性工作状态，且隔震支座、消能器处于非线性工作状态时，可将隔震支座、消能器进行等效线性化，采用附加有效阻尼比和有效刚度的振型分解反应谱法、弹性时程分析法；也可采用非线性时程分析法。</w:t>
      </w:r>
    </w:p>
    <w:p>
      <w:pPr>
        <w:pStyle w:val="58"/>
        <w:ind w:firstLine="420"/>
      </w:pPr>
      <w:r>
        <w:rPr>
          <w:rFonts w:ascii="黑体" w:hAnsi="黑体" w:eastAsia="黑体"/>
        </w:rPr>
        <w:t xml:space="preserve">4  </w:t>
      </w:r>
      <w:r>
        <w:rPr>
          <w:rFonts w:hint="eastAsia"/>
        </w:rPr>
        <w:t>当主体结构进人弹塑性状态时，</w:t>
      </w:r>
      <w:r>
        <w:rPr>
          <w:rFonts w:hint="eastAsia"/>
          <w:color w:val="FF0000"/>
        </w:rPr>
        <w:t>应采用弹塑性分析方法，宜采用弹塑性时程分析方法。</w:t>
      </w:r>
    </w:p>
    <w:p>
      <w:pPr>
        <w:adjustRightInd/>
        <w:spacing w:line="240" w:lineRule="auto"/>
        <w:rPr>
          <w:rFonts w:ascii="华文楷体" w:hAnsi="华文楷体" w:eastAsia="华文楷体" w:cs="华文楷体"/>
          <w:color w:val="FF0000"/>
          <w:szCs w:val="22"/>
        </w:rPr>
      </w:pPr>
      <w:r>
        <w:rPr>
          <w:rFonts w:hint="eastAsia" w:ascii="华文楷体" w:hAnsi="华文楷体" w:eastAsia="华文楷体" w:cs="华文楷体"/>
          <w:color w:val="FF0000"/>
          <w:szCs w:val="22"/>
        </w:rPr>
        <w:t>条文说明</w:t>
      </w:r>
      <w:r>
        <w:rPr>
          <w:rFonts w:ascii="华文楷体" w:hAnsi="华文楷体" w:eastAsia="华文楷体" w:cs="华文楷体"/>
          <w:color w:val="FF0000"/>
          <w:szCs w:val="22"/>
        </w:rPr>
        <w:t>4.1.3</w:t>
      </w:r>
      <w:r>
        <w:rPr>
          <w:rFonts w:hint="eastAsia" w:ascii="华文楷体" w:hAnsi="华文楷体" w:eastAsia="华文楷体" w:cs="华文楷体"/>
          <w:color w:val="FF0000"/>
          <w:szCs w:val="22"/>
        </w:rPr>
        <w:t>消能减震、隔震结构的地震作用计算应按地震输入强度等级不同，充分考虑消能部件、隔震装置的工作状态选择合适的分析方法。当主体结构进入弹塑性状态时，应采用弹塑性分析方法。弹塑性分析方法分为：静力弹塑性分析方法和弹塑性时程分析方法。其中静力弹塑性分析方法受其基本理论的限制条件，该分析方法仅适用于设置位移相关型消能器的消能减震结构。其相关要求如下：</w:t>
      </w:r>
    </w:p>
    <w:p>
      <w:pPr>
        <w:adjustRightInd/>
        <w:spacing w:line="240" w:lineRule="auto"/>
        <w:rPr>
          <w:rFonts w:ascii="华文楷体" w:hAnsi="华文楷体" w:eastAsia="华文楷体" w:cs="华文楷体"/>
          <w:color w:val="FF0000"/>
          <w:szCs w:val="22"/>
        </w:rPr>
      </w:pPr>
      <w:r>
        <w:rPr>
          <w:rFonts w:hint="eastAsia" w:ascii="华文楷体" w:hAnsi="华文楷体" w:eastAsia="华文楷体" w:cs="华文楷体"/>
          <w:color w:val="FF0000"/>
          <w:szCs w:val="22"/>
        </w:rPr>
        <w:t>基本假定：</w:t>
      </w:r>
    </w:p>
    <w:p>
      <w:pPr>
        <w:adjustRightInd/>
        <w:spacing w:line="240" w:lineRule="auto"/>
        <w:rPr>
          <w:rFonts w:ascii="华文楷体" w:hAnsi="华文楷体" w:eastAsia="华文楷体" w:cs="华文楷体"/>
          <w:color w:val="FF0000"/>
          <w:szCs w:val="22"/>
        </w:rPr>
      </w:pPr>
      <w:r>
        <w:rPr>
          <w:rFonts w:ascii="华文楷体" w:hAnsi="华文楷体" w:eastAsia="华文楷体" w:cs="华文楷体"/>
          <w:color w:val="FF0000"/>
          <w:szCs w:val="22"/>
        </w:rPr>
        <w:t>1</w:t>
      </w:r>
      <w:r>
        <w:rPr>
          <w:rFonts w:hint="eastAsia" w:ascii="华文楷体" w:hAnsi="华文楷体" w:eastAsia="华文楷体" w:cs="华文楷体"/>
          <w:color w:val="FF0000"/>
          <w:szCs w:val="22"/>
        </w:rPr>
        <w:t>）实际结构的地震反应与某一等效单自由度体系的反应相关。该假定表明结构的地震反应由某一阵型起主要控制作用（一般认为是结构第一振型），其它振型的影响可以忽略。</w:t>
      </w:r>
    </w:p>
    <w:p>
      <w:pPr>
        <w:adjustRightInd/>
        <w:spacing w:line="240" w:lineRule="auto"/>
        <w:rPr>
          <w:rFonts w:ascii="华文楷体" w:hAnsi="华文楷体" w:eastAsia="华文楷体" w:cs="华文楷体"/>
          <w:color w:val="FF0000"/>
          <w:szCs w:val="22"/>
        </w:rPr>
      </w:pPr>
      <w:r>
        <w:rPr>
          <w:rFonts w:ascii="华文楷体" w:hAnsi="华文楷体" w:eastAsia="华文楷体" w:cs="华文楷体"/>
          <w:color w:val="FF0000"/>
          <w:szCs w:val="22"/>
        </w:rPr>
        <w:t>2</w:t>
      </w:r>
      <w:r>
        <w:rPr>
          <w:rFonts w:hint="eastAsia" w:ascii="华文楷体" w:hAnsi="华文楷体" w:eastAsia="华文楷体" w:cs="华文楷体"/>
          <w:color w:val="FF0000"/>
          <w:szCs w:val="22"/>
        </w:rPr>
        <w:t>）地震过程中，不论结构变形大小，分析所假定的结构沿高度方向的形状向量都保持不变。</w:t>
      </w:r>
    </w:p>
    <w:p>
      <w:pPr>
        <w:adjustRightInd/>
        <w:spacing w:line="240" w:lineRule="auto"/>
        <w:rPr>
          <w:rFonts w:ascii="华文楷体" w:hAnsi="华文楷体" w:eastAsia="华文楷体" w:cs="华文楷体"/>
          <w:color w:val="FF0000"/>
          <w:szCs w:val="22"/>
        </w:rPr>
      </w:pPr>
      <w:r>
        <w:rPr>
          <w:rFonts w:hint="eastAsia" w:ascii="华文楷体" w:hAnsi="华文楷体" w:eastAsia="华文楷体" w:cs="华文楷体"/>
          <w:color w:val="FF0000"/>
          <w:szCs w:val="22"/>
        </w:rPr>
        <w:t>适用范围：</w:t>
      </w:r>
    </w:p>
    <w:p>
      <w:pPr>
        <w:adjustRightInd/>
        <w:spacing w:line="240" w:lineRule="auto"/>
        <w:rPr>
          <w:rFonts w:ascii="华文楷体" w:hAnsi="华文楷体" w:eastAsia="华文楷体" w:cs="华文楷体"/>
          <w:color w:val="FF0000"/>
          <w:szCs w:val="22"/>
        </w:rPr>
      </w:pPr>
      <w:r>
        <w:rPr>
          <w:rFonts w:hint="eastAsia" w:ascii="华文楷体" w:hAnsi="华文楷体" w:eastAsia="华文楷体" w:cs="华文楷体"/>
          <w:color w:val="FF0000"/>
          <w:szCs w:val="22"/>
        </w:rPr>
        <w:t>高阶振型效应不明显（判定方法）</w:t>
      </w:r>
    </w:p>
    <w:p>
      <w:pPr>
        <w:adjustRightInd/>
        <w:spacing w:line="240" w:lineRule="auto"/>
        <w:rPr>
          <w:rFonts w:ascii="华文楷体" w:hAnsi="华文楷体" w:eastAsia="华文楷体" w:cs="华文楷体"/>
          <w:color w:val="FF0000"/>
          <w:szCs w:val="22"/>
        </w:rPr>
      </w:pPr>
      <w:r>
        <w:rPr>
          <w:rFonts w:ascii="华文楷体" w:hAnsi="华文楷体" w:eastAsia="华文楷体" w:cs="华文楷体"/>
          <w:color w:val="FF0000"/>
          <w:szCs w:val="22"/>
        </w:rPr>
        <w:t>1</w:t>
      </w:r>
      <w:r>
        <w:rPr>
          <w:rFonts w:hint="eastAsia" w:ascii="华文楷体" w:hAnsi="华文楷体" w:eastAsia="华文楷体" w:cs="华文楷体"/>
          <w:color w:val="FF0000"/>
          <w:szCs w:val="22"/>
        </w:rPr>
        <w:t>）</w:t>
      </w:r>
      <w:r>
        <w:rPr>
          <w:rFonts w:ascii="华文楷体" w:hAnsi="华文楷体" w:eastAsia="华文楷体" w:cs="华文楷体"/>
          <w:color w:val="FF0000"/>
          <w:szCs w:val="22"/>
        </w:rPr>
        <w:tab/>
      </w:r>
      <w:r>
        <w:rPr>
          <w:rFonts w:hint="eastAsia" w:ascii="华文楷体" w:hAnsi="华文楷体" w:eastAsia="华文楷体" w:cs="华文楷体"/>
          <w:color w:val="FF0000"/>
          <w:szCs w:val="22"/>
        </w:rPr>
        <w:t>模型</w:t>
      </w:r>
      <w:r>
        <w:rPr>
          <w:rFonts w:ascii="华文楷体" w:hAnsi="华文楷体" w:eastAsia="华文楷体" w:cs="华文楷体"/>
          <w:color w:val="FF0000"/>
          <w:szCs w:val="22"/>
        </w:rPr>
        <w:t>1</w:t>
      </w:r>
      <w:r>
        <w:rPr>
          <w:rFonts w:hint="eastAsia" w:ascii="华文楷体" w:hAnsi="华文楷体" w:eastAsia="华文楷体" w:cs="华文楷体"/>
          <w:color w:val="FF0000"/>
          <w:szCs w:val="22"/>
        </w:rPr>
        <w:t>（模态分析质量参与系数达到</w:t>
      </w:r>
      <w:r>
        <w:rPr>
          <w:rFonts w:ascii="华文楷体" w:hAnsi="华文楷体" w:eastAsia="华文楷体" w:cs="华文楷体"/>
          <w:color w:val="FF0000"/>
          <w:szCs w:val="22"/>
        </w:rPr>
        <w:t>90%</w:t>
      </w:r>
      <w:r>
        <w:rPr>
          <w:rFonts w:hint="eastAsia" w:ascii="华文楷体" w:hAnsi="华文楷体" w:eastAsia="华文楷体" w:cs="华文楷体"/>
          <w:color w:val="FF0000"/>
          <w:szCs w:val="22"/>
        </w:rPr>
        <w:t>）</w:t>
      </w:r>
    </w:p>
    <w:p>
      <w:pPr>
        <w:adjustRightInd/>
        <w:spacing w:line="240" w:lineRule="auto"/>
        <w:rPr>
          <w:rFonts w:ascii="华文楷体" w:hAnsi="华文楷体" w:eastAsia="华文楷体" w:cs="华文楷体"/>
          <w:color w:val="FF0000"/>
          <w:szCs w:val="22"/>
        </w:rPr>
      </w:pPr>
      <w:r>
        <w:rPr>
          <w:rFonts w:ascii="华文楷体" w:hAnsi="华文楷体" w:eastAsia="华文楷体" w:cs="华文楷体"/>
          <w:color w:val="FF0000"/>
          <w:szCs w:val="22"/>
        </w:rPr>
        <w:t>2</w:t>
      </w:r>
      <w:r>
        <w:rPr>
          <w:rFonts w:hint="eastAsia" w:ascii="华文楷体" w:hAnsi="华文楷体" w:eastAsia="华文楷体" w:cs="华文楷体"/>
          <w:color w:val="FF0000"/>
          <w:szCs w:val="22"/>
        </w:rPr>
        <w:t>）</w:t>
      </w:r>
      <w:r>
        <w:rPr>
          <w:rFonts w:ascii="华文楷体" w:hAnsi="华文楷体" w:eastAsia="华文楷体" w:cs="华文楷体"/>
          <w:color w:val="FF0000"/>
          <w:szCs w:val="22"/>
        </w:rPr>
        <w:tab/>
      </w:r>
      <w:r>
        <w:rPr>
          <w:rFonts w:hint="eastAsia" w:ascii="华文楷体" w:hAnsi="华文楷体" w:eastAsia="华文楷体" w:cs="华文楷体"/>
          <w:color w:val="FF0000"/>
          <w:szCs w:val="22"/>
        </w:rPr>
        <w:t>模型</w:t>
      </w:r>
      <w:r>
        <w:rPr>
          <w:rFonts w:ascii="华文楷体" w:hAnsi="华文楷体" w:eastAsia="华文楷体" w:cs="华文楷体"/>
          <w:color w:val="FF0000"/>
          <w:szCs w:val="22"/>
        </w:rPr>
        <w:t>2</w:t>
      </w:r>
      <w:r>
        <w:rPr>
          <w:rFonts w:hint="eastAsia" w:ascii="华文楷体" w:hAnsi="华文楷体" w:eastAsia="华文楷体" w:cs="华文楷体"/>
          <w:color w:val="FF0000"/>
          <w:szCs w:val="22"/>
        </w:rPr>
        <w:t>（模态分析只求解第一阵型）</w:t>
      </w:r>
    </w:p>
    <w:p>
      <w:pPr>
        <w:adjustRightInd/>
        <w:spacing w:line="240" w:lineRule="auto"/>
        <w:rPr>
          <w:rFonts w:ascii="华文楷体" w:hAnsi="华文楷体" w:eastAsia="华文楷体" w:cs="华文楷体"/>
          <w:color w:val="FF0000"/>
          <w:szCs w:val="22"/>
        </w:rPr>
      </w:pPr>
      <w:r>
        <w:rPr>
          <w:rFonts w:ascii="华文楷体" w:hAnsi="华文楷体" w:eastAsia="华文楷体" w:cs="华文楷体"/>
          <w:color w:val="FF0000"/>
          <w:szCs w:val="22"/>
        </w:rPr>
        <w:t>3</w:t>
      </w:r>
      <w:r>
        <w:rPr>
          <w:rFonts w:hint="eastAsia" w:ascii="华文楷体" w:hAnsi="华文楷体" w:eastAsia="华文楷体" w:cs="华文楷体"/>
          <w:color w:val="FF0000"/>
          <w:szCs w:val="22"/>
        </w:rPr>
        <w:t>）</w:t>
      </w:r>
      <w:r>
        <w:rPr>
          <w:rFonts w:ascii="华文楷体" w:hAnsi="华文楷体" w:eastAsia="华文楷体" w:cs="华文楷体"/>
          <w:color w:val="FF0000"/>
          <w:szCs w:val="22"/>
        </w:rPr>
        <w:tab/>
      </w:r>
      <w:r>
        <w:rPr>
          <w:rFonts w:hint="eastAsia" w:ascii="华文楷体" w:hAnsi="华文楷体" w:eastAsia="华文楷体" w:cs="华文楷体"/>
          <w:color w:val="FF0000"/>
          <w:szCs w:val="22"/>
        </w:rPr>
        <w:t>反应谱地震荷载（模态</w:t>
      </w:r>
      <w:r>
        <w:rPr>
          <w:rFonts w:ascii="华文楷体" w:hAnsi="华文楷体" w:eastAsia="华文楷体" w:cs="华文楷体"/>
          <w:color w:val="FF0000"/>
          <w:szCs w:val="22"/>
        </w:rPr>
        <w:t>1</w:t>
      </w:r>
      <w:r>
        <w:rPr>
          <w:rFonts w:hint="eastAsia" w:ascii="华文楷体" w:hAnsi="华文楷体" w:eastAsia="华文楷体" w:cs="华文楷体"/>
          <w:color w:val="FF0000"/>
          <w:szCs w:val="22"/>
        </w:rPr>
        <w:t>结果不大于</w:t>
      </w:r>
      <w:r>
        <w:rPr>
          <w:rFonts w:ascii="华文楷体" w:hAnsi="华文楷体" w:eastAsia="华文楷体" w:cs="华文楷体"/>
          <w:color w:val="FF0000"/>
          <w:szCs w:val="22"/>
        </w:rPr>
        <w:t>1.3</w:t>
      </w:r>
      <w:r>
        <w:rPr>
          <w:rFonts w:hint="eastAsia" w:ascii="华文楷体" w:hAnsi="华文楷体" w:eastAsia="华文楷体" w:cs="华文楷体"/>
          <w:color w:val="FF0000"/>
          <w:szCs w:val="22"/>
        </w:rPr>
        <w:t>倍模型</w:t>
      </w:r>
      <w:r>
        <w:rPr>
          <w:rFonts w:ascii="华文楷体" w:hAnsi="华文楷体" w:eastAsia="华文楷体" w:cs="华文楷体"/>
          <w:color w:val="FF0000"/>
          <w:szCs w:val="22"/>
        </w:rPr>
        <w:t>2</w:t>
      </w:r>
      <w:r>
        <w:rPr>
          <w:rFonts w:hint="eastAsia" w:ascii="华文楷体" w:hAnsi="华文楷体" w:eastAsia="华文楷体" w:cs="华文楷体"/>
          <w:color w:val="FF0000"/>
          <w:szCs w:val="22"/>
        </w:rPr>
        <w:t>结果，则为高阶振型效应不明显）</w:t>
      </w:r>
    </w:p>
    <w:p>
      <w:pPr>
        <w:pStyle w:val="167"/>
      </w:pPr>
      <w:r>
        <w:rPr>
          <w:rFonts w:hint="eastAsia"/>
        </w:rPr>
        <w:t>采用时程分析法时，当取3 组加速度时程曲线输入时，计算结果宜取时程分析法包络值和振型分解反应谱法的较大值；当取7 组及以上的时程曲线时，计算结果可取时程分析法的平均值和振型分解反应谱法的较大值。</w:t>
      </w:r>
    </w:p>
    <w:p>
      <w:pPr>
        <w:pStyle w:val="167"/>
      </w:pPr>
      <w:r>
        <w:rPr>
          <w:rFonts w:hint="eastAsia"/>
        </w:rPr>
        <w:t>实际强震记录和人工模拟的加速度时程曲线应按建筑场地类别和设计地震分组选选取和合成。其中实际强震记录地震动加速度时程曲线在对应于结构主要振型对应周期点附近时，每条实际强震记录对应的反应谱与设计反应谱的谱值最大偏差不应超过20%；所合成的人工模拟加速度时程曲线对应的反应谱与设计反应谱在对应于结构各周期点的偏差平均值不宜大于5%，最大偏差不宜大于10%。其加速度时程的最大值可按表4.1.5采用。</w:t>
      </w:r>
    </w:p>
    <w:p>
      <w:pPr>
        <w:pStyle w:val="114"/>
        <w:numPr>
          <w:ilvl w:val="0"/>
          <w:numId w:val="0"/>
        </w:numPr>
        <w:spacing w:before="156" w:after="156"/>
      </w:pPr>
      <w:r>
        <w:rPr>
          <w:rFonts w:hint="eastAsia"/>
        </w:rPr>
        <w:t>表4.1.5  时程分析所用地震加速度时程的最大值（cm/s</w:t>
      </w:r>
      <w:r>
        <w:rPr>
          <w:rFonts w:hint="eastAsia"/>
          <w:vertAlign w:val="superscript"/>
        </w:rPr>
        <w:t>2</w:t>
      </w:r>
      <w:r>
        <w:rPr>
          <w:rFonts w:hint="eastAsia"/>
        </w:rPr>
        <w:t>）</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77"/>
        <w:gridCol w:w="840"/>
        <w:gridCol w:w="850"/>
        <w:gridCol w:w="851"/>
        <w:gridCol w:w="708"/>
        <w:gridCol w:w="7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277" w:type="dxa"/>
            <w:vMerge w:val="restart"/>
            <w:tcBorders>
              <w:top w:val="single" w:color="auto" w:sz="8" w:space="0"/>
            </w:tcBorders>
            <w:shd w:val="clear" w:color="auto" w:fill="auto"/>
            <w:vAlign w:val="center"/>
          </w:tcPr>
          <w:p>
            <w:pPr>
              <w:pStyle w:val="180"/>
            </w:pPr>
            <w:r>
              <w:rPr>
                <w:rFonts w:hint="eastAsia"/>
              </w:rPr>
              <w:t>地震影响</w:t>
            </w:r>
          </w:p>
        </w:tc>
        <w:tc>
          <w:tcPr>
            <w:tcW w:w="1690" w:type="dxa"/>
            <w:gridSpan w:val="2"/>
            <w:tcBorders>
              <w:top w:val="single" w:color="auto" w:sz="8" w:space="0"/>
              <w:bottom w:val="single" w:color="auto" w:sz="8" w:space="0"/>
            </w:tcBorders>
            <w:shd w:val="clear" w:color="auto" w:fill="auto"/>
          </w:tcPr>
          <w:p>
            <w:pPr>
              <w:pStyle w:val="180"/>
            </w:pPr>
            <w:r>
              <w:rPr>
                <w:rFonts w:hint="eastAsia"/>
              </w:rPr>
              <w:t>7度</w:t>
            </w:r>
          </w:p>
        </w:tc>
        <w:tc>
          <w:tcPr>
            <w:tcW w:w="1559" w:type="dxa"/>
            <w:gridSpan w:val="2"/>
            <w:tcBorders>
              <w:top w:val="single" w:color="auto" w:sz="8" w:space="0"/>
              <w:bottom w:val="single" w:color="auto" w:sz="8" w:space="0"/>
            </w:tcBorders>
            <w:shd w:val="clear" w:color="auto" w:fill="auto"/>
          </w:tcPr>
          <w:p>
            <w:pPr>
              <w:pStyle w:val="180"/>
            </w:pPr>
            <w:r>
              <w:rPr>
                <w:rFonts w:hint="eastAsia"/>
              </w:rPr>
              <w:t>8度</w:t>
            </w:r>
          </w:p>
        </w:tc>
        <w:tc>
          <w:tcPr>
            <w:tcW w:w="709" w:type="dxa"/>
            <w:vMerge w:val="restart"/>
            <w:tcBorders>
              <w:top w:val="single" w:color="auto" w:sz="8" w:space="0"/>
            </w:tcBorders>
            <w:shd w:val="clear" w:color="auto" w:fill="auto"/>
            <w:vAlign w:val="center"/>
          </w:tcPr>
          <w:p>
            <w:pPr>
              <w:pStyle w:val="180"/>
            </w:pPr>
            <w:r>
              <w:rPr>
                <w:rFonts w:hint="eastAsia"/>
              </w:rPr>
              <w:t>9度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77" w:type="dxa"/>
            <w:vMerge w:val="continue"/>
            <w:shd w:val="clear" w:color="auto" w:fill="auto"/>
            <w:vAlign w:val="center"/>
          </w:tcPr>
          <w:p>
            <w:pPr>
              <w:pStyle w:val="180"/>
            </w:pPr>
          </w:p>
        </w:tc>
        <w:tc>
          <w:tcPr>
            <w:tcW w:w="840" w:type="dxa"/>
            <w:tcBorders>
              <w:top w:val="single" w:color="auto" w:sz="8" w:space="0"/>
            </w:tcBorders>
            <w:shd w:val="clear" w:color="auto" w:fill="auto"/>
          </w:tcPr>
          <w:p>
            <w:pPr>
              <w:pStyle w:val="180"/>
            </w:pPr>
            <w:r>
              <w:t>0.10g</w:t>
            </w:r>
          </w:p>
        </w:tc>
        <w:tc>
          <w:tcPr>
            <w:tcW w:w="850" w:type="dxa"/>
            <w:tcBorders>
              <w:top w:val="single" w:color="auto" w:sz="8" w:space="0"/>
            </w:tcBorders>
            <w:shd w:val="clear" w:color="auto" w:fill="auto"/>
          </w:tcPr>
          <w:p>
            <w:pPr>
              <w:pStyle w:val="180"/>
            </w:pPr>
            <w:r>
              <w:t>0.15g</w:t>
            </w:r>
          </w:p>
        </w:tc>
        <w:tc>
          <w:tcPr>
            <w:tcW w:w="851" w:type="dxa"/>
            <w:tcBorders>
              <w:top w:val="single" w:color="auto" w:sz="8" w:space="0"/>
            </w:tcBorders>
            <w:shd w:val="clear" w:color="auto" w:fill="auto"/>
          </w:tcPr>
          <w:p>
            <w:pPr>
              <w:pStyle w:val="180"/>
            </w:pPr>
            <w:r>
              <w:t>0.20g</w:t>
            </w:r>
          </w:p>
        </w:tc>
        <w:tc>
          <w:tcPr>
            <w:tcW w:w="708" w:type="dxa"/>
            <w:tcBorders>
              <w:top w:val="single" w:color="auto" w:sz="8" w:space="0"/>
            </w:tcBorders>
            <w:shd w:val="clear" w:color="auto" w:fill="auto"/>
          </w:tcPr>
          <w:p>
            <w:pPr>
              <w:pStyle w:val="180"/>
            </w:pPr>
            <w:r>
              <w:t>0.30g</w:t>
            </w:r>
          </w:p>
        </w:tc>
        <w:tc>
          <w:tcPr>
            <w:tcW w:w="709" w:type="dxa"/>
            <w:vMerge w:val="continue"/>
            <w:shd w:val="clear" w:color="auto" w:fill="auto"/>
            <w:vAlign w:val="center"/>
          </w:tcPr>
          <w:p>
            <w:pPr>
              <w:pStyle w:val="1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77" w:type="dxa"/>
            <w:shd w:val="clear" w:color="auto" w:fill="auto"/>
            <w:vAlign w:val="center"/>
          </w:tcPr>
          <w:p>
            <w:pPr>
              <w:pStyle w:val="180"/>
            </w:pPr>
            <w:r>
              <w:rPr>
                <w:rFonts w:hint="eastAsia"/>
              </w:rPr>
              <w:t>多遇地震</w:t>
            </w:r>
          </w:p>
        </w:tc>
        <w:tc>
          <w:tcPr>
            <w:tcW w:w="840" w:type="dxa"/>
            <w:shd w:val="clear" w:color="auto" w:fill="auto"/>
          </w:tcPr>
          <w:p>
            <w:pPr>
              <w:pStyle w:val="180"/>
            </w:pPr>
            <w:r>
              <w:t>35</w:t>
            </w:r>
          </w:p>
        </w:tc>
        <w:tc>
          <w:tcPr>
            <w:tcW w:w="850" w:type="dxa"/>
            <w:shd w:val="clear" w:color="auto" w:fill="auto"/>
          </w:tcPr>
          <w:p>
            <w:pPr>
              <w:pStyle w:val="180"/>
            </w:pPr>
            <w:r>
              <w:t>55</w:t>
            </w:r>
          </w:p>
        </w:tc>
        <w:tc>
          <w:tcPr>
            <w:tcW w:w="851" w:type="dxa"/>
            <w:shd w:val="clear" w:color="auto" w:fill="auto"/>
          </w:tcPr>
          <w:p>
            <w:pPr>
              <w:pStyle w:val="180"/>
            </w:pPr>
            <w:r>
              <w:t>70</w:t>
            </w:r>
          </w:p>
        </w:tc>
        <w:tc>
          <w:tcPr>
            <w:tcW w:w="708" w:type="dxa"/>
            <w:shd w:val="clear" w:color="auto" w:fill="auto"/>
          </w:tcPr>
          <w:p>
            <w:pPr>
              <w:pStyle w:val="180"/>
            </w:pPr>
            <w:r>
              <w:t>110</w:t>
            </w:r>
          </w:p>
        </w:tc>
        <w:tc>
          <w:tcPr>
            <w:tcW w:w="709" w:type="dxa"/>
            <w:shd w:val="clear" w:color="auto" w:fill="auto"/>
            <w:vAlign w:val="center"/>
          </w:tcPr>
          <w:p>
            <w:pPr>
              <w:pStyle w:val="180"/>
            </w:pPr>
            <w:r>
              <w:t>140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1277" w:type="dxa"/>
            <w:shd w:val="clear" w:color="auto" w:fill="auto"/>
            <w:vAlign w:val="center"/>
          </w:tcPr>
          <w:p>
            <w:pPr>
              <w:pStyle w:val="180"/>
            </w:pPr>
            <w:r>
              <w:rPr>
                <w:rFonts w:hint="eastAsia"/>
              </w:rPr>
              <w:t>设防地震</w:t>
            </w:r>
          </w:p>
        </w:tc>
        <w:tc>
          <w:tcPr>
            <w:tcW w:w="840" w:type="dxa"/>
            <w:shd w:val="clear" w:color="auto" w:fill="auto"/>
          </w:tcPr>
          <w:p>
            <w:pPr>
              <w:pStyle w:val="180"/>
            </w:pPr>
            <w:r>
              <w:t>100</w:t>
            </w:r>
          </w:p>
        </w:tc>
        <w:tc>
          <w:tcPr>
            <w:tcW w:w="850" w:type="dxa"/>
            <w:shd w:val="clear" w:color="auto" w:fill="auto"/>
          </w:tcPr>
          <w:p>
            <w:pPr>
              <w:pStyle w:val="180"/>
            </w:pPr>
            <w:r>
              <w:t>150</w:t>
            </w:r>
          </w:p>
        </w:tc>
        <w:tc>
          <w:tcPr>
            <w:tcW w:w="851" w:type="dxa"/>
            <w:shd w:val="clear" w:color="auto" w:fill="auto"/>
          </w:tcPr>
          <w:p>
            <w:pPr>
              <w:pStyle w:val="180"/>
            </w:pPr>
            <w:r>
              <w:t>200</w:t>
            </w:r>
          </w:p>
        </w:tc>
        <w:tc>
          <w:tcPr>
            <w:tcW w:w="708" w:type="dxa"/>
            <w:shd w:val="clear" w:color="auto" w:fill="auto"/>
          </w:tcPr>
          <w:p>
            <w:pPr>
              <w:pStyle w:val="180"/>
            </w:pPr>
            <w:r>
              <w:t>300</w:t>
            </w:r>
          </w:p>
        </w:tc>
        <w:tc>
          <w:tcPr>
            <w:tcW w:w="709" w:type="dxa"/>
            <w:shd w:val="clear" w:color="auto" w:fill="auto"/>
          </w:tcPr>
          <w:p>
            <w:pPr>
              <w:pStyle w:val="180"/>
            </w:pPr>
            <w:r>
              <w:t>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77" w:type="dxa"/>
            <w:shd w:val="clear" w:color="auto" w:fill="auto"/>
            <w:vAlign w:val="center"/>
          </w:tcPr>
          <w:p>
            <w:pPr>
              <w:pStyle w:val="180"/>
            </w:pPr>
            <w:r>
              <w:rPr>
                <w:rFonts w:hint="eastAsia"/>
              </w:rPr>
              <w:t>罕遇地震</w:t>
            </w:r>
          </w:p>
        </w:tc>
        <w:tc>
          <w:tcPr>
            <w:tcW w:w="840" w:type="dxa"/>
            <w:shd w:val="clear" w:color="auto" w:fill="auto"/>
          </w:tcPr>
          <w:p>
            <w:pPr>
              <w:pStyle w:val="180"/>
            </w:pPr>
            <w:r>
              <w:t>220</w:t>
            </w:r>
          </w:p>
        </w:tc>
        <w:tc>
          <w:tcPr>
            <w:tcW w:w="850" w:type="dxa"/>
            <w:shd w:val="clear" w:color="auto" w:fill="auto"/>
          </w:tcPr>
          <w:p>
            <w:pPr>
              <w:pStyle w:val="180"/>
            </w:pPr>
            <w:r>
              <w:t>310</w:t>
            </w:r>
          </w:p>
        </w:tc>
        <w:tc>
          <w:tcPr>
            <w:tcW w:w="851" w:type="dxa"/>
            <w:shd w:val="clear" w:color="auto" w:fill="auto"/>
          </w:tcPr>
          <w:p>
            <w:pPr>
              <w:pStyle w:val="180"/>
            </w:pPr>
            <w:r>
              <w:t>400</w:t>
            </w:r>
          </w:p>
        </w:tc>
        <w:tc>
          <w:tcPr>
            <w:tcW w:w="708" w:type="dxa"/>
            <w:shd w:val="clear" w:color="auto" w:fill="auto"/>
          </w:tcPr>
          <w:p>
            <w:pPr>
              <w:pStyle w:val="180"/>
            </w:pPr>
            <w:r>
              <w:t>510</w:t>
            </w:r>
          </w:p>
        </w:tc>
        <w:tc>
          <w:tcPr>
            <w:tcW w:w="709" w:type="dxa"/>
            <w:shd w:val="clear" w:color="auto" w:fill="auto"/>
          </w:tcPr>
          <w:p>
            <w:pPr>
              <w:pStyle w:val="180"/>
            </w:pPr>
            <w:r>
              <w:t>620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77" w:type="dxa"/>
            <w:shd w:val="clear" w:color="auto" w:fill="auto"/>
            <w:vAlign w:val="center"/>
          </w:tcPr>
          <w:p>
            <w:pPr>
              <w:pStyle w:val="180"/>
            </w:pPr>
            <w:r>
              <w:rPr>
                <w:rFonts w:hint="eastAsia"/>
              </w:rPr>
              <w:t>极罕遇地震</w:t>
            </w:r>
          </w:p>
        </w:tc>
        <w:tc>
          <w:tcPr>
            <w:tcW w:w="840" w:type="dxa"/>
            <w:shd w:val="clear" w:color="auto" w:fill="auto"/>
          </w:tcPr>
          <w:p>
            <w:pPr>
              <w:pStyle w:val="180"/>
            </w:pPr>
            <w:r>
              <w:t>320</w:t>
            </w:r>
          </w:p>
        </w:tc>
        <w:tc>
          <w:tcPr>
            <w:tcW w:w="850" w:type="dxa"/>
            <w:shd w:val="clear" w:color="auto" w:fill="auto"/>
          </w:tcPr>
          <w:p>
            <w:pPr>
              <w:pStyle w:val="180"/>
            </w:pPr>
            <w:r>
              <w:t>460</w:t>
            </w:r>
          </w:p>
        </w:tc>
        <w:tc>
          <w:tcPr>
            <w:tcW w:w="851" w:type="dxa"/>
            <w:shd w:val="clear" w:color="auto" w:fill="auto"/>
          </w:tcPr>
          <w:p>
            <w:pPr>
              <w:pStyle w:val="180"/>
            </w:pPr>
            <w:r>
              <w:t>600</w:t>
            </w:r>
          </w:p>
        </w:tc>
        <w:tc>
          <w:tcPr>
            <w:tcW w:w="708" w:type="dxa"/>
            <w:shd w:val="clear" w:color="auto" w:fill="auto"/>
          </w:tcPr>
          <w:p>
            <w:pPr>
              <w:pStyle w:val="180"/>
            </w:pPr>
            <w:r>
              <w:t>840</w:t>
            </w:r>
          </w:p>
        </w:tc>
        <w:tc>
          <w:tcPr>
            <w:tcW w:w="709" w:type="dxa"/>
            <w:shd w:val="clear" w:color="auto" w:fill="auto"/>
          </w:tcPr>
          <w:p>
            <w:pPr>
              <w:pStyle w:val="180"/>
            </w:pPr>
            <w:r>
              <w:t>1080</w:t>
            </w:r>
          </w:p>
        </w:tc>
      </w:tr>
    </w:tbl>
    <w:p>
      <w:pPr>
        <w:adjustRightInd/>
        <w:rPr>
          <w:rFonts w:ascii="Times New Roman" w:hAnsi="Times New Roman"/>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注：设计地震加速度峰值相当于现行国家标准《中国地</w:t>
      </w:r>
      <w:r>
        <w:rPr>
          <w:rFonts w:hint="eastAsia" w:ascii="Times New Roman" w:hAnsi="Times New Roman"/>
          <w:bCs/>
          <w:color w:val="000000" w:themeColor="text1"/>
          <w:sz w:val="18"/>
          <w:szCs w:val="18"/>
          <w14:textFill>
            <w14:solidFill>
              <w14:schemeClr w14:val="tx1"/>
            </w14:solidFill>
          </w14:textFill>
        </w:rPr>
        <w:t>震动参数区划图》</w:t>
      </w:r>
      <w:r>
        <w:rPr>
          <w:rFonts w:ascii="Times New Roman" w:hAnsi="Times New Roman"/>
          <w:bCs/>
          <w:color w:val="000000" w:themeColor="text1"/>
          <w:sz w:val="18"/>
          <w:szCs w:val="18"/>
          <w14:textFill>
            <w14:solidFill>
              <w14:schemeClr w14:val="tx1"/>
            </w14:solidFill>
          </w14:textFill>
        </w:rPr>
        <w:t>GB 18306-2015</w:t>
      </w:r>
      <w:r>
        <w:rPr>
          <w:rFonts w:hint="eastAsia" w:ascii="Times New Roman" w:hAnsi="Times New Roman"/>
          <w:bCs/>
          <w:color w:val="000000" w:themeColor="text1"/>
          <w:sz w:val="18"/>
          <w:szCs w:val="18"/>
          <w14:textFill>
            <w14:solidFill>
              <w14:schemeClr w14:val="tx1"/>
            </w14:solidFill>
          </w14:textFill>
        </w:rPr>
        <w:t>中的地震动峰值加速度。</w:t>
      </w:r>
    </w:p>
    <w:p>
      <w:pPr>
        <w:pStyle w:val="167"/>
      </w:pPr>
      <w:r>
        <w:rPr>
          <w:rFonts w:hint="eastAsia"/>
        </w:rPr>
        <w:t>多遇地震的地震影响系数曲线的形状及参数应按图4.1.6a取，设防地震、罕遇地震和极罕遇地震按图4.1.6b取：</w:t>
      </w: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75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7503" w:type="dxa"/>
            <w:shd w:val="clear" w:color="auto" w:fill="auto"/>
            <w:vAlign w:val="center"/>
          </w:tcPr>
          <w:p>
            <w:pPr>
              <w:pStyle w:val="180"/>
            </w:pPr>
            <w:r>
              <w:drawing>
                <wp:inline distT="0" distB="0" distL="0" distR="0">
                  <wp:extent cx="4419600" cy="2012315"/>
                  <wp:effectExtent l="0" t="0" r="0"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53">
                            <a:extLst>
                              <a:ext uri="{28A0092B-C50C-407E-A947-70E740481C1C}">
                                <a14:useLocalDpi xmlns:a14="http://schemas.microsoft.com/office/drawing/2010/main" val="0"/>
                              </a:ext>
                            </a:extLst>
                          </a:blip>
                          <a:srcRect/>
                          <a:stretch>
                            <a:fillRect/>
                          </a:stretch>
                        </pic:blipFill>
                        <pic:spPr>
                          <a:xfrm>
                            <a:off x="0" y="0"/>
                            <a:ext cx="4419600" cy="2012315"/>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503" w:type="dxa"/>
            <w:shd w:val="clear" w:color="auto" w:fill="auto"/>
            <w:vAlign w:val="center"/>
          </w:tcPr>
          <w:p>
            <w:pPr>
              <w:adjustRightInd/>
              <w:spacing w:line="240" w:lineRule="auto"/>
              <w:ind w:left="676" w:right="651" w:hanging="676"/>
              <w:jc w:val="center"/>
              <w:rPr>
                <w:rFonts w:ascii="Times New Roman" w:hAnsi="Times New Roman"/>
                <w:color w:val="000000"/>
                <w:sz w:val="15"/>
                <w:szCs w:val="22"/>
              </w:rPr>
            </w:pPr>
            <w:r>
              <w:rPr>
                <w:rFonts w:ascii="Times New Roman" w:hAnsi="Times New Roman"/>
                <w:color w:val="000000"/>
                <w:position w:val="-6"/>
                <w:sz w:val="15"/>
                <w:szCs w:val="22"/>
              </w:rPr>
              <w:object>
                <v:shape id="_x0000_i1031" o:spt="75" type="#_x0000_t75" style="height:9.55pt;width:9.55pt;" o:ole="t" filled="f" o:preferrelative="t" stroked="f" coordsize="21600,21600">
                  <v:path/>
                  <v:fill on="f" focussize="0,0"/>
                  <v:stroke on="f" joinstyle="miter"/>
                  <v:imagedata r:id="rId55" o:title=""/>
                  <o:lock v:ext="edit" aspectratio="t"/>
                  <w10:wrap type="none"/>
                  <w10:anchorlock/>
                </v:shape>
                <o:OLEObject Type="Embed" ProgID="Equation.3" ShapeID="_x0000_i1031" DrawAspect="Content" ObjectID="_1468075731" r:id="rId54">
                  <o:LockedField>false</o:LockedField>
                </o:OLEObject>
              </w:object>
            </w:r>
            <w:r>
              <w:rPr>
                <w:rFonts w:ascii="Times New Roman" w:hAnsi="Times New Roman"/>
                <w:color w:val="000000"/>
                <w:sz w:val="15"/>
                <w:szCs w:val="22"/>
              </w:rPr>
              <w:t>——</w:t>
            </w:r>
            <w:r>
              <w:rPr>
                <w:rFonts w:hint="eastAsia" w:ascii="Times New Roman" w:hAnsi="Times New Roman"/>
                <w:color w:val="000000"/>
                <w:sz w:val="15"/>
                <w:szCs w:val="22"/>
              </w:rPr>
              <w:t>地震影响系数；</w:t>
            </w:r>
            <w:r>
              <w:rPr>
                <w:rFonts w:ascii="Times New Roman" w:hAnsi="Times New Roman"/>
                <w:color w:val="000000"/>
                <w:position w:val="-10"/>
                <w:sz w:val="15"/>
                <w:szCs w:val="22"/>
              </w:rPr>
              <w:object>
                <v:shape id="_x0000_i1032" o:spt="75" type="#_x0000_t75" style="height:16.9pt;width:24.25pt;" o:ole="t" filled="f" o:preferrelative="t" stroked="f" coordsize="21600,21600">
                  <v:path/>
                  <v:fill on="f" focussize="0,0"/>
                  <v:stroke on="f" joinstyle="miter"/>
                  <v:imagedata r:id="rId57" o:title=""/>
                  <o:lock v:ext="edit" aspectratio="t"/>
                  <w10:wrap type="none"/>
                  <w10:anchorlock/>
                </v:shape>
                <o:OLEObject Type="Embed" ProgID="Equation.3" ShapeID="_x0000_i1032" DrawAspect="Content" ObjectID="_1468075732" r:id="rId56">
                  <o:LockedField>false</o:LockedField>
                </o:OLEObject>
              </w:object>
            </w:r>
            <w:r>
              <w:rPr>
                <w:rFonts w:ascii="Times New Roman" w:hAnsi="Times New Roman"/>
                <w:color w:val="000000"/>
                <w:sz w:val="15"/>
                <w:szCs w:val="22"/>
              </w:rPr>
              <w:t>——</w:t>
            </w:r>
            <w:r>
              <w:rPr>
                <w:rFonts w:hint="eastAsia" w:ascii="Times New Roman" w:hAnsi="Times New Roman"/>
                <w:color w:val="000000"/>
                <w:sz w:val="15"/>
                <w:szCs w:val="22"/>
              </w:rPr>
              <w:t>地震影响系数最大值；</w:t>
            </w:r>
            <w:r>
              <w:rPr>
                <w:rFonts w:ascii="Times New Roman" w:hAnsi="Times New Roman"/>
                <w:color w:val="000000"/>
                <w:position w:val="-10"/>
                <w:sz w:val="15"/>
                <w:szCs w:val="22"/>
              </w:rPr>
              <w:object>
                <v:shape id="_x0000_i1033" o:spt="75" type="#_x0000_t75" style="height:13.2pt;width:9.55pt;" o:ole="t" filled="f" o:preferrelative="t" stroked="f" coordsize="21600,21600">
                  <v:path/>
                  <v:fill on="f" focussize="0,0"/>
                  <v:stroke on="f" joinstyle="miter"/>
                  <v:imagedata r:id="rId59" o:title=""/>
                  <o:lock v:ext="edit" aspectratio="t"/>
                  <w10:wrap type="none"/>
                  <w10:anchorlock/>
                </v:shape>
                <o:OLEObject Type="Embed" ProgID="Equation.3" ShapeID="_x0000_i1033" DrawAspect="Content" ObjectID="_1468075733" r:id="rId58">
                  <o:LockedField>false</o:LockedField>
                </o:OLEObject>
              </w:object>
            </w:r>
            <w:r>
              <w:rPr>
                <w:rFonts w:ascii="Times New Roman" w:hAnsi="Times New Roman"/>
                <w:color w:val="000000"/>
                <w:sz w:val="15"/>
                <w:szCs w:val="22"/>
              </w:rPr>
              <w:t>——</w:t>
            </w:r>
            <w:r>
              <w:rPr>
                <w:rFonts w:hint="eastAsia" w:ascii="Times New Roman" w:hAnsi="Times New Roman"/>
                <w:color w:val="000000"/>
                <w:sz w:val="15"/>
                <w:szCs w:val="22"/>
              </w:rPr>
              <w:t>衰减指数；</w:t>
            </w:r>
            <m:oMath>
              <m:r>
                <m:rPr/>
                <w:rPr>
                  <w:rFonts w:ascii="Cambria Math" w:hAnsi="Cambria Math"/>
                  <w:color w:val="000000"/>
                  <w:szCs w:val="22"/>
                </w:rPr>
                <m:t>η</m:t>
              </m:r>
            </m:oMath>
            <w:r>
              <w:rPr>
                <w:rFonts w:ascii="Times New Roman" w:hAnsi="Times New Roman"/>
                <w:color w:val="000000"/>
                <w:sz w:val="15"/>
                <w:szCs w:val="22"/>
              </w:rPr>
              <w:t>——</w:t>
            </w:r>
            <w:r>
              <w:rPr>
                <w:rFonts w:hint="eastAsia" w:ascii="Times New Roman" w:hAnsi="Times New Roman"/>
                <w:color w:val="000000"/>
                <w:sz w:val="15"/>
                <w:szCs w:val="22"/>
              </w:rPr>
              <w:t>阻尼调整系数；</w:t>
            </w:r>
          </w:p>
          <w:p>
            <w:pPr>
              <w:adjustRightInd/>
              <w:spacing w:line="240" w:lineRule="auto"/>
              <w:ind w:left="676" w:right="651" w:hanging="676"/>
              <w:jc w:val="center"/>
              <w:rPr>
                <w:rFonts w:ascii="Times New Roman" w:hAnsi="Times New Roman"/>
                <w:color w:val="000000"/>
                <w:sz w:val="15"/>
                <w:szCs w:val="22"/>
              </w:rPr>
            </w:pPr>
            <w:r>
              <w:rPr>
                <w:rFonts w:ascii="Times New Roman" w:hAnsi="Times New Roman"/>
                <w:color w:val="000000"/>
                <w:position w:val="-4"/>
                <w:sz w:val="15"/>
                <w:szCs w:val="22"/>
              </w:rPr>
              <w:object>
                <v:shape id="_x0000_i1034" o:spt="75" type="#_x0000_t75" style="height:11pt;width:9.55pt;" o:ole="t" filled="f" o:preferrelative="t" stroked="f" coordsize="21600,21600">
                  <v:path/>
                  <v:fill on="f" focussize="0,0"/>
                  <v:stroke on="f" joinstyle="miter"/>
                  <v:imagedata r:id="rId61" o:title=""/>
                  <o:lock v:ext="edit" aspectratio="t"/>
                  <w10:wrap type="none"/>
                  <w10:anchorlock/>
                </v:shape>
                <o:OLEObject Type="Embed" ProgID="Equation.3" ShapeID="_x0000_i1034" DrawAspect="Content" ObjectID="_1468075734" r:id="rId60">
                  <o:LockedField>false</o:LockedField>
                </o:OLEObject>
              </w:object>
            </w:r>
            <w:r>
              <w:rPr>
                <w:rFonts w:ascii="Times New Roman" w:hAnsi="Times New Roman"/>
                <w:color w:val="000000"/>
                <w:sz w:val="15"/>
                <w:szCs w:val="22"/>
                <w:vertAlign w:val="subscript"/>
              </w:rPr>
              <w:t>g</w:t>
            </w:r>
            <w:r>
              <w:rPr>
                <w:rFonts w:ascii="Times New Roman" w:hAnsi="Times New Roman"/>
                <w:color w:val="000000"/>
                <w:sz w:val="15"/>
                <w:szCs w:val="22"/>
              </w:rPr>
              <w:t>——</w:t>
            </w:r>
            <w:r>
              <w:rPr>
                <w:rFonts w:hint="eastAsia" w:ascii="Times New Roman" w:hAnsi="Times New Roman"/>
                <w:color w:val="000000"/>
                <w:sz w:val="15"/>
                <w:szCs w:val="22"/>
              </w:rPr>
              <w:t>设计特征周期；</w:t>
            </w:r>
            <w:r>
              <w:rPr>
                <w:rFonts w:ascii="Times New Roman" w:hAnsi="Times New Roman"/>
                <w:color w:val="000000"/>
                <w:position w:val="-4"/>
                <w:sz w:val="15"/>
                <w:szCs w:val="22"/>
              </w:rPr>
              <w:object>
                <v:shape id="_x0000_i1035" o:spt="75" type="#_x0000_t75" style="height:11pt;width:9.55pt;" o:ole="t" filled="f" o:preferrelative="t" stroked="f" coordsize="21600,21600">
                  <v:path/>
                  <v:fill on="f" focussize="0,0"/>
                  <v:stroke on="f" joinstyle="miter"/>
                  <v:imagedata r:id="rId61" o:title=""/>
                  <o:lock v:ext="edit" aspectratio="t"/>
                  <w10:wrap type="none"/>
                  <w10:anchorlock/>
                </v:shape>
                <o:OLEObject Type="Embed" ProgID="Equation.3" ShapeID="_x0000_i1035" DrawAspect="Content" ObjectID="_1468075735" r:id="rId62">
                  <o:LockedField>false</o:LockedField>
                </o:OLEObject>
              </w:object>
            </w:r>
            <w:r>
              <w:rPr>
                <w:rFonts w:ascii="Times New Roman" w:hAnsi="Times New Roman"/>
                <w:color w:val="000000"/>
                <w:sz w:val="15"/>
                <w:szCs w:val="22"/>
              </w:rPr>
              <w:t>——</w:t>
            </w:r>
            <w:r>
              <w:rPr>
                <w:rFonts w:hint="eastAsia" w:ascii="Times New Roman" w:hAnsi="Times New Roman"/>
                <w:color w:val="000000"/>
                <w:sz w:val="15"/>
                <w:szCs w:val="22"/>
              </w:rPr>
              <w:t>结构自振周期</w:t>
            </w:r>
          </w:p>
        </w:tc>
      </w:tr>
    </w:tbl>
    <w:p>
      <w:pPr>
        <w:pStyle w:val="116"/>
        <w:numPr>
          <w:ilvl w:val="0"/>
          <w:numId w:val="0"/>
        </w:numPr>
        <w:spacing w:before="156" w:after="156"/>
      </w:pPr>
      <w:r>
        <w:rPr>
          <w:rFonts w:hint="eastAsia"/>
        </w:rPr>
        <w:t>图</w:t>
      </w:r>
      <w:r>
        <w:t>4.1.6a   5%</w:t>
      </w:r>
      <w:r>
        <w:rPr>
          <w:rFonts w:hint="eastAsia"/>
        </w:rPr>
        <w:t>阻尼比的多遇地震影响系数曲线</w:t>
      </w: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78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7854" w:type="dxa"/>
            <w:shd w:val="clear" w:color="auto" w:fill="auto"/>
            <w:vAlign w:val="center"/>
          </w:tcPr>
          <w:p>
            <w:pPr>
              <w:pStyle w:val="180"/>
            </w:pPr>
            <w:r>
              <w:drawing>
                <wp:inline distT="0" distB="0" distL="0" distR="0">
                  <wp:extent cx="4326255" cy="1657350"/>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63"/>
                          <a:srcRect t="-1" r="3202" b="2005"/>
                          <a:stretch>
                            <a:fillRect/>
                          </a:stretch>
                        </pic:blipFill>
                        <pic:spPr>
                          <a:xfrm>
                            <a:off x="0" y="0"/>
                            <a:ext cx="4326255" cy="165735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854" w:type="dxa"/>
            <w:shd w:val="clear" w:color="auto" w:fill="auto"/>
            <w:vAlign w:val="center"/>
          </w:tcPr>
          <w:p>
            <w:pPr>
              <w:adjustRightInd/>
              <w:spacing w:line="240" w:lineRule="auto"/>
              <w:ind w:left="676" w:right="651" w:hanging="676"/>
              <w:jc w:val="center"/>
              <w:rPr>
                <w:rFonts w:ascii="Times New Roman" w:hAnsi="Times New Roman"/>
                <w:color w:val="000000"/>
                <w:sz w:val="15"/>
                <w:szCs w:val="22"/>
              </w:rPr>
            </w:pPr>
            <w:r>
              <w:rPr>
                <w:rFonts w:ascii="Times New Roman" w:hAnsi="Times New Roman"/>
                <w:color w:val="000000"/>
                <w:position w:val="-6"/>
                <w:sz w:val="15"/>
                <w:szCs w:val="22"/>
              </w:rPr>
              <w:object>
                <v:shape id="_x0000_i1036" o:spt="75" type="#_x0000_t75" style="height:9.55pt;width:9.55pt;" o:ole="t" filled="f" o:preferrelative="t" stroked="f" coordsize="21600,21600">
                  <v:path/>
                  <v:fill on="f" focussize="0,0"/>
                  <v:stroke on="f" joinstyle="miter"/>
                  <v:imagedata r:id="rId55" o:title=""/>
                  <o:lock v:ext="edit" aspectratio="t"/>
                  <w10:wrap type="none"/>
                  <w10:anchorlock/>
                </v:shape>
                <o:OLEObject Type="Embed" ProgID="Equation.3" ShapeID="_x0000_i1036" DrawAspect="Content" ObjectID="_1468075736" r:id="rId64">
                  <o:LockedField>false</o:LockedField>
                </o:OLEObject>
              </w:object>
            </w:r>
            <w:r>
              <w:rPr>
                <w:rFonts w:ascii="Times New Roman" w:hAnsi="Times New Roman"/>
                <w:color w:val="000000"/>
                <w:sz w:val="15"/>
                <w:szCs w:val="22"/>
              </w:rPr>
              <w:t>——</w:t>
            </w:r>
            <w:r>
              <w:rPr>
                <w:rFonts w:hint="eastAsia" w:ascii="Times New Roman" w:hAnsi="Times New Roman"/>
                <w:color w:val="000000"/>
                <w:sz w:val="15"/>
                <w:szCs w:val="22"/>
              </w:rPr>
              <w:t>地震影响系数；</w:t>
            </w:r>
            <w:r>
              <w:rPr>
                <w:rFonts w:ascii="Times New Roman" w:hAnsi="Times New Roman"/>
                <w:color w:val="000000"/>
                <w:position w:val="-10"/>
                <w:sz w:val="15"/>
                <w:szCs w:val="22"/>
              </w:rPr>
              <w:object>
                <v:shape id="_x0000_i1037" o:spt="75" type="#_x0000_t75" style="height:16.9pt;width:24.25pt;" o:ole="t" filled="f" o:preferrelative="t" stroked="f" coordsize="21600,21600">
                  <v:path/>
                  <v:fill on="f" focussize="0,0"/>
                  <v:stroke on="f" joinstyle="miter"/>
                  <v:imagedata r:id="rId57" o:title=""/>
                  <o:lock v:ext="edit" aspectratio="t"/>
                  <w10:wrap type="none"/>
                  <w10:anchorlock/>
                </v:shape>
                <o:OLEObject Type="Embed" ProgID="Equation.3" ShapeID="_x0000_i1037" DrawAspect="Content" ObjectID="_1468075737" r:id="rId65">
                  <o:LockedField>false</o:LockedField>
                </o:OLEObject>
              </w:object>
            </w:r>
            <w:r>
              <w:rPr>
                <w:rFonts w:ascii="Times New Roman" w:hAnsi="Times New Roman"/>
                <w:color w:val="000000"/>
                <w:sz w:val="15"/>
                <w:szCs w:val="22"/>
              </w:rPr>
              <w:t>——</w:t>
            </w:r>
            <w:r>
              <w:rPr>
                <w:rFonts w:hint="eastAsia" w:ascii="Times New Roman" w:hAnsi="Times New Roman"/>
                <w:color w:val="000000"/>
                <w:sz w:val="15"/>
                <w:szCs w:val="22"/>
              </w:rPr>
              <w:t>地震影响系数最大值；</w:t>
            </w:r>
            <w:r>
              <w:rPr>
                <w:rFonts w:ascii="Times New Roman" w:hAnsi="Times New Roman"/>
                <w:color w:val="000000"/>
                <w:position w:val="-10"/>
                <w:sz w:val="15"/>
                <w:szCs w:val="22"/>
              </w:rPr>
              <w:object>
                <v:shape id="_x0000_i1038" o:spt="75" type="#_x0000_t75" style="height:13.2pt;width:9.55pt;" o:ole="t" filled="f" o:preferrelative="t" stroked="f" coordsize="21600,21600">
                  <v:path/>
                  <v:fill on="f" focussize="0,0"/>
                  <v:stroke on="f" joinstyle="miter"/>
                  <v:imagedata r:id="rId59" o:title=""/>
                  <o:lock v:ext="edit" aspectratio="t"/>
                  <w10:wrap type="none"/>
                  <w10:anchorlock/>
                </v:shape>
                <o:OLEObject Type="Embed" ProgID="Equation.3" ShapeID="_x0000_i1038" DrawAspect="Content" ObjectID="_1468075738" r:id="rId66">
                  <o:LockedField>false</o:LockedField>
                </o:OLEObject>
              </w:object>
            </w:r>
            <w:r>
              <w:rPr>
                <w:rFonts w:ascii="Times New Roman" w:hAnsi="Times New Roman"/>
                <w:color w:val="000000"/>
                <w:sz w:val="15"/>
                <w:szCs w:val="22"/>
              </w:rPr>
              <w:t>——</w:t>
            </w:r>
            <w:r>
              <w:rPr>
                <w:rFonts w:hint="eastAsia" w:ascii="Times New Roman" w:hAnsi="Times New Roman"/>
                <w:color w:val="000000"/>
                <w:sz w:val="15"/>
                <w:szCs w:val="22"/>
              </w:rPr>
              <w:t>衰减指数；</w:t>
            </w:r>
            <m:oMath>
              <m:r>
                <m:rPr/>
                <w:rPr>
                  <w:rFonts w:ascii="Cambria Math" w:hAnsi="Cambria Math"/>
                  <w:color w:val="000000"/>
                  <w:szCs w:val="22"/>
                </w:rPr>
                <m:t>η</m:t>
              </m:r>
            </m:oMath>
            <w:r>
              <w:rPr>
                <w:rFonts w:ascii="Times New Roman" w:hAnsi="Times New Roman"/>
                <w:color w:val="000000"/>
                <w:sz w:val="15"/>
                <w:szCs w:val="22"/>
              </w:rPr>
              <w:t>——</w:t>
            </w:r>
            <w:r>
              <w:rPr>
                <w:rFonts w:hint="eastAsia" w:ascii="Times New Roman" w:hAnsi="Times New Roman"/>
                <w:color w:val="000000"/>
                <w:sz w:val="15"/>
                <w:szCs w:val="22"/>
              </w:rPr>
              <w:t>阻尼调整系数；</w:t>
            </w:r>
          </w:p>
          <w:p>
            <w:pPr>
              <w:adjustRightInd/>
              <w:spacing w:line="240" w:lineRule="auto"/>
              <w:ind w:left="676" w:right="651" w:hanging="676"/>
              <w:jc w:val="center"/>
              <w:rPr>
                <w:rFonts w:ascii="Times New Roman" w:hAnsi="Times New Roman"/>
                <w:color w:val="000000"/>
                <w:sz w:val="15"/>
                <w:szCs w:val="22"/>
              </w:rPr>
            </w:pPr>
            <w:r>
              <w:rPr>
                <w:rFonts w:ascii="Times New Roman" w:hAnsi="Times New Roman"/>
                <w:color w:val="000000"/>
                <w:position w:val="-4"/>
                <w:sz w:val="15"/>
                <w:szCs w:val="22"/>
              </w:rPr>
              <w:object>
                <v:shape id="_x0000_i1039" o:spt="75" type="#_x0000_t75" style="height:11pt;width:9.55pt;" o:ole="t" filled="f" o:preferrelative="t" stroked="f" coordsize="21600,21600">
                  <v:path/>
                  <v:fill on="f" focussize="0,0"/>
                  <v:stroke on="f" joinstyle="miter"/>
                  <v:imagedata r:id="rId61" o:title=""/>
                  <o:lock v:ext="edit" aspectratio="t"/>
                  <w10:wrap type="none"/>
                  <w10:anchorlock/>
                </v:shape>
                <o:OLEObject Type="Embed" ProgID="Equation.3" ShapeID="_x0000_i1039" DrawAspect="Content" ObjectID="_1468075739" r:id="rId67">
                  <o:LockedField>false</o:LockedField>
                </o:OLEObject>
              </w:object>
            </w:r>
            <w:r>
              <w:rPr>
                <w:rFonts w:ascii="Times New Roman" w:hAnsi="Times New Roman"/>
                <w:color w:val="000000"/>
                <w:sz w:val="15"/>
                <w:szCs w:val="22"/>
                <w:vertAlign w:val="subscript"/>
              </w:rPr>
              <w:t>g</w:t>
            </w:r>
            <w:r>
              <w:rPr>
                <w:rFonts w:ascii="Times New Roman" w:hAnsi="Times New Roman"/>
                <w:color w:val="000000"/>
                <w:sz w:val="15"/>
                <w:szCs w:val="22"/>
              </w:rPr>
              <w:t>——</w:t>
            </w:r>
            <w:r>
              <w:rPr>
                <w:rFonts w:hint="eastAsia" w:ascii="Times New Roman" w:hAnsi="Times New Roman"/>
                <w:color w:val="000000"/>
                <w:sz w:val="15"/>
                <w:szCs w:val="22"/>
              </w:rPr>
              <w:t>设计特征周期；</w:t>
            </w:r>
            <w:r>
              <w:rPr>
                <w:rFonts w:ascii="Times New Roman" w:hAnsi="Times New Roman"/>
                <w:color w:val="000000"/>
                <w:position w:val="-4"/>
                <w:sz w:val="15"/>
                <w:szCs w:val="22"/>
              </w:rPr>
              <w:object>
                <v:shape id="_x0000_i1040" o:spt="75" type="#_x0000_t75" style="height:11pt;width:9.55pt;" o:ole="t" filled="f" o:preferrelative="t" stroked="f" coordsize="21600,21600">
                  <v:path/>
                  <v:fill on="f" focussize="0,0"/>
                  <v:stroke on="f" joinstyle="miter"/>
                  <v:imagedata r:id="rId61" o:title=""/>
                  <o:lock v:ext="edit" aspectratio="t"/>
                  <w10:wrap type="none"/>
                  <w10:anchorlock/>
                </v:shape>
                <o:OLEObject Type="Embed" ProgID="Equation.3" ShapeID="_x0000_i1040" DrawAspect="Content" ObjectID="_1468075740" r:id="rId68">
                  <o:LockedField>false</o:LockedField>
                </o:OLEObject>
              </w:object>
            </w:r>
            <w:r>
              <w:rPr>
                <w:rFonts w:ascii="Times New Roman" w:hAnsi="Times New Roman"/>
                <w:color w:val="000000"/>
                <w:sz w:val="15"/>
                <w:szCs w:val="22"/>
              </w:rPr>
              <w:t>——</w:t>
            </w:r>
            <w:r>
              <w:rPr>
                <w:rFonts w:hint="eastAsia" w:ascii="Times New Roman" w:hAnsi="Times New Roman"/>
                <w:color w:val="000000"/>
                <w:sz w:val="15"/>
                <w:szCs w:val="22"/>
              </w:rPr>
              <w:t>结构自振周期</w:t>
            </w:r>
          </w:p>
        </w:tc>
      </w:tr>
    </w:tbl>
    <w:p>
      <w:pPr>
        <w:pStyle w:val="116"/>
        <w:numPr>
          <w:ilvl w:val="0"/>
          <w:numId w:val="0"/>
        </w:numPr>
        <w:spacing w:before="156" w:after="156"/>
      </w:pPr>
      <w:r>
        <w:rPr>
          <w:rFonts w:hint="eastAsia"/>
        </w:rPr>
        <w:t>图4.1.6b  5%的阻尼比的设防、罕遇和极罕遇地震影响系数曲线</w:t>
      </w:r>
    </w:p>
    <w:p>
      <w:pPr>
        <w:pStyle w:val="167"/>
      </w:pPr>
      <w:r>
        <w:rPr>
          <w:rFonts w:hint="eastAsia"/>
        </w:rPr>
        <w:t>当建筑结构阻尼比按有关规定不等于0.05时，其地震影响系数曲线的阻尼调整系数和形状参数应符合下列规定：</w:t>
      </w:r>
    </w:p>
    <w:p>
      <w:pPr>
        <w:pStyle w:val="111"/>
      </w:pPr>
      <w:r>
        <w:rPr>
          <w:rFonts w:hint="eastAsia"/>
        </w:rPr>
        <w:t>曲线下降段的衰减指数应按下式确定：</w:t>
      </w:r>
    </w:p>
    <w:p>
      <w:pPr>
        <w:pStyle w:val="115"/>
      </w:pPr>
      <w:r>
        <w:tab/>
      </w:r>
      <w:r>
        <w:rPr>
          <w:rFonts w:ascii="Times New Roman" w:hAnsi="Times New Roman"/>
          <w:color w:val="000000"/>
          <w:position w:val="-10"/>
        </w:rPr>
        <w:object>
          <v:shape id="_x0000_i1041" o:spt="75" type="#_x0000_t75" style="height:16.9pt;width:160.9pt;" o:ole="t" filled="f" o:preferrelative="t" stroked="f" coordsize="21600,21600">
            <v:path/>
            <v:fill on="f" focussize="0,0"/>
            <v:stroke on="f" joinstyle="miter"/>
            <v:imagedata r:id="rId70" o:title=""/>
            <o:lock v:ext="edit" aspectratio="t"/>
            <w10:wrap type="none"/>
            <w10:anchorlock/>
          </v:shape>
          <o:OLEObject Type="Embed" ProgID="Equation.3" ShapeID="_x0000_i1041" DrawAspect="Content" ObjectID="_1468075741" r:id="rId69">
            <o:LockedField>false</o:LockedField>
          </o:OLEObject>
        </w:object>
      </w:r>
      <w:r>
        <w:rPr>
          <w:rFonts w:ascii="微软雅黑" w:hAnsi="微软雅黑" w:eastAsia="微软雅黑"/>
        </w:rPr>
        <w:tab/>
      </w:r>
      <w:r>
        <w:t>(4.1.7-1)</w:t>
      </w:r>
    </w:p>
    <w:p>
      <w:pPr>
        <w:pStyle w:val="225"/>
        <w:numPr>
          <w:ilvl w:val="0"/>
          <w:numId w:val="0"/>
        </w:numPr>
        <w:ind w:left="420"/>
        <w:rPr>
          <w:rFonts w:ascii="黑体" w:hAnsi="黑体" w:eastAsia="黑体"/>
        </w:rPr>
      </w:pPr>
      <w:r>
        <w:rPr>
          <w:rFonts w:hint="eastAsia" w:hAnsi="宋体"/>
        </w:rPr>
        <w:t>式中：</w:t>
      </w:r>
      <w:r>
        <w:rPr>
          <w:rFonts w:ascii="黑体" w:hAnsi="黑体" w:eastAsia="黑体"/>
          <w:position w:val="-10"/>
        </w:rPr>
        <w:object>
          <v:shape id="_x0000_i1042" o:spt="75" type="#_x0000_t75" style="height:13.2pt;width:9.55pt;" o:ole="t" filled="f" o:preferrelative="t" stroked="f" coordsize="21600,21600">
            <v:path/>
            <v:fill on="f" focussize="0,0"/>
            <v:stroke on="f" joinstyle="miter"/>
            <v:imagedata r:id="rId72" o:title=""/>
            <o:lock v:ext="edit" aspectratio="t"/>
            <w10:wrap type="none"/>
            <w10:anchorlock/>
          </v:shape>
          <o:OLEObject Type="Embed" ProgID="Equation.3" ShapeID="_x0000_i1042" DrawAspect="Content" ObjectID="_1468075742" r:id="rId71">
            <o:LockedField>false</o:LockedField>
          </o:OLEObject>
        </w:object>
      </w:r>
      <w:r>
        <w:rPr>
          <w:rFonts w:hint="eastAsia" w:ascii="黑体" w:hAnsi="黑体" w:eastAsia="黑体"/>
        </w:rPr>
        <w:t>——</w:t>
      </w:r>
      <w:r>
        <w:rPr>
          <w:rFonts w:hint="eastAsia" w:hAnsi="宋体"/>
        </w:rPr>
        <w:t>曲线下降段的衰减指数；</w:t>
      </w:r>
    </w:p>
    <w:p>
      <w:pPr>
        <w:pStyle w:val="58"/>
        <w:ind w:firstLine="420"/>
      </w:pPr>
      <w:r>
        <w:rPr>
          <w:rFonts w:hint="eastAsia"/>
        </w:rPr>
        <w:t xml:space="preserve"> </w:t>
      </w:r>
      <w:r>
        <w:t xml:space="preserve">     </w:t>
      </w:r>
      <w:r>
        <w:rPr>
          <w:rFonts w:ascii="Times New Roman"/>
          <w:color w:val="000000"/>
          <w:position w:val="-10"/>
          <w:szCs w:val="21"/>
        </w:rPr>
        <w:object>
          <v:shape id="_x0000_i1043" o:spt="75" type="#_x0000_t75" style="height:13.2pt;width:9.55pt;" o:ole="t" filled="f" o:preferrelative="t" stroked="f" coordsize="21600,21600">
            <v:path/>
            <v:fill on="f" focussize="0,0"/>
            <v:stroke on="f" joinstyle="miter"/>
            <v:imagedata r:id="rId74" o:title=""/>
            <o:lock v:ext="edit" aspectratio="t"/>
            <w10:wrap type="none"/>
            <w10:anchorlock/>
          </v:shape>
          <o:OLEObject Type="Embed" ProgID="Equation.3" ShapeID="_x0000_i1043" DrawAspect="Content" ObjectID="_1468075743" r:id="rId73">
            <o:LockedField>false</o:LockedField>
          </o:OLEObject>
        </w:object>
      </w:r>
      <w:r>
        <w:rPr>
          <w:rFonts w:hint="eastAsia" w:ascii="黑体" w:hAnsi="黑体" w:eastAsia="黑体"/>
        </w:rPr>
        <w:t>——</w:t>
      </w:r>
      <w:r>
        <w:rPr>
          <w:rFonts w:hint="eastAsia" w:hAnsi="宋体"/>
        </w:rPr>
        <w:t>阻尼比。</w:t>
      </w:r>
    </w:p>
    <w:p>
      <w:pPr>
        <w:pStyle w:val="111"/>
      </w:pPr>
      <w:r>
        <w:rPr>
          <w:rFonts w:hint="eastAsia"/>
        </w:rPr>
        <w:t>阻尼调整系数应按下式计算：</w:t>
      </w:r>
    </w:p>
    <w:p>
      <w:pPr>
        <w:pStyle w:val="115"/>
      </w:pPr>
      <w:r>
        <w:tab/>
      </w:r>
      <w:r>
        <w:rPr>
          <w:rFonts w:ascii="Times New Roman" w:hAnsi="Times New Roman"/>
          <w:color w:val="000000" w:themeColor="text1"/>
          <w:position w:val="-10"/>
          <w14:textFill>
            <w14:solidFill>
              <w14:schemeClr w14:val="tx1"/>
            </w14:solidFill>
          </w14:textFill>
        </w:rPr>
        <w:object>
          <v:shape id="_x0000_i1044" o:spt="75" type="#_x0000_t75" style="height:13.2pt;width:175.6pt;" o:ole="t" filled="f" o:preferrelative="t" stroked="f" coordsize="21600,21600">
            <v:path/>
            <v:fill on="f" focussize="0,0"/>
            <v:stroke on="f" joinstyle="miter"/>
            <v:imagedata r:id="rId76" o:title=""/>
            <o:lock v:ext="edit" aspectratio="t"/>
            <w10:wrap type="none"/>
            <w10:anchorlock/>
          </v:shape>
          <o:OLEObject Type="Embed" ProgID="Equation.DSMT4" ShapeID="_x0000_i1044" DrawAspect="Content" ObjectID="_1468075744" r:id="rId75">
            <o:LockedField>false</o:LockedField>
          </o:OLEObject>
        </w:object>
      </w:r>
      <w:r>
        <w:rPr>
          <w:rFonts w:ascii="微软雅黑" w:hAnsi="微软雅黑" w:eastAsia="微软雅黑"/>
        </w:rPr>
        <w:tab/>
      </w:r>
      <w:r>
        <w:t>(4.1.7-2)</w:t>
      </w:r>
    </w:p>
    <w:p>
      <w:pPr>
        <w:pStyle w:val="57"/>
        <w:ind w:firstLine="420"/>
        <w:rPr>
          <w:rFonts w:ascii="宋体" w:hAnsi="宋体"/>
        </w:rPr>
      </w:pPr>
      <w:r>
        <w:rPr>
          <w:rFonts w:hint="eastAsia"/>
        </w:rPr>
        <w:t>式中：</w:t>
      </w:r>
      <w:r>
        <w:rPr>
          <w:rFonts w:ascii="Times New Roman" w:hAnsi="Times New Roman"/>
          <w:color w:val="000000" w:themeColor="text1"/>
          <w:position w:val="-10"/>
          <w14:textFill>
            <w14:solidFill>
              <w14:schemeClr w14:val="tx1"/>
            </w14:solidFill>
          </w14:textFill>
        </w:rPr>
        <w:object>
          <v:shape id="_x0000_i1045" o:spt="75" type="#_x0000_t75" style="height:13.2pt;width:11pt;" o:ole="t" filled="f" o:preferrelative="t" stroked="f" coordsize="21600,21600">
            <v:path/>
            <v:fill on="f" focussize="0,0"/>
            <v:stroke on="f" joinstyle="miter"/>
            <v:imagedata r:id="rId78" o:title=""/>
            <o:lock v:ext="edit" aspectratio="t"/>
            <w10:wrap type="none"/>
            <w10:anchorlock/>
          </v:shape>
          <o:OLEObject Type="Embed" ProgID="Equation.DSMT4" ShapeID="_x0000_i1045" DrawAspect="Content" ObjectID="_1468075745" r:id="rId77">
            <o:LockedField>false</o:LockedField>
          </o:OLEObject>
        </w:object>
      </w:r>
      <w:r>
        <w:rPr>
          <w:rFonts w:hint="eastAsia" w:ascii="黑体" w:hAnsi="黑体" w:eastAsia="黑体"/>
        </w:rPr>
        <w:t>——</w:t>
      </w:r>
      <w:r>
        <w:rPr>
          <w:rFonts w:hint="eastAsia" w:ascii="宋体" w:hAnsi="宋体"/>
        </w:rPr>
        <w:t>阻尼调整系数，当小于0.55时，应取0.55。</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4.1.6~4.1.7</w:t>
      </w:r>
      <w:r>
        <w:rPr>
          <w:rFonts w:hint="eastAsia" w:ascii="华文楷体" w:hAnsi="华文楷体" w:eastAsia="华文楷体" w:cs="华文楷体"/>
          <w:color w:val="0000FF"/>
          <w:szCs w:val="22"/>
        </w:rPr>
        <w:t>地震反应谱是进行结构承载力与变形验算的基本前提。参照现行国家标准《建筑抗震设计规范》</w:t>
      </w:r>
      <w:r>
        <w:rPr>
          <w:rFonts w:ascii="华文楷体" w:hAnsi="华文楷体" w:eastAsia="华文楷体" w:cs="华文楷体"/>
          <w:color w:val="0000FF"/>
          <w:szCs w:val="22"/>
        </w:rPr>
        <w:t>GB 50011</w:t>
      </w:r>
      <w:r>
        <w:rPr>
          <w:rFonts w:hint="eastAsia" w:ascii="华文楷体" w:hAnsi="华文楷体" w:eastAsia="华文楷体" w:cs="华文楷体"/>
          <w:color w:val="0000FF"/>
          <w:szCs w:val="22"/>
        </w:rPr>
        <w:t>、《建筑隔震设计标准》</w:t>
      </w:r>
      <w:r>
        <w:rPr>
          <w:rFonts w:ascii="华文楷体" w:hAnsi="华文楷体" w:eastAsia="华文楷体" w:cs="华文楷体"/>
          <w:color w:val="0000FF"/>
          <w:szCs w:val="22"/>
        </w:rPr>
        <w:t>GB/T 51408</w:t>
      </w:r>
      <w:r>
        <w:rPr>
          <w:rFonts w:hint="eastAsia" w:ascii="华文楷体" w:hAnsi="华文楷体" w:eastAsia="华文楷体" w:cs="华文楷体"/>
          <w:color w:val="0000FF"/>
          <w:szCs w:val="22"/>
        </w:rPr>
        <w:t>的相关要求，本标准从不同烈度和水准地震具有相同超越概率的角度出发，分别给出了不同水准地震反应谱曲线的形式及其关键参数的取值方法。其中多遇地震反应谱曲线的形式与现行国家标准《建筑抗震设计规范》</w:t>
      </w:r>
      <w:r>
        <w:rPr>
          <w:rFonts w:ascii="华文楷体" w:hAnsi="华文楷体" w:eastAsia="华文楷体" w:cs="华文楷体"/>
          <w:color w:val="0000FF"/>
          <w:szCs w:val="22"/>
        </w:rPr>
        <w:t>GB 50011</w:t>
      </w:r>
      <w:r>
        <w:rPr>
          <w:rFonts w:hint="eastAsia" w:ascii="华文楷体" w:hAnsi="华文楷体" w:eastAsia="华文楷体" w:cs="华文楷体"/>
          <w:color w:val="0000FF"/>
          <w:szCs w:val="22"/>
        </w:rPr>
        <w:t>一致，基本保持原结构设计延续性的考虑。设防、罕遇及极罕遇地震反应谱曲线的形式与现行国家标准《建筑隔震设计标准》</w:t>
      </w:r>
      <w:r>
        <w:rPr>
          <w:rFonts w:ascii="华文楷体" w:hAnsi="华文楷体" w:eastAsia="华文楷体" w:cs="华文楷体"/>
          <w:color w:val="0000FF"/>
          <w:szCs w:val="22"/>
        </w:rPr>
        <w:t>GB/T 51408</w:t>
      </w:r>
      <w:r>
        <w:rPr>
          <w:rFonts w:hint="eastAsia" w:ascii="华文楷体" w:hAnsi="华文楷体" w:eastAsia="华文楷体" w:cs="华文楷体"/>
          <w:color w:val="0000FF"/>
          <w:szCs w:val="22"/>
        </w:rPr>
        <w:t>及现行协会标准《建筑工程抗震性态设计通则》</w:t>
      </w:r>
      <w:r>
        <w:rPr>
          <w:rFonts w:ascii="华文楷体" w:hAnsi="华文楷体" w:eastAsia="华文楷体" w:cs="华文楷体"/>
          <w:color w:val="0000FF"/>
          <w:szCs w:val="22"/>
        </w:rPr>
        <w:t>CECS 160</w:t>
      </w:r>
      <w:r>
        <w:rPr>
          <w:rFonts w:hint="eastAsia" w:ascii="华文楷体" w:hAnsi="华文楷体" w:eastAsia="华文楷体" w:cs="华文楷体"/>
          <w:color w:val="0000FF"/>
          <w:szCs w:val="22"/>
        </w:rPr>
        <w:t>一致，该反应谱曲线依据中国地震局工程力学研究所对近一万组波的统计结果，其更能反映地震波的特性，为许多国家的规范所采用。</w:t>
      </w:r>
    </w:p>
    <w:p>
      <w:pPr>
        <w:pStyle w:val="167"/>
      </w:pPr>
      <w:r>
        <w:rPr>
          <w:rFonts w:hint="eastAsia"/>
        </w:rPr>
        <w:t>场地特征周期应按现行国家标准《建筑抗震设计规范》GB50011的有关规定确定，罕遇地震和极罕遇地震作用时，场地特征周期应分别增加0.05s和0.10s。</w:t>
      </w:r>
    </w:p>
    <w:p>
      <w:pPr>
        <w:pStyle w:val="167"/>
      </w:pPr>
      <w:r>
        <w:rPr>
          <w:rFonts w:hint="eastAsia"/>
        </w:rPr>
        <w:t>地震影响系数应根据烈度、场地类别、结构自振周期以及阻尼比确定。水平地震影响系数最大值应按表4.1.9采用。</w:t>
      </w:r>
    </w:p>
    <w:p>
      <w:pPr>
        <w:pStyle w:val="114"/>
        <w:numPr>
          <w:ilvl w:val="0"/>
          <w:numId w:val="0"/>
        </w:numPr>
        <w:spacing w:before="156" w:after="156"/>
      </w:pPr>
      <w:r>
        <w:rPr>
          <w:rFonts w:hint="eastAsia"/>
        </w:rPr>
        <w:t>表4.1.9  水平地震影响系数最大值</w:t>
      </w:r>
      <w:r>
        <w:rPr>
          <w:rFonts w:ascii="Times New Roman" w:eastAsia="宋体"/>
          <w:color w:val="000000"/>
          <w:position w:val="-10"/>
          <w:sz w:val="15"/>
        </w:rPr>
        <w:object>
          <v:shape id="_x0000_i1046" o:spt="75" type="#_x0000_t75" style="height:16.15pt;width:23.5pt;" o:ole="t" filled="f" o:preferrelative="t" stroked="f" coordsize="21600,21600">
            <v:path/>
            <v:fill on="f" focussize="0,0"/>
            <v:stroke on="f" joinstyle="miter"/>
            <v:imagedata r:id="rId57" o:title=""/>
            <o:lock v:ext="edit" aspectratio="t"/>
            <w10:wrap type="none"/>
            <w10:anchorlock/>
          </v:shape>
          <o:OLEObject Type="Embed" ProgID="Equation.3" ShapeID="_x0000_i1046" DrawAspect="Content" ObjectID="_1468075746" r:id="rId79">
            <o:LockedField>false</o:LockedField>
          </o:OLEObject>
        </w:object>
      </w:r>
    </w:p>
    <w:tbl>
      <w:tblPr>
        <w:tblStyle w:val="28"/>
        <w:tblW w:w="318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42"/>
        <w:gridCol w:w="840"/>
        <w:gridCol w:w="868"/>
        <w:gridCol w:w="855"/>
        <w:gridCol w:w="852"/>
        <w:gridCol w:w="7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543" w:type="pct"/>
            <w:vMerge w:val="restart"/>
            <w:tcBorders>
              <w:top w:val="single" w:color="auto" w:sz="8" w:space="0"/>
            </w:tcBorders>
            <w:shd w:val="clear" w:color="auto" w:fill="auto"/>
            <w:vAlign w:val="center"/>
          </w:tcPr>
          <w:p>
            <w:pPr>
              <w:pStyle w:val="180"/>
            </w:pPr>
            <w:r>
              <w:rPr>
                <w:rFonts w:hint="eastAsia"/>
              </w:rPr>
              <w:t>地震影响</w:t>
            </w:r>
          </w:p>
        </w:tc>
        <w:tc>
          <w:tcPr>
            <w:tcW w:w="1431" w:type="pct"/>
            <w:gridSpan w:val="2"/>
            <w:tcBorders>
              <w:top w:val="single" w:color="auto" w:sz="8" w:space="0"/>
              <w:bottom w:val="single" w:color="auto" w:sz="8" w:space="0"/>
            </w:tcBorders>
            <w:shd w:val="clear" w:color="auto" w:fill="auto"/>
          </w:tcPr>
          <w:p>
            <w:pPr>
              <w:pStyle w:val="180"/>
            </w:pPr>
            <w:r>
              <w:rPr>
                <w:rFonts w:hint="eastAsia"/>
              </w:rPr>
              <w:t>7度</w:t>
            </w:r>
          </w:p>
        </w:tc>
        <w:tc>
          <w:tcPr>
            <w:tcW w:w="1430" w:type="pct"/>
            <w:gridSpan w:val="2"/>
            <w:tcBorders>
              <w:top w:val="single" w:color="auto" w:sz="8" w:space="0"/>
              <w:bottom w:val="single" w:color="auto" w:sz="8" w:space="0"/>
            </w:tcBorders>
            <w:shd w:val="clear" w:color="auto" w:fill="auto"/>
          </w:tcPr>
          <w:p>
            <w:pPr>
              <w:pStyle w:val="180"/>
            </w:pPr>
            <w:r>
              <w:rPr>
                <w:rFonts w:hint="eastAsia"/>
              </w:rPr>
              <w:t>8度</w:t>
            </w:r>
          </w:p>
        </w:tc>
        <w:tc>
          <w:tcPr>
            <w:tcW w:w="596" w:type="pct"/>
            <w:vMerge w:val="restart"/>
            <w:tcBorders>
              <w:top w:val="single" w:color="auto" w:sz="8" w:space="0"/>
            </w:tcBorders>
            <w:vAlign w:val="center"/>
          </w:tcPr>
          <w:p>
            <w:pPr>
              <w:pStyle w:val="180"/>
            </w:pPr>
            <w:r>
              <w:rPr>
                <w:rFonts w:hint="eastAsia"/>
              </w:rPr>
              <w:t>9度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43" w:type="pct"/>
            <w:vMerge w:val="continue"/>
            <w:shd w:val="clear" w:color="auto" w:fill="auto"/>
            <w:vAlign w:val="center"/>
          </w:tcPr>
          <w:p>
            <w:pPr>
              <w:pStyle w:val="180"/>
            </w:pPr>
          </w:p>
        </w:tc>
        <w:tc>
          <w:tcPr>
            <w:tcW w:w="704" w:type="pct"/>
            <w:tcBorders>
              <w:top w:val="single" w:color="auto" w:sz="8" w:space="0"/>
            </w:tcBorders>
            <w:shd w:val="clear" w:color="auto" w:fill="auto"/>
          </w:tcPr>
          <w:p>
            <w:pPr>
              <w:pStyle w:val="180"/>
            </w:pPr>
            <w:r>
              <w:t>0.10g</w:t>
            </w:r>
          </w:p>
        </w:tc>
        <w:tc>
          <w:tcPr>
            <w:tcW w:w="727" w:type="pct"/>
            <w:tcBorders>
              <w:top w:val="single" w:color="auto" w:sz="8" w:space="0"/>
            </w:tcBorders>
            <w:shd w:val="clear" w:color="auto" w:fill="auto"/>
          </w:tcPr>
          <w:p>
            <w:pPr>
              <w:pStyle w:val="180"/>
            </w:pPr>
            <w:r>
              <w:t>0.15g</w:t>
            </w:r>
          </w:p>
        </w:tc>
        <w:tc>
          <w:tcPr>
            <w:tcW w:w="716" w:type="pct"/>
            <w:tcBorders>
              <w:top w:val="single" w:color="auto" w:sz="8" w:space="0"/>
            </w:tcBorders>
            <w:shd w:val="clear" w:color="auto" w:fill="auto"/>
          </w:tcPr>
          <w:p>
            <w:pPr>
              <w:pStyle w:val="180"/>
            </w:pPr>
            <w:r>
              <w:t>0.20g</w:t>
            </w:r>
          </w:p>
        </w:tc>
        <w:tc>
          <w:tcPr>
            <w:tcW w:w="714" w:type="pct"/>
            <w:tcBorders>
              <w:top w:val="single" w:color="auto" w:sz="8" w:space="0"/>
            </w:tcBorders>
            <w:shd w:val="clear" w:color="auto" w:fill="auto"/>
          </w:tcPr>
          <w:p>
            <w:pPr>
              <w:pStyle w:val="180"/>
            </w:pPr>
            <w:r>
              <w:t>0.30g</w:t>
            </w:r>
          </w:p>
        </w:tc>
        <w:tc>
          <w:tcPr>
            <w:tcW w:w="596" w:type="pct"/>
            <w:vMerge w:val="continue"/>
            <w:vAlign w:val="center"/>
          </w:tcPr>
          <w:p>
            <w:pPr>
              <w:pStyle w:val="1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43" w:type="pct"/>
            <w:shd w:val="clear" w:color="auto" w:fill="auto"/>
            <w:vAlign w:val="center"/>
          </w:tcPr>
          <w:p>
            <w:pPr>
              <w:pStyle w:val="180"/>
            </w:pPr>
            <w:r>
              <w:rPr>
                <w:rFonts w:hint="eastAsia"/>
              </w:rPr>
              <w:t>多遇地震</w:t>
            </w:r>
          </w:p>
        </w:tc>
        <w:tc>
          <w:tcPr>
            <w:tcW w:w="704" w:type="pct"/>
            <w:shd w:val="clear" w:color="auto" w:fill="auto"/>
          </w:tcPr>
          <w:p>
            <w:pPr>
              <w:pStyle w:val="180"/>
            </w:pPr>
            <w:r>
              <w:t>0.08</w:t>
            </w:r>
          </w:p>
        </w:tc>
        <w:tc>
          <w:tcPr>
            <w:tcW w:w="727" w:type="pct"/>
            <w:shd w:val="clear" w:color="auto" w:fill="auto"/>
          </w:tcPr>
          <w:p>
            <w:pPr>
              <w:pStyle w:val="180"/>
            </w:pPr>
            <w:r>
              <w:t>0.12</w:t>
            </w:r>
          </w:p>
        </w:tc>
        <w:tc>
          <w:tcPr>
            <w:tcW w:w="716" w:type="pct"/>
            <w:shd w:val="clear" w:color="auto" w:fill="auto"/>
          </w:tcPr>
          <w:p>
            <w:pPr>
              <w:pStyle w:val="180"/>
            </w:pPr>
            <w:r>
              <w:t>0.16</w:t>
            </w:r>
          </w:p>
        </w:tc>
        <w:tc>
          <w:tcPr>
            <w:tcW w:w="714" w:type="pct"/>
            <w:shd w:val="clear" w:color="auto" w:fill="auto"/>
          </w:tcPr>
          <w:p>
            <w:pPr>
              <w:pStyle w:val="180"/>
            </w:pPr>
            <w:r>
              <w:t>0.24</w:t>
            </w:r>
          </w:p>
        </w:tc>
        <w:tc>
          <w:tcPr>
            <w:tcW w:w="596" w:type="pct"/>
            <w:vAlign w:val="center"/>
          </w:tcPr>
          <w:p>
            <w:pPr>
              <w:pStyle w:val="180"/>
            </w:pPr>
            <w:r>
              <w:t>0.32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43" w:type="pct"/>
            <w:shd w:val="clear" w:color="auto" w:fill="auto"/>
            <w:vAlign w:val="center"/>
          </w:tcPr>
          <w:p>
            <w:pPr>
              <w:pStyle w:val="180"/>
            </w:pPr>
            <w:r>
              <w:rPr>
                <w:rFonts w:hint="eastAsia"/>
              </w:rPr>
              <w:t>设防地震</w:t>
            </w:r>
          </w:p>
        </w:tc>
        <w:tc>
          <w:tcPr>
            <w:tcW w:w="704" w:type="pct"/>
            <w:shd w:val="clear" w:color="auto" w:fill="auto"/>
          </w:tcPr>
          <w:p>
            <w:pPr>
              <w:pStyle w:val="180"/>
            </w:pPr>
            <w:r>
              <w:t>0.23</w:t>
            </w:r>
          </w:p>
        </w:tc>
        <w:tc>
          <w:tcPr>
            <w:tcW w:w="727" w:type="pct"/>
            <w:shd w:val="clear" w:color="auto" w:fill="auto"/>
          </w:tcPr>
          <w:p>
            <w:pPr>
              <w:pStyle w:val="180"/>
            </w:pPr>
            <w:r>
              <w:t>0.34</w:t>
            </w:r>
          </w:p>
        </w:tc>
        <w:tc>
          <w:tcPr>
            <w:tcW w:w="716" w:type="pct"/>
            <w:shd w:val="clear" w:color="auto" w:fill="auto"/>
          </w:tcPr>
          <w:p>
            <w:pPr>
              <w:pStyle w:val="180"/>
            </w:pPr>
            <w:r>
              <w:t>0.45</w:t>
            </w:r>
          </w:p>
        </w:tc>
        <w:tc>
          <w:tcPr>
            <w:tcW w:w="714" w:type="pct"/>
            <w:shd w:val="clear" w:color="auto" w:fill="auto"/>
          </w:tcPr>
          <w:p>
            <w:pPr>
              <w:pStyle w:val="180"/>
            </w:pPr>
            <w:r>
              <w:t>0.68</w:t>
            </w:r>
          </w:p>
        </w:tc>
        <w:tc>
          <w:tcPr>
            <w:tcW w:w="596" w:type="pct"/>
            <w:vAlign w:val="center"/>
          </w:tcPr>
          <w:p>
            <w:pPr>
              <w:pStyle w:val="180"/>
            </w:pPr>
            <w:r>
              <w:t>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43" w:type="pct"/>
            <w:shd w:val="clear" w:color="auto" w:fill="auto"/>
            <w:vAlign w:val="center"/>
          </w:tcPr>
          <w:p>
            <w:pPr>
              <w:pStyle w:val="180"/>
            </w:pPr>
            <w:r>
              <w:rPr>
                <w:rFonts w:hint="eastAsia"/>
              </w:rPr>
              <w:t>罕遇地震</w:t>
            </w:r>
          </w:p>
        </w:tc>
        <w:tc>
          <w:tcPr>
            <w:tcW w:w="704" w:type="pct"/>
            <w:shd w:val="clear" w:color="auto" w:fill="auto"/>
          </w:tcPr>
          <w:p>
            <w:pPr>
              <w:pStyle w:val="180"/>
            </w:pPr>
            <w:r>
              <w:t>0.50</w:t>
            </w:r>
          </w:p>
        </w:tc>
        <w:tc>
          <w:tcPr>
            <w:tcW w:w="727" w:type="pct"/>
            <w:shd w:val="clear" w:color="auto" w:fill="auto"/>
          </w:tcPr>
          <w:p>
            <w:pPr>
              <w:pStyle w:val="180"/>
            </w:pPr>
            <w:r>
              <w:t>0.72</w:t>
            </w:r>
          </w:p>
        </w:tc>
        <w:tc>
          <w:tcPr>
            <w:tcW w:w="716" w:type="pct"/>
            <w:shd w:val="clear" w:color="auto" w:fill="auto"/>
          </w:tcPr>
          <w:p>
            <w:pPr>
              <w:pStyle w:val="180"/>
            </w:pPr>
            <w:r>
              <w:t>0.90</w:t>
            </w:r>
          </w:p>
        </w:tc>
        <w:tc>
          <w:tcPr>
            <w:tcW w:w="714" w:type="pct"/>
            <w:shd w:val="clear" w:color="auto" w:fill="auto"/>
          </w:tcPr>
          <w:p>
            <w:pPr>
              <w:pStyle w:val="180"/>
            </w:pPr>
            <w:r>
              <w:t>1.20</w:t>
            </w:r>
          </w:p>
        </w:tc>
        <w:tc>
          <w:tcPr>
            <w:tcW w:w="596" w:type="pct"/>
          </w:tcPr>
          <w:p>
            <w:pPr>
              <w:pStyle w:val="180"/>
            </w:pPr>
            <w:r>
              <w:t>1.40</w:t>
            </w:r>
          </w:p>
        </w:tc>
      </w:tr>
    </w:tbl>
    <w:p>
      <w:pPr>
        <w:pStyle w:val="167"/>
      </w:pPr>
      <w:r>
        <w:rPr>
          <w:rFonts w:hint="eastAsia"/>
        </w:rPr>
        <w:t>当处于发震断层 10km 以内时，地震作用计算应考虑近场影响，乘以增大系数，5km 及以内宜取 1.25，5km 以外可取不小于 1.15。</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4.1.10</w:t>
      </w:r>
      <w:r>
        <w:rPr>
          <w:rFonts w:hint="eastAsia" w:ascii="华文楷体" w:hAnsi="华文楷体" w:eastAsia="华文楷体" w:cs="华文楷体"/>
          <w:color w:val="0000FF"/>
          <w:szCs w:val="22"/>
        </w:rPr>
        <w:t>目前，对于地断层地震动的认识还十分有限。对于近断层地震动的速度脉冲和永久位移等特性的产生机理尚不明确。近断层地震动特性对建筑结构的影响研究也不充分。因此本标准参考《</w:t>
      </w:r>
      <w:r>
        <w:rPr>
          <w:rFonts w:ascii="华文楷体" w:hAnsi="华文楷体" w:eastAsia="华文楷体" w:cs="华文楷体"/>
          <w:color w:val="0000FF"/>
          <w:szCs w:val="22"/>
        </w:rPr>
        <w:t>Uniform Building Code 1997</w:t>
      </w:r>
      <w:r>
        <w:rPr>
          <w:rFonts w:hint="eastAsia" w:ascii="华文楷体" w:hAnsi="华文楷体" w:eastAsia="华文楷体" w:cs="华文楷体"/>
          <w:color w:val="0000FF"/>
          <w:szCs w:val="22"/>
        </w:rPr>
        <w:t>》中对近断层地震动的处理方法。在《</w:t>
      </w:r>
      <w:r>
        <w:rPr>
          <w:rFonts w:ascii="华文楷体" w:hAnsi="华文楷体" w:eastAsia="华文楷体" w:cs="华文楷体"/>
          <w:color w:val="0000FF"/>
          <w:szCs w:val="22"/>
        </w:rPr>
        <w:t>Uniform Building Code 1997</w:t>
      </w:r>
      <w:r>
        <w:rPr>
          <w:rFonts w:hint="eastAsia" w:ascii="华文楷体" w:hAnsi="华文楷体" w:eastAsia="华文楷体" w:cs="华文楷体"/>
          <w:color w:val="0000FF"/>
          <w:szCs w:val="22"/>
        </w:rPr>
        <w:t>》中，只对</w:t>
      </w:r>
      <w:r>
        <w:rPr>
          <w:rFonts w:ascii="华文楷体" w:hAnsi="华文楷体" w:eastAsia="华文楷体" w:cs="华文楷体"/>
          <w:color w:val="0000FF"/>
          <w:szCs w:val="22"/>
        </w:rPr>
        <w:t xml:space="preserve"> Z</w:t>
      </w:r>
      <w:r>
        <w:rPr>
          <w:rFonts w:hint="eastAsia" w:ascii="华文楷体" w:hAnsi="华文楷体" w:eastAsia="华文楷体" w:cs="华文楷体"/>
          <w:color w:val="0000FF"/>
          <w:szCs w:val="22"/>
        </w:rPr>
        <w:t>≥</w:t>
      </w:r>
      <w:r>
        <w:rPr>
          <w:rFonts w:ascii="华文楷体" w:hAnsi="华文楷体" w:eastAsia="华文楷体" w:cs="华文楷体"/>
          <w:color w:val="0000FF"/>
          <w:szCs w:val="22"/>
        </w:rPr>
        <w:t xml:space="preserve">0.40 </w:t>
      </w:r>
      <w:r>
        <w:rPr>
          <w:rFonts w:hint="eastAsia" w:ascii="华文楷体" w:hAnsi="华文楷体" w:eastAsia="华文楷体" w:cs="华文楷体"/>
          <w:color w:val="0000FF"/>
          <w:szCs w:val="22"/>
        </w:rPr>
        <w:t>区（相当于我国基本烈度九度区）考虑近场效应对加速度反应谱峰值的放大影响，同时将发震断层按活动强烈程度划分为</w:t>
      </w:r>
      <w:r>
        <w:rPr>
          <w:rFonts w:ascii="华文楷体" w:hAnsi="华文楷体" w:eastAsia="华文楷体" w:cs="华文楷体"/>
          <w:color w:val="0000FF"/>
          <w:szCs w:val="22"/>
        </w:rPr>
        <w:t xml:space="preserve"> A</w:t>
      </w:r>
      <w:r>
        <w:rPr>
          <w:rFonts w:hint="eastAsia" w:ascii="华文楷体" w:hAnsi="华文楷体" w:eastAsia="华文楷体" w:cs="华文楷体"/>
          <w:color w:val="0000FF"/>
          <w:szCs w:val="22"/>
        </w:rPr>
        <w:t>、</w:t>
      </w:r>
      <w:r>
        <w:rPr>
          <w:rFonts w:ascii="华文楷体" w:hAnsi="华文楷体" w:eastAsia="华文楷体" w:cs="华文楷体"/>
          <w:color w:val="0000FF"/>
          <w:szCs w:val="22"/>
        </w:rPr>
        <w:t>B</w:t>
      </w:r>
      <w:r>
        <w:rPr>
          <w:rFonts w:hint="eastAsia" w:ascii="华文楷体" w:hAnsi="华文楷体" w:eastAsia="华文楷体" w:cs="华文楷体"/>
          <w:color w:val="0000FF"/>
          <w:szCs w:val="22"/>
        </w:rPr>
        <w:t>、</w:t>
      </w:r>
      <w:r>
        <w:rPr>
          <w:rFonts w:ascii="华文楷体" w:hAnsi="华文楷体" w:eastAsia="华文楷体" w:cs="华文楷体"/>
          <w:color w:val="0000FF"/>
          <w:szCs w:val="22"/>
        </w:rPr>
        <w:t xml:space="preserve">C </w:t>
      </w:r>
      <w:r>
        <w:rPr>
          <w:rFonts w:hint="eastAsia" w:ascii="华文楷体" w:hAnsi="华文楷体" w:eastAsia="华文楷体" w:cs="华文楷体"/>
          <w:color w:val="0000FF"/>
          <w:szCs w:val="22"/>
        </w:rPr>
        <w:t>三个等级，不同等级发震断层增大系数不同。其中</w:t>
      </w:r>
      <w:r>
        <w:rPr>
          <w:rFonts w:ascii="华文楷体" w:hAnsi="华文楷体" w:eastAsia="华文楷体" w:cs="华文楷体"/>
          <w:color w:val="0000FF"/>
          <w:szCs w:val="22"/>
        </w:rPr>
        <w:t xml:space="preserve"> A </w:t>
      </w:r>
      <w:r>
        <w:rPr>
          <w:rFonts w:hint="eastAsia" w:ascii="华文楷体" w:hAnsi="华文楷体" w:eastAsia="华文楷体" w:cs="华文楷体"/>
          <w:color w:val="0000FF"/>
          <w:szCs w:val="22"/>
        </w:rPr>
        <w:t>级发震断层（最大发震震级不小于</w:t>
      </w:r>
      <w:r>
        <w:rPr>
          <w:rFonts w:ascii="华文楷体" w:hAnsi="华文楷体" w:eastAsia="华文楷体" w:cs="华文楷体"/>
          <w:color w:val="0000FF"/>
          <w:szCs w:val="22"/>
        </w:rPr>
        <w:t>7</w:t>
      </w:r>
      <w:r>
        <w:rPr>
          <w:rFonts w:hint="eastAsia" w:ascii="华文楷体" w:hAnsi="华文楷体" w:eastAsia="华文楷体" w:cs="华文楷体"/>
          <w:color w:val="0000FF"/>
          <w:szCs w:val="22"/>
        </w:rPr>
        <w:t>级，滑动速率大于每年</w:t>
      </w:r>
      <w:r>
        <w:rPr>
          <w:rFonts w:ascii="华文楷体" w:hAnsi="华文楷体" w:eastAsia="华文楷体" w:cs="华文楷体"/>
          <w:color w:val="0000FF"/>
          <w:szCs w:val="22"/>
        </w:rPr>
        <w:t xml:space="preserve"> 5mm</w:t>
      </w:r>
      <w:r>
        <w:rPr>
          <w:rFonts w:hint="eastAsia" w:ascii="华文楷体" w:hAnsi="华文楷体" w:eastAsia="华文楷体" w:cs="华文楷体"/>
          <w:color w:val="0000FF"/>
          <w:szCs w:val="22"/>
        </w:rPr>
        <w:t>）</w:t>
      </w:r>
      <w:r>
        <w:rPr>
          <w:rFonts w:ascii="华文楷体" w:hAnsi="华文楷体" w:eastAsia="华文楷体" w:cs="华文楷体"/>
          <w:color w:val="0000FF"/>
          <w:szCs w:val="22"/>
        </w:rPr>
        <w:t xml:space="preserve">10 </w:t>
      </w:r>
      <w:r>
        <w:rPr>
          <w:rFonts w:hint="eastAsia" w:ascii="华文楷体" w:hAnsi="华文楷体" w:eastAsia="华文楷体" w:cs="华文楷体"/>
          <w:color w:val="0000FF"/>
          <w:szCs w:val="22"/>
        </w:rPr>
        <w:t>公里范围的场地要考虑近场系数，</w:t>
      </w:r>
      <w:r>
        <w:rPr>
          <w:rFonts w:ascii="华文楷体" w:hAnsi="华文楷体" w:eastAsia="华文楷体" w:cs="华文楷体"/>
          <w:color w:val="0000FF"/>
          <w:szCs w:val="22"/>
        </w:rPr>
        <w:t>B</w:t>
      </w:r>
      <w:r>
        <w:rPr>
          <w:rFonts w:hint="eastAsia" w:ascii="华文楷体" w:hAnsi="华文楷体" w:eastAsia="华文楷体" w:cs="华文楷体"/>
          <w:color w:val="0000FF"/>
          <w:szCs w:val="22"/>
        </w:rPr>
        <w:t>、</w:t>
      </w:r>
      <w:r>
        <w:rPr>
          <w:rFonts w:ascii="华文楷体" w:hAnsi="华文楷体" w:eastAsia="华文楷体" w:cs="华文楷体"/>
          <w:color w:val="0000FF"/>
          <w:szCs w:val="22"/>
        </w:rPr>
        <w:t xml:space="preserve">C </w:t>
      </w:r>
      <w:r>
        <w:rPr>
          <w:rFonts w:hint="eastAsia" w:ascii="华文楷体" w:hAnsi="华文楷体" w:eastAsia="华文楷体" w:cs="华文楷体"/>
          <w:color w:val="0000FF"/>
          <w:szCs w:val="22"/>
        </w:rPr>
        <w:t>级发震断层</w:t>
      </w:r>
      <w:r>
        <w:rPr>
          <w:rFonts w:ascii="华文楷体" w:hAnsi="华文楷体" w:eastAsia="华文楷体" w:cs="华文楷体"/>
          <w:color w:val="0000FF"/>
          <w:szCs w:val="22"/>
        </w:rPr>
        <w:t xml:space="preserve"> 5km </w:t>
      </w:r>
      <w:r>
        <w:rPr>
          <w:rFonts w:hint="eastAsia" w:ascii="华文楷体" w:hAnsi="华文楷体" w:eastAsia="华文楷体" w:cs="华文楷体"/>
          <w:color w:val="0000FF"/>
          <w:szCs w:val="22"/>
        </w:rPr>
        <w:t>外不考虑近场系数。</w:t>
      </w:r>
    </w:p>
    <w:p>
      <w:pPr>
        <w:pStyle w:val="167"/>
      </w:pPr>
      <w:r>
        <w:rPr>
          <w:rFonts w:hint="eastAsia"/>
        </w:rPr>
        <w:t>采用消能减震或隔震进行抗震加固时， A类、B类建筑的地震作用分别按0.8、0.9系数折减。</w:t>
      </w:r>
    </w:p>
    <w:p>
      <w:pPr>
        <w:adjustRightInd/>
        <w:spacing w:line="240" w:lineRule="auto"/>
        <w:rPr>
          <w:rFonts w:ascii="华文楷体" w:hAnsi="华文楷体" w:eastAsia="华文楷体" w:cs="华文楷体"/>
          <w:color w:val="FF0000"/>
          <w:szCs w:val="22"/>
        </w:rPr>
      </w:pPr>
      <w:r>
        <w:rPr>
          <w:rFonts w:hint="eastAsia" w:ascii="华文楷体" w:hAnsi="华文楷体" w:eastAsia="华文楷体" w:cs="华文楷体"/>
          <w:color w:val="FF0000"/>
          <w:szCs w:val="22"/>
        </w:rPr>
        <w:t>条文说明</w:t>
      </w:r>
      <w:r>
        <w:rPr>
          <w:rFonts w:ascii="华文楷体" w:hAnsi="华文楷体" w:eastAsia="华文楷体" w:cs="华文楷体"/>
          <w:color w:val="FF0000"/>
          <w:szCs w:val="22"/>
        </w:rPr>
        <w:t>4.1.11</w:t>
      </w:r>
      <w:r>
        <w:rPr>
          <w:rFonts w:hint="eastAsia" w:ascii="华文楷体" w:hAnsi="华文楷体" w:eastAsia="华文楷体" w:cs="华文楷体"/>
          <w:color w:val="FF0000"/>
          <w:szCs w:val="22"/>
        </w:rPr>
        <w:t>对应后续使用年限为</w:t>
      </w:r>
      <w:r>
        <w:rPr>
          <w:rFonts w:ascii="华文楷体" w:hAnsi="华文楷体" w:eastAsia="华文楷体" w:cs="华文楷体"/>
          <w:color w:val="FF0000"/>
          <w:szCs w:val="22"/>
        </w:rPr>
        <w:t>30</w:t>
      </w:r>
      <w:r>
        <w:rPr>
          <w:rFonts w:hint="eastAsia" w:ascii="华文楷体" w:hAnsi="华文楷体" w:eastAsia="华文楷体" w:cs="华文楷体"/>
          <w:color w:val="FF0000"/>
          <w:szCs w:val="22"/>
        </w:rPr>
        <w:t>年（</w:t>
      </w:r>
      <w:r>
        <w:rPr>
          <w:rFonts w:ascii="华文楷体" w:hAnsi="华文楷体" w:eastAsia="华文楷体" w:cs="华文楷体"/>
          <w:color w:val="FF0000"/>
          <w:szCs w:val="22"/>
        </w:rPr>
        <w:t>A</w:t>
      </w:r>
      <w:r>
        <w:rPr>
          <w:rFonts w:hint="eastAsia" w:ascii="华文楷体" w:hAnsi="华文楷体" w:eastAsia="华文楷体" w:cs="华文楷体"/>
          <w:color w:val="FF0000"/>
          <w:szCs w:val="22"/>
        </w:rPr>
        <w:t>类）或</w:t>
      </w:r>
      <w:r>
        <w:rPr>
          <w:rFonts w:ascii="华文楷体" w:hAnsi="华文楷体" w:eastAsia="华文楷体" w:cs="华文楷体"/>
          <w:color w:val="FF0000"/>
          <w:szCs w:val="22"/>
        </w:rPr>
        <w:t>40</w:t>
      </w:r>
      <w:r>
        <w:rPr>
          <w:rFonts w:hint="eastAsia" w:ascii="华文楷体" w:hAnsi="华文楷体" w:eastAsia="华文楷体" w:cs="华文楷体"/>
          <w:color w:val="FF0000"/>
          <w:szCs w:val="22"/>
        </w:rPr>
        <w:t>年（</w:t>
      </w:r>
      <w:r>
        <w:rPr>
          <w:rFonts w:ascii="华文楷体" w:hAnsi="华文楷体" w:eastAsia="华文楷体" w:cs="华文楷体"/>
          <w:color w:val="FF0000"/>
          <w:szCs w:val="22"/>
        </w:rPr>
        <w:t>B</w:t>
      </w:r>
      <w:r>
        <w:rPr>
          <w:rFonts w:hint="eastAsia" w:ascii="华文楷体" w:hAnsi="华文楷体" w:eastAsia="华文楷体" w:cs="华文楷体"/>
          <w:color w:val="FF0000"/>
          <w:szCs w:val="22"/>
        </w:rPr>
        <w:t>类）内发生与</w:t>
      </w:r>
      <w:r>
        <w:rPr>
          <w:rFonts w:ascii="华文楷体" w:hAnsi="华文楷体" w:eastAsia="华文楷体" w:cs="华文楷体"/>
          <w:color w:val="FF0000"/>
          <w:szCs w:val="22"/>
        </w:rPr>
        <w:t>50</w:t>
      </w:r>
      <w:r>
        <w:rPr>
          <w:rFonts w:hint="eastAsia" w:ascii="华文楷体" w:hAnsi="华文楷体" w:eastAsia="华文楷体" w:cs="华文楷体"/>
          <w:color w:val="FF0000"/>
          <w:szCs w:val="22"/>
        </w:rPr>
        <w:t>年内相同超越概率为</w:t>
      </w:r>
      <w:r>
        <w:rPr>
          <w:rFonts w:ascii="华文楷体" w:hAnsi="华文楷体" w:eastAsia="华文楷体" w:cs="华文楷体"/>
          <w:color w:val="FF0000"/>
          <w:szCs w:val="22"/>
        </w:rPr>
        <w:t>63%</w:t>
      </w:r>
      <w:r>
        <w:rPr>
          <w:rFonts w:hint="eastAsia" w:ascii="华文楷体" w:hAnsi="华文楷体" w:eastAsia="华文楷体" w:cs="华文楷体"/>
          <w:color w:val="FF0000"/>
          <w:szCs w:val="22"/>
        </w:rPr>
        <w:t>、</w:t>
      </w:r>
      <w:r>
        <w:rPr>
          <w:rFonts w:ascii="华文楷体" w:hAnsi="华文楷体" w:eastAsia="华文楷体" w:cs="华文楷体"/>
          <w:color w:val="FF0000"/>
          <w:szCs w:val="22"/>
        </w:rPr>
        <w:t>10%</w:t>
      </w:r>
      <w:r>
        <w:rPr>
          <w:rFonts w:hint="eastAsia" w:ascii="华文楷体" w:hAnsi="华文楷体" w:eastAsia="华文楷体" w:cs="华文楷体"/>
          <w:color w:val="FF0000"/>
          <w:szCs w:val="22"/>
        </w:rPr>
        <w:t>和</w:t>
      </w:r>
      <w:r>
        <w:rPr>
          <w:rFonts w:ascii="华文楷体" w:hAnsi="华文楷体" w:eastAsia="华文楷体" w:cs="华文楷体"/>
          <w:color w:val="FF0000"/>
          <w:szCs w:val="22"/>
        </w:rPr>
        <w:t>2%~3%</w:t>
      </w:r>
      <w:r>
        <w:rPr>
          <w:rFonts w:hint="eastAsia" w:ascii="华文楷体" w:hAnsi="华文楷体" w:eastAsia="华文楷体" w:cs="华文楷体"/>
          <w:color w:val="FF0000"/>
          <w:szCs w:val="22"/>
        </w:rPr>
        <w:t>的地震烈度作为</w:t>
      </w:r>
      <w:r>
        <w:rPr>
          <w:rFonts w:ascii="华文楷体" w:hAnsi="华文楷体" w:eastAsia="华文楷体" w:cs="华文楷体"/>
          <w:color w:val="FF0000"/>
          <w:szCs w:val="22"/>
        </w:rPr>
        <w:t>A</w:t>
      </w:r>
      <w:r>
        <w:rPr>
          <w:rFonts w:hint="eastAsia" w:ascii="华文楷体" w:hAnsi="华文楷体" w:eastAsia="华文楷体" w:cs="华文楷体"/>
          <w:color w:val="FF0000"/>
          <w:szCs w:val="22"/>
        </w:rPr>
        <w:t>类或</w:t>
      </w:r>
      <w:r>
        <w:rPr>
          <w:rFonts w:ascii="华文楷体" w:hAnsi="华文楷体" w:eastAsia="华文楷体" w:cs="华文楷体"/>
          <w:color w:val="FF0000"/>
          <w:szCs w:val="22"/>
        </w:rPr>
        <w:t>B</w:t>
      </w:r>
      <w:r>
        <w:rPr>
          <w:rFonts w:hint="eastAsia" w:ascii="华文楷体" w:hAnsi="华文楷体" w:eastAsia="华文楷体" w:cs="华文楷体"/>
          <w:color w:val="FF0000"/>
          <w:szCs w:val="22"/>
        </w:rPr>
        <w:t>类建筑的多遇地震、设防地震和罕遇地震，继续采用三级设防水准的概念，相应地震作用进行折减。</w:t>
      </w:r>
    </w:p>
    <w:p>
      <w:pPr>
        <w:pStyle w:val="167"/>
        <w:numPr>
          <w:ilvl w:val="0"/>
          <w:numId w:val="0"/>
        </w:numPr>
      </w:pPr>
    </w:p>
    <w:p>
      <w:pPr>
        <w:pStyle w:val="107"/>
        <w:spacing w:before="156" w:after="156"/>
        <w:jc w:val="center"/>
      </w:pPr>
      <w:r>
        <w:rPr>
          <w:rFonts w:hint="eastAsia"/>
        </w:rPr>
        <w:t>水平地震作用计算</w:t>
      </w:r>
    </w:p>
    <w:p>
      <w:pPr>
        <w:pStyle w:val="167"/>
      </w:pPr>
      <w:r>
        <w:rPr>
          <w:rFonts w:hint="eastAsia"/>
        </w:rPr>
        <w:t>采用振型分解反应谱法不进行扭转耦联计算的结构，应按下列规定计算其地震作用和作用效应：</w:t>
      </w:r>
    </w:p>
    <w:p>
      <w:pPr>
        <w:pStyle w:val="58"/>
        <w:ind w:firstLine="420"/>
      </w:pPr>
      <w:r>
        <w:rPr>
          <w:rFonts w:hint="eastAsia" w:ascii="黑体" w:hAnsi="黑体" w:eastAsia="黑体"/>
        </w:rPr>
        <w:t>1</w:t>
      </w:r>
      <w:r>
        <w:rPr>
          <w:rFonts w:hint="eastAsia"/>
        </w:rPr>
        <w:t xml:space="preserve"> </w:t>
      </w:r>
      <w:r>
        <w:t xml:space="preserve"> </w:t>
      </w:r>
      <w:r>
        <w:rPr>
          <w:rFonts w:hint="eastAsia"/>
        </w:rPr>
        <w:t>结构</w:t>
      </w:r>
      <w:r>
        <w:rPr>
          <w:rFonts w:ascii="Times New Roman"/>
          <w:color w:val="000000"/>
          <w:szCs w:val="21"/>
        </w:rPr>
        <w:object>
          <v:shape id="_x0000_i1047" o:spt="75" type="#_x0000_t75" style="height:16.15pt;width:8.8pt;" o:ole="t" filled="f" o:preferrelative="t" stroked="f" coordsize="21600,21600">
            <v:path/>
            <v:fill on="f" focussize="0,0"/>
            <v:stroke on="f" joinstyle="miter"/>
            <v:imagedata r:id="rId81" o:title=""/>
            <o:lock v:ext="edit" aspectratio="t"/>
            <w10:wrap type="none"/>
            <w10:anchorlock/>
          </v:shape>
          <o:OLEObject Type="Embed" ProgID="Equation.3" ShapeID="_x0000_i1047" DrawAspect="Content" ObjectID="_1468075747" r:id="rId80">
            <o:LockedField>false</o:LockedField>
          </o:OLEObject>
        </w:object>
      </w:r>
      <w:r>
        <w:rPr>
          <w:rFonts w:hint="eastAsia"/>
        </w:rPr>
        <w:t>振型</w:t>
      </w:r>
      <w:r>
        <w:rPr>
          <w:rFonts w:ascii="Times New Roman"/>
          <w:color w:val="000000"/>
          <w:szCs w:val="21"/>
        </w:rPr>
        <w:object>
          <v:shape id="_x0000_i1048" o:spt="75" type="#_x0000_t75" style="height:13.95pt;width:7.35pt;" o:ole="t" filled="f" o:preferrelative="t" stroked="f" coordsize="21600,21600">
            <v:path/>
            <v:fill on="f" focussize="0,0"/>
            <v:stroke on="f" joinstyle="miter"/>
            <v:imagedata r:id="rId83" o:title=""/>
            <o:lock v:ext="edit" aspectratio="t"/>
            <w10:wrap type="none"/>
            <w10:anchorlock/>
          </v:shape>
          <o:OLEObject Type="Embed" ProgID="Equation.3" ShapeID="_x0000_i1048" DrawAspect="Content" ObjectID="_1468075748" r:id="rId82">
            <o:LockedField>false</o:LockedField>
          </o:OLEObject>
        </w:object>
      </w:r>
      <w:r>
        <w:rPr>
          <w:rFonts w:hint="eastAsia"/>
        </w:rPr>
        <w:t>质点的水平地震作用标准值，应按下列公式确定：</w:t>
      </w:r>
    </w:p>
    <w:p>
      <w:pPr>
        <w:pStyle w:val="115"/>
      </w:pPr>
      <w:r>
        <w:tab/>
      </w:r>
      <w:r>
        <w:rPr>
          <w:rFonts w:ascii="Times New Roman" w:hAnsi="Times New Roman"/>
          <w:color w:val="000000"/>
          <w:position w:val="-12"/>
        </w:rPr>
        <w:object>
          <v:shape id="_x0000_i1049" o:spt="75" type="#_x0000_t75" style="height:16.15pt;width:72pt;" o:ole="t" filled="f" o:preferrelative="t" stroked="f" coordsize="21600,21600">
            <v:path/>
            <v:fill on="f" focussize="0,0"/>
            <v:stroke on="f" joinstyle="miter"/>
            <v:imagedata r:id="rId85" o:title=""/>
            <o:lock v:ext="edit" aspectratio="t"/>
            <w10:wrap type="none"/>
            <w10:anchorlock/>
          </v:shape>
          <o:OLEObject Type="Embed" ProgID="Equation.3" ShapeID="_x0000_i1049" DrawAspect="Content" ObjectID="_1468075749" r:id="rId84">
            <o:LockedField>false</o:LockedField>
          </o:OLEObject>
        </w:object>
      </w:r>
      <w:r>
        <w:rPr>
          <w:rFonts w:ascii="Times New Roman" w:hAnsi="Times New Roman"/>
          <w:color w:val="000000"/>
        </w:rPr>
        <w:t xml:space="preserve">  (</w:t>
      </w:r>
      <w:r>
        <w:rPr>
          <w:rFonts w:ascii="Times New Roman" w:hAnsi="Times New Roman"/>
          <w:color w:val="000000"/>
          <w:position w:val="-6"/>
        </w:rPr>
        <w:object>
          <v:shape id="_x0000_i1050" o:spt="75" type="#_x0000_t75" style="height:13.95pt;width:7.35pt;" o:ole="t" filled="f" o:preferrelative="t" stroked="f" coordsize="21600,21600">
            <v:path/>
            <v:fill on="f" focussize="0,0"/>
            <v:stroke on="f" joinstyle="miter"/>
            <v:imagedata r:id="rId83" o:title=""/>
            <o:lock v:ext="edit" aspectratio="t"/>
            <w10:wrap type="none"/>
            <w10:anchorlock/>
          </v:shape>
          <o:OLEObject Type="Embed" ProgID="Equation.3" ShapeID="_x0000_i1050" DrawAspect="Content" ObjectID="_1468075750" r:id="rId86">
            <o:LockedField>false</o:LockedField>
          </o:OLEObject>
        </w:object>
      </w:r>
      <w:r>
        <w:rPr>
          <w:rFonts w:ascii="Times New Roman" w:hAnsi="Times New Roman"/>
          <w:color w:val="000000"/>
        </w:rPr>
        <w:t>=1,2,…,</w:t>
      </w:r>
      <w:r>
        <w:rPr>
          <w:rFonts w:ascii="Times New Roman" w:hAnsi="Times New Roman"/>
          <w:color w:val="000000"/>
          <w:position w:val="-6"/>
        </w:rPr>
        <w:object>
          <v:shape id="_x0000_i1051" o:spt="75" type="#_x0000_t75" style="height:11pt;width:8.8pt;" o:ole="t" filled="f" o:preferrelative="t" stroked="f" coordsize="21600,21600">
            <v:path/>
            <v:fill on="f" focussize="0,0"/>
            <v:stroke on="f" joinstyle="miter"/>
            <v:imagedata r:id="rId88" o:title=""/>
            <o:lock v:ext="edit" aspectratio="t"/>
            <w10:wrap type="none"/>
            <w10:anchorlock/>
          </v:shape>
          <o:OLEObject Type="Embed" ProgID="Equation.3" ShapeID="_x0000_i1051" DrawAspect="Content" ObjectID="_1468075751" r:id="rId87">
            <o:LockedField>false</o:LockedField>
          </o:OLEObject>
        </w:object>
      </w:r>
      <w:r>
        <w:rPr>
          <w:rFonts w:ascii="Times New Roman" w:hAnsi="Times New Roman"/>
          <w:color w:val="000000"/>
        </w:rPr>
        <w:t xml:space="preserve">, </w:t>
      </w:r>
      <w:r>
        <w:rPr>
          <w:rFonts w:ascii="Times New Roman" w:hAnsi="Times New Roman"/>
          <w:color w:val="000000"/>
          <w:position w:val="-10"/>
        </w:rPr>
        <w:object>
          <v:shape id="_x0000_i1052" o:spt="75" type="#_x0000_t75" style="height:16.15pt;width:8.8pt;" o:ole="t" filled="f" o:preferrelative="t" stroked="f" coordsize="21600,21600">
            <v:path/>
            <v:fill on="f" focussize="0,0"/>
            <v:stroke on="f" joinstyle="miter"/>
            <v:imagedata r:id="rId81" o:title=""/>
            <o:lock v:ext="edit" aspectratio="t"/>
            <w10:wrap type="none"/>
            <w10:anchorlock/>
          </v:shape>
          <o:OLEObject Type="Embed" ProgID="Equation.3" ShapeID="_x0000_i1052" DrawAspect="Content" ObjectID="_1468075752" r:id="rId89">
            <o:LockedField>false</o:LockedField>
          </o:OLEObject>
        </w:object>
      </w:r>
      <w:r>
        <w:rPr>
          <w:rFonts w:ascii="Times New Roman" w:hAnsi="Times New Roman"/>
          <w:color w:val="000000"/>
        </w:rPr>
        <w:t>=1,2,…,</w:t>
      </w:r>
      <w:r>
        <w:rPr>
          <w:rFonts w:ascii="Times New Roman" w:hAnsi="Times New Roman"/>
          <w:color w:val="000000"/>
          <w:position w:val="-6"/>
        </w:rPr>
        <w:object>
          <v:shape id="_x0000_i1053" o:spt="75" type="#_x0000_t75" style="height:11.75pt;width:13.95pt;" o:ole="t" filled="f" o:preferrelative="t" stroked="f" coordsize="21600,21600">
            <v:path/>
            <v:fill on="f" focussize="0,0"/>
            <v:stroke on="f" joinstyle="miter"/>
            <v:imagedata r:id="rId91" o:title=""/>
            <o:lock v:ext="edit" aspectratio="t"/>
            <w10:wrap type="none"/>
            <w10:anchorlock/>
          </v:shape>
          <o:OLEObject Type="Embed" ProgID="Equation.3" ShapeID="_x0000_i1053" DrawAspect="Content" ObjectID="_1468075753" r:id="rId90">
            <o:LockedField>false</o:LockedField>
          </o:OLEObject>
        </w:object>
      </w:r>
      <w:r>
        <w:rPr>
          <w:rFonts w:ascii="Times New Roman" w:hAnsi="Times New Roman"/>
          <w:color w:val="000000"/>
        </w:rPr>
        <w:t>)</w:t>
      </w:r>
      <w:r>
        <w:rPr>
          <w:rFonts w:ascii="微软雅黑" w:hAnsi="微软雅黑" w:eastAsia="微软雅黑"/>
        </w:rPr>
        <w:tab/>
      </w:r>
      <w:r>
        <w:t>(4.2.1-1)</w:t>
      </w:r>
    </w:p>
    <w:p>
      <w:pPr>
        <w:pStyle w:val="57"/>
        <w:spacing w:line="360" w:lineRule="auto"/>
        <w:ind w:firstLine="420"/>
      </w:pPr>
      <w:r>
        <w:rPr>
          <w:rFonts w:hint="eastAsia"/>
        </w:rPr>
        <w:t>式中：</w:t>
      </w:r>
      <w:r>
        <w:rPr>
          <w:rFonts w:ascii="Times New Roman" w:hAnsi="Times New Roman"/>
          <w:color w:val="000000"/>
          <w:position w:val="-14"/>
        </w:rPr>
        <w:object>
          <v:shape id="_x0000_i1054" o:spt="75" type="#_x0000_t75" style="height:16.15pt;width:16.15pt;" o:ole="t" filled="f" o:preferrelative="t" stroked="f" coordsize="21600,21600">
            <v:path/>
            <v:fill on="f" focussize="0,0"/>
            <v:stroke on="f" joinstyle="miter"/>
            <v:imagedata r:id="rId93" o:title=""/>
            <o:lock v:ext="edit" aspectratio="t"/>
            <w10:wrap type="none"/>
            <w10:anchorlock/>
          </v:shape>
          <o:OLEObject Type="Embed" ProgID="Equation.3" ShapeID="_x0000_i1054" DrawAspect="Content" ObjectID="_1468075754" r:id="rId92">
            <o:LockedField>false</o:LockedField>
          </o:OLEObject>
        </w:object>
      </w:r>
      <w:r>
        <w:rPr>
          <w:rFonts w:ascii="Times New Roman" w:hAnsi="Times New Roman"/>
          <w:strike/>
          <w:color w:val="000000"/>
        </w:rPr>
        <w:t xml:space="preserve">    </w:t>
      </w:r>
      <w:r>
        <w:rPr>
          <w:rFonts w:ascii="Times New Roman" w:hAnsi="Times New Roman"/>
          <w:color w:val="000000"/>
          <w:position w:val="-10"/>
        </w:rPr>
        <w:object>
          <v:shape id="_x0000_i1055" o:spt="75" type="#_x0000_t75" style="height:16.15pt;width:8.8pt;" o:ole="t" filled="f" o:preferrelative="t" stroked="f" coordsize="21600,21600">
            <v:path/>
            <v:fill on="f" focussize="0,0"/>
            <v:stroke on="f" joinstyle="miter"/>
            <v:imagedata r:id="rId81" o:title=""/>
            <o:lock v:ext="edit" aspectratio="t"/>
            <w10:wrap type="none"/>
            <w10:anchorlock/>
          </v:shape>
          <o:OLEObject Type="Embed" ProgID="Equation.3" ShapeID="_x0000_i1055" DrawAspect="Content" ObjectID="_1468075755" r:id="rId94">
            <o:LockedField>false</o:LockedField>
          </o:OLEObject>
        </w:object>
      </w:r>
      <w:r>
        <w:rPr>
          <w:rFonts w:hint="eastAsia" w:ascii="Times New Roman" w:hAnsi="Times New Roman"/>
          <w:color w:val="000000"/>
        </w:rPr>
        <w:t>振型</w:t>
      </w:r>
      <w:r>
        <w:rPr>
          <w:rFonts w:ascii="Times New Roman" w:hAnsi="Times New Roman"/>
          <w:color w:val="000000"/>
          <w:position w:val="-6"/>
        </w:rPr>
        <w:object>
          <v:shape id="_x0000_i1056" o:spt="75" type="#_x0000_t75" style="height:13.95pt;width:7.35pt;" o:ole="t" filled="f" o:preferrelative="t" stroked="f" coordsize="21600,21600">
            <v:path/>
            <v:fill on="f" focussize="0,0"/>
            <v:stroke on="f" joinstyle="miter"/>
            <v:imagedata r:id="rId83" o:title=""/>
            <o:lock v:ext="edit" aspectratio="t"/>
            <w10:wrap type="none"/>
            <w10:anchorlock/>
          </v:shape>
          <o:OLEObject Type="Embed" ProgID="Equation.3" ShapeID="_x0000_i1056" DrawAspect="Content" ObjectID="_1468075756" r:id="rId95">
            <o:LockedField>false</o:LockedField>
          </o:OLEObject>
        </w:object>
      </w:r>
      <w:r>
        <w:rPr>
          <w:rFonts w:hint="eastAsia" w:ascii="Times New Roman" w:hAnsi="Times New Roman"/>
          <w:color w:val="000000"/>
        </w:rPr>
        <w:t>质点的水平地震作用标准值；</w:t>
      </w:r>
    </w:p>
    <w:p>
      <w:pPr>
        <w:pStyle w:val="167"/>
        <w:numPr>
          <w:ilvl w:val="0"/>
          <w:numId w:val="0"/>
        </w:numPr>
        <w:spacing w:line="360" w:lineRule="auto"/>
      </w:pPr>
      <w:r>
        <w:rPr>
          <w:rFonts w:hint="eastAsia"/>
        </w:rPr>
        <w:t xml:space="preserve"> </w:t>
      </w:r>
      <w:r>
        <w:t xml:space="preserve">      </w:t>
      </w:r>
      <w:r>
        <w:rPr>
          <w:rFonts w:ascii="Times New Roman"/>
          <w:color w:val="000000"/>
          <w:position w:val="-14"/>
          <w:szCs w:val="21"/>
        </w:rPr>
        <w:object>
          <v:shape id="_x0000_i1057" o:spt="75" type="#_x0000_t75" style="height:16.15pt;width:13.95pt;" o:ole="t" filled="f" o:preferrelative="t" stroked="f" coordsize="21600,21600">
            <v:path/>
            <v:fill on="f" focussize="0,0"/>
            <v:stroke on="f" joinstyle="miter"/>
            <v:imagedata r:id="rId97" o:title=""/>
            <o:lock v:ext="edit" aspectratio="t"/>
            <w10:wrap type="none"/>
            <w10:anchorlock/>
          </v:shape>
          <o:OLEObject Type="Embed" ProgID="Equation.3" ShapeID="_x0000_i1057" DrawAspect="Content" ObjectID="_1468075757" r:id="rId96">
            <o:LockedField>false</o:LockedField>
          </o:OLEObject>
        </w:object>
      </w:r>
      <w:r>
        <w:rPr>
          <w:rFonts w:ascii="Times New Roman"/>
          <w:strike/>
          <w:color w:val="000000"/>
          <w:szCs w:val="21"/>
        </w:rPr>
        <w:t xml:space="preserve">    </w:t>
      </w:r>
      <w:r>
        <w:rPr>
          <w:rFonts w:hint="eastAsia"/>
        </w:rPr>
        <w:t>相应于</w:t>
      </w:r>
      <w:r>
        <w:rPr>
          <w:position w:val="-10"/>
        </w:rPr>
        <w:object>
          <v:shape id="_x0000_i1058" o:spt="75" type="#_x0000_t75" style="height:16.15pt;width:8.8pt;" o:ole="t" filled="f" o:preferrelative="t" stroked="f" coordsize="21600,21600">
            <v:path/>
            <v:fill on="f" focussize="0,0"/>
            <v:stroke on="f" joinstyle="miter"/>
            <v:imagedata r:id="rId81" o:title=""/>
            <o:lock v:ext="edit" aspectratio="t"/>
            <w10:wrap type="none"/>
            <w10:anchorlock/>
          </v:shape>
          <o:OLEObject Type="Embed" ProgID="Equation.3" ShapeID="_x0000_i1058" DrawAspect="Content" ObjectID="_1468075758" r:id="rId98">
            <o:LockedField>false</o:LockedField>
          </o:OLEObject>
        </w:object>
      </w:r>
      <w:r>
        <w:rPr>
          <w:rFonts w:hint="eastAsia"/>
        </w:rPr>
        <w:t>振型自振周期的地震影响系数，应按</w:t>
      </w:r>
      <w:r>
        <w:t>4.1.6~4.1.9</w:t>
      </w:r>
      <w:r>
        <w:rPr>
          <w:rFonts w:hint="eastAsia"/>
        </w:rPr>
        <w:t>条确定；</w:t>
      </w:r>
    </w:p>
    <w:p>
      <w:pPr>
        <w:pStyle w:val="167"/>
        <w:numPr>
          <w:ilvl w:val="0"/>
          <w:numId w:val="0"/>
        </w:numPr>
        <w:spacing w:line="360" w:lineRule="auto"/>
      </w:pPr>
      <w:r>
        <w:rPr>
          <w:rFonts w:hint="eastAsia"/>
        </w:rPr>
        <w:t xml:space="preserve"> </w:t>
      </w:r>
      <w:r>
        <w:t xml:space="preserve">      </w:t>
      </w:r>
      <w:r>
        <w:rPr>
          <w:rFonts w:ascii="Times New Roman"/>
          <w:color w:val="000000"/>
          <w:position w:val="-14"/>
          <w:szCs w:val="21"/>
        </w:rPr>
        <w:object>
          <v:shape id="_x0000_i1059" o:spt="75" type="#_x0000_t75" style="height:16.15pt;width:18.35pt;" o:ole="t" filled="f" o:preferrelative="t" stroked="f" coordsize="21600,21600">
            <v:path/>
            <v:fill on="f" focussize="0,0"/>
            <v:stroke on="f" joinstyle="miter"/>
            <v:imagedata r:id="rId100" o:title=""/>
            <o:lock v:ext="edit" aspectratio="t"/>
            <w10:wrap type="none"/>
            <w10:anchorlock/>
          </v:shape>
          <o:OLEObject Type="Embed" ProgID="Equation.3" ShapeID="_x0000_i1059" DrawAspect="Content" ObjectID="_1468075759" r:id="rId99">
            <o:LockedField>false</o:LockedField>
          </o:OLEObject>
        </w:object>
      </w:r>
      <w:r>
        <w:rPr>
          <w:rFonts w:ascii="Times New Roman"/>
          <w:strike/>
          <w:color w:val="000000"/>
          <w:szCs w:val="21"/>
        </w:rPr>
        <w:t xml:space="preserve">    </w:t>
      </w:r>
      <w:r>
        <w:rPr>
          <w:rFonts w:ascii="Times New Roman"/>
          <w:color w:val="000000"/>
          <w:position w:val="-10"/>
          <w:szCs w:val="21"/>
        </w:rPr>
        <w:object>
          <v:shape id="_x0000_i1060" o:spt="75" type="#_x0000_t75" style="height:16.15pt;width:8.8pt;" o:ole="t" filled="f" o:preferrelative="t" stroked="f" coordsize="21600,21600">
            <v:path/>
            <v:fill on="f" focussize="0,0"/>
            <v:stroke on="f" joinstyle="miter"/>
            <v:imagedata r:id="rId81" o:title=""/>
            <o:lock v:ext="edit" aspectratio="t"/>
            <w10:wrap type="none"/>
            <w10:anchorlock/>
          </v:shape>
          <o:OLEObject Type="Embed" ProgID="Equation.3" ShapeID="_x0000_i1060" DrawAspect="Content" ObjectID="_1468075760" r:id="rId101">
            <o:LockedField>false</o:LockedField>
          </o:OLEObject>
        </w:object>
      </w:r>
      <w:r>
        <w:rPr>
          <w:rFonts w:hint="eastAsia" w:ascii="Times New Roman"/>
          <w:color w:val="000000"/>
          <w:szCs w:val="21"/>
        </w:rPr>
        <w:t>振型</w:t>
      </w:r>
      <w:r>
        <w:rPr>
          <w:rFonts w:ascii="Times New Roman"/>
          <w:color w:val="000000"/>
          <w:position w:val="-6"/>
          <w:szCs w:val="21"/>
        </w:rPr>
        <w:object>
          <v:shape id="_x0000_i1061" o:spt="75" type="#_x0000_t75" style="height:13.95pt;width:7.35pt;" o:ole="t" filled="f" o:preferrelative="t" stroked="f" coordsize="21600,21600">
            <v:path/>
            <v:fill on="f" focussize="0,0"/>
            <v:stroke on="f" joinstyle="miter"/>
            <v:imagedata r:id="rId83" o:title=""/>
            <o:lock v:ext="edit" aspectratio="t"/>
            <w10:wrap type="none"/>
            <w10:anchorlock/>
          </v:shape>
          <o:OLEObject Type="Embed" ProgID="Equation.3" ShapeID="_x0000_i1061" DrawAspect="Content" ObjectID="_1468075761" r:id="rId102">
            <o:LockedField>false</o:LockedField>
          </o:OLEObject>
        </w:object>
      </w:r>
      <w:r>
        <w:rPr>
          <w:rFonts w:hint="eastAsia"/>
        </w:rPr>
        <w:t>质点的水平相对位移，应按本标准附录</w:t>
      </w:r>
      <w:r>
        <w:t xml:space="preserve">A </w:t>
      </w:r>
      <w:r>
        <w:rPr>
          <w:rFonts w:hint="eastAsia"/>
        </w:rPr>
        <w:t>中式（</w:t>
      </w:r>
      <w:r>
        <w:t>A.0.1-1</w:t>
      </w:r>
      <w:r>
        <w:rPr>
          <w:rFonts w:hint="eastAsia"/>
        </w:rPr>
        <w:t>）计算；</w:t>
      </w:r>
    </w:p>
    <w:p>
      <w:pPr>
        <w:pStyle w:val="58"/>
        <w:spacing w:line="360" w:lineRule="auto"/>
        <w:ind w:firstLine="1050" w:firstLineChars="500"/>
      </w:pPr>
      <w:r>
        <w:rPr>
          <w:position w:val="-14"/>
        </w:rPr>
        <w:object>
          <v:shape id="_x0000_i1062" o:spt="75" type="#_x0000_t75" style="height:16.15pt;width:13.95pt;" o:ole="t" filled="f" o:preferrelative="t" stroked="f" coordsize="21600,21600">
            <v:path/>
            <v:fill on="f" focussize="0,0"/>
            <v:stroke on="f" joinstyle="miter"/>
            <v:imagedata r:id="rId104" o:title=""/>
            <o:lock v:ext="edit" aspectratio="t"/>
            <w10:wrap type="none"/>
            <w10:anchorlock/>
          </v:shape>
          <o:OLEObject Type="Embed" ProgID="Equation.3" ShapeID="_x0000_i1062" DrawAspect="Content" ObjectID="_1468075762" r:id="rId103">
            <o:LockedField>false</o:LockedField>
          </o:OLEObject>
        </w:object>
      </w:r>
      <w:r>
        <w:rPr>
          <w:strike/>
        </w:rPr>
        <w:t xml:space="preserve">    </w:t>
      </w:r>
      <w:r>
        <w:rPr>
          <w:position w:val="-10"/>
        </w:rPr>
        <w:object>
          <v:shape id="_x0000_i1063" o:spt="75" type="#_x0000_t75" style="height:16.15pt;width:8.8pt;" o:ole="t" filled="f" o:preferrelative="t" stroked="f" coordsize="21600,21600">
            <v:path/>
            <v:fill on="f" focussize="0,0"/>
            <v:stroke on="f" joinstyle="miter"/>
            <v:imagedata r:id="rId81" o:title=""/>
            <o:lock v:ext="edit" aspectratio="t"/>
            <w10:wrap type="none"/>
            <w10:anchorlock/>
          </v:shape>
          <o:OLEObject Type="Embed" ProgID="Equation.3" ShapeID="_x0000_i1063" DrawAspect="Content" ObjectID="_1468075763" r:id="rId105">
            <o:LockedField>false</o:LockedField>
          </o:OLEObject>
        </w:object>
      </w:r>
      <w:r>
        <w:rPr>
          <w:rFonts w:hint="eastAsia"/>
        </w:rPr>
        <w:t>振型的参与系数，应按本标准附录</w:t>
      </w:r>
      <w:r>
        <w:t xml:space="preserve">A </w:t>
      </w:r>
      <w:r>
        <w:rPr>
          <w:rFonts w:hint="eastAsia"/>
        </w:rPr>
        <w:t>中式（</w:t>
      </w:r>
      <w:r>
        <w:t>A.0.1-2</w:t>
      </w:r>
      <w:r>
        <w:rPr>
          <w:rFonts w:hint="eastAsia"/>
        </w:rPr>
        <w:t>）计算。</w:t>
      </w:r>
    </w:p>
    <w:p>
      <w:pPr>
        <w:pStyle w:val="58"/>
        <w:ind w:firstLine="420"/>
        <w:rPr>
          <w:rFonts w:hAnsi="宋体"/>
        </w:rPr>
      </w:pPr>
      <w:r>
        <w:rPr>
          <w:rFonts w:hint="eastAsia" w:ascii="黑体" w:hAnsi="黑体" w:eastAsia="黑体"/>
        </w:rPr>
        <w:t xml:space="preserve">2 </w:t>
      </w:r>
      <w:r>
        <w:rPr>
          <w:rFonts w:ascii="黑体" w:hAnsi="黑体" w:eastAsia="黑体"/>
        </w:rPr>
        <w:t xml:space="preserve"> </w:t>
      </w:r>
      <w:r>
        <w:rPr>
          <w:rFonts w:hint="eastAsia" w:hAnsi="宋体"/>
        </w:rPr>
        <w:t>水平地震作用效应(弯矩、剪力、轴向力和变形)，当相邻周期之比小于0.85时，可按下式确定：</w:t>
      </w:r>
    </w:p>
    <w:p>
      <w:pPr>
        <w:pStyle w:val="115"/>
      </w:pPr>
      <w:r>
        <w:tab/>
      </w:r>
      <w:r>
        <w:rPr>
          <w:rFonts w:ascii="Times New Roman" w:hAnsi="Times New Roman"/>
          <w:color w:val="000000"/>
          <w:position w:val="-16"/>
        </w:rPr>
        <w:object>
          <v:shape id="_x0000_i1064" o:spt="75" type="#_x0000_t75" style="height:23.5pt;width:112.4pt;" o:ole="t" filled="f" o:preferrelative="t" stroked="f" coordsize="21600,21600">
            <v:path/>
            <v:fill on="f" focussize="0,0"/>
            <v:stroke on="f" joinstyle="miter"/>
            <v:imagedata r:id="rId107" o:title=""/>
            <o:lock v:ext="edit" aspectratio="t"/>
            <w10:wrap type="none"/>
            <w10:anchorlock/>
          </v:shape>
          <o:OLEObject Type="Embed" ProgID="Equation.3" ShapeID="_x0000_i1064" DrawAspect="Content" ObjectID="_1468075764" r:id="rId106">
            <o:LockedField>false</o:LockedField>
          </o:OLEObject>
        </w:object>
      </w:r>
      <w:r>
        <w:rPr>
          <w:rFonts w:ascii="微软雅黑" w:hAnsi="微软雅黑" w:eastAsia="微软雅黑"/>
        </w:rPr>
        <w:tab/>
      </w:r>
      <w:r>
        <w:t>(4.2.1-2)</w:t>
      </w:r>
    </w:p>
    <w:p>
      <w:pPr>
        <w:pStyle w:val="58"/>
        <w:ind w:firstLine="420"/>
      </w:pPr>
      <w:r>
        <w:rPr>
          <w:rFonts w:hint="eastAsia"/>
        </w:rPr>
        <w:t>式中：</w:t>
      </w:r>
      <w:r>
        <w:rPr>
          <w:position w:val="-12"/>
        </w:rPr>
        <w:object>
          <v:shape id="_x0000_i1065" o:spt="75" type="#_x0000_t75" style="height:18.35pt;width:19.1pt;" o:ole="t" filled="f" o:preferrelative="t" stroked="f" coordsize="21600,21600">
            <v:path/>
            <v:fill on="f" focussize="0,0"/>
            <v:stroke on="f" joinstyle="miter"/>
            <v:imagedata r:id="rId109" o:title=""/>
            <o:lock v:ext="edit" aspectratio="t"/>
            <w10:wrap type="none"/>
            <w10:anchorlock/>
          </v:shape>
          <o:OLEObject Type="Embed" ProgID="Equation.3" ShapeID="_x0000_i1065" DrawAspect="Content" ObjectID="_1468075765" r:id="rId108">
            <o:LockedField>false</o:LockedField>
          </o:OLEObject>
        </w:object>
      </w:r>
      <w:r>
        <w:rPr>
          <w:strike/>
        </w:rPr>
        <w:t xml:space="preserve">    </w:t>
      </w:r>
      <w:r>
        <w:rPr>
          <w:rFonts w:hint="eastAsia"/>
        </w:rPr>
        <w:t>水平地震作用标准值的效应；</w:t>
      </w:r>
    </w:p>
    <w:p>
      <w:pPr>
        <w:pStyle w:val="58"/>
        <w:ind w:left="1680" w:leftChars="500" w:hanging="630" w:hangingChars="300"/>
      </w:pPr>
      <w:bookmarkStart w:id="40" w:name="_Hlk86752552"/>
      <w:r>
        <w:rPr>
          <w:position w:val="-14"/>
        </w:rPr>
        <w:object>
          <v:shape id="_x0000_i1066" o:spt="75" type="#_x0000_t75" style="height:19.1pt;width:13.95pt;" o:ole="t" filled="f" o:preferrelative="t" stroked="f" coordsize="21600,21600">
            <v:path/>
            <v:fill on="f" focussize="0,0"/>
            <v:stroke on="f" joinstyle="miter"/>
            <v:imagedata r:id="rId111" o:title=""/>
            <o:lock v:ext="edit" aspectratio="t"/>
            <w10:wrap type="none"/>
            <w10:anchorlock/>
          </v:shape>
          <o:OLEObject Type="Embed" ProgID="Equation.3" ShapeID="_x0000_i1066" DrawAspect="Content" ObjectID="_1468075766" r:id="rId110">
            <o:LockedField>false</o:LockedField>
          </o:OLEObject>
        </w:object>
      </w:r>
      <w:bookmarkEnd w:id="40"/>
      <w:r>
        <w:rPr>
          <w:strike/>
        </w:rPr>
        <w:t xml:space="preserve">    </w:t>
      </w:r>
      <w:r>
        <w:rPr>
          <w:position w:val="-10"/>
        </w:rPr>
        <w:object>
          <v:shape id="_x0000_i1067" o:spt="75" type="#_x0000_t75" style="height:16.15pt;width:8.8pt;" o:ole="t" filled="f" o:preferrelative="t" stroked="f" coordsize="21600,21600">
            <v:path/>
            <v:fill on="f" focussize="0,0"/>
            <v:stroke on="f" joinstyle="miter"/>
            <v:imagedata r:id="rId81" o:title=""/>
            <o:lock v:ext="edit" aspectratio="t"/>
            <w10:wrap type="none"/>
            <w10:anchorlock/>
          </v:shape>
          <o:OLEObject Type="Embed" ProgID="Equation.3" ShapeID="_x0000_i1067" DrawAspect="Content" ObjectID="_1468075767" r:id="rId112">
            <o:LockedField>false</o:LockedField>
          </o:OLEObject>
        </w:object>
      </w:r>
      <w:r>
        <w:rPr>
          <w:rFonts w:hint="eastAsia"/>
        </w:rPr>
        <w:t>振型水平地震作用标准值的效应，可只取前</w:t>
      </w:r>
      <w:r>
        <w:t>2</w:t>
      </w:r>
      <w:r>
        <w:rPr>
          <w:rFonts w:hint="eastAsia"/>
        </w:rPr>
        <w:t>～</w:t>
      </w:r>
      <w:r>
        <w:t>3</w:t>
      </w:r>
      <w:r>
        <w:rPr>
          <w:rFonts w:hint="eastAsia"/>
        </w:rPr>
        <w:t>个振型，当基本自振周期大于</w:t>
      </w:r>
      <w:r>
        <w:t>1.5s</w:t>
      </w:r>
      <w:r>
        <w:rPr>
          <w:rFonts w:hint="eastAsia"/>
        </w:rPr>
        <w:t>或房屋高宽比大于</w:t>
      </w:r>
      <w:r>
        <w:t>5</w:t>
      </w:r>
      <w:r>
        <w:rPr>
          <w:rFonts w:hint="eastAsia"/>
        </w:rPr>
        <w:t>时，振型个数应适当增加。</w:t>
      </w:r>
    </w:p>
    <w:p>
      <w:pPr>
        <w:pStyle w:val="58"/>
        <w:ind w:left="1815" w:leftChars="500" w:hanging="765" w:hangingChars="300"/>
      </w:pPr>
      <w:r>
        <w:rPr>
          <w:rFonts w:ascii="Symbol" w:hAnsi="Symbol" w:eastAsia="Times New Roman"/>
          <w:spacing w:val="9"/>
          <w:w w:val="95"/>
          <w:sz w:val="25"/>
        </w:rPr>
        <w:t>i</w:t>
      </w:r>
      <w:r>
        <w:rPr>
          <w:spacing w:val="9"/>
          <w:w w:val="95"/>
          <w:position w:val="-5"/>
          <w:sz w:val="14"/>
        </w:rPr>
        <w:t>j</w:t>
      </w:r>
      <w:r>
        <w:rPr>
          <w:spacing w:val="13"/>
          <w:w w:val="95"/>
          <w:position w:val="-5"/>
          <w:sz w:val="14"/>
        </w:rPr>
        <w:t xml:space="preserve"> </w:t>
      </w:r>
      <w:r>
        <w:rPr>
          <w:strike/>
        </w:rPr>
        <w:t xml:space="preserve">    </w:t>
      </w:r>
      <w:r>
        <w:rPr>
          <w:rFonts w:hint="eastAsia"/>
        </w:rPr>
        <w:t>第</w:t>
      </w:r>
      <w:r>
        <w:t xml:space="preserve"> j </w:t>
      </w:r>
      <w:r>
        <w:rPr>
          <w:rFonts w:hint="eastAsia"/>
        </w:rPr>
        <w:t>振型水平地震作用效应非比例阻尼影响系数，</w:t>
      </w:r>
      <w:r>
        <w:t xml:space="preserve"> </w:t>
      </w:r>
      <w:r>
        <w:rPr>
          <w:rFonts w:hint="eastAsia"/>
        </w:rPr>
        <w:t>按本标准附录</w:t>
      </w:r>
      <w:r>
        <w:t>A</w:t>
      </w:r>
      <w:r>
        <w:rPr>
          <w:rFonts w:hint="eastAsia"/>
        </w:rPr>
        <w:t>中式</w:t>
      </w:r>
      <w:r>
        <w:t xml:space="preserve"> (A.0.2-1) </w:t>
      </w:r>
      <w:r>
        <w:rPr>
          <w:rFonts w:hint="eastAsia"/>
        </w:rPr>
        <w:t>计算。</w:t>
      </w:r>
    </w:p>
    <w:p>
      <w:pPr>
        <w:pStyle w:val="167"/>
      </w:pPr>
      <w:r>
        <w:rPr>
          <w:rFonts w:hint="eastAsia"/>
        </w:rPr>
        <w:t>水平地震作用下，建筑结构的扭转耦联地震效应应符合下列要求：</w:t>
      </w:r>
    </w:p>
    <w:p>
      <w:pPr>
        <w:pStyle w:val="58"/>
        <w:ind w:firstLine="420"/>
      </w:pPr>
      <w:r>
        <w:rPr>
          <w:rFonts w:hint="eastAsia" w:ascii="黑体" w:hAnsi="黑体" w:eastAsia="黑体"/>
        </w:rPr>
        <w:t>1</w:t>
      </w:r>
      <w:r>
        <w:rPr>
          <w:rFonts w:hint="eastAsia"/>
        </w:rPr>
        <w:t xml:space="preserve">  </w:t>
      </w:r>
      <w:r>
        <w:rPr>
          <w:position w:val="-10"/>
        </w:rPr>
        <w:object>
          <v:shape id="_x0000_i1068" o:spt="75" type="#_x0000_t75" style="height:16.15pt;width:8.8pt;" o:ole="t" filled="f" o:preferrelative="t" stroked="f" coordsize="21600,21600">
            <v:path/>
            <v:fill on="f" focussize="0,0"/>
            <v:stroke on="f" joinstyle="miter"/>
            <v:imagedata r:id="rId81" o:title=""/>
            <o:lock v:ext="edit" aspectratio="t"/>
            <w10:wrap type="none"/>
            <w10:anchorlock/>
          </v:shape>
          <o:OLEObject Type="Embed" ProgID="Equation.3" ShapeID="_x0000_i1068" DrawAspect="Content" ObjectID="_1468075768" r:id="rId113">
            <o:LockedField>false</o:LockedField>
          </o:OLEObject>
        </w:object>
      </w:r>
      <w:r>
        <w:rPr>
          <w:rFonts w:hint="eastAsia"/>
        </w:rPr>
        <w:t>振型</w:t>
      </w:r>
      <w:r>
        <w:rPr>
          <w:position w:val="-6"/>
        </w:rPr>
        <w:object>
          <v:shape id="_x0000_i1069" o:spt="75" type="#_x0000_t75" style="height:13.95pt;width:7.35pt;" o:ole="t" filled="f" o:preferrelative="t" stroked="f" coordsize="21600,21600">
            <v:path/>
            <v:fill on="f" focussize="0,0"/>
            <v:stroke on="f" joinstyle="miter"/>
            <v:imagedata r:id="rId83" o:title=""/>
            <o:lock v:ext="edit" aspectratio="t"/>
            <w10:wrap type="none"/>
            <w10:anchorlock/>
          </v:shape>
          <o:OLEObject Type="Embed" ProgID="Equation.3" ShapeID="_x0000_i1069" DrawAspect="Content" ObjectID="_1468075769" r:id="rId114">
            <o:LockedField>false</o:LockedField>
          </o:OLEObject>
        </w:object>
      </w:r>
      <w:r>
        <w:rPr>
          <w:rFonts w:hint="eastAsia"/>
        </w:rPr>
        <w:t>层的水平地震作用标准值，应按下列公式确定：</w:t>
      </w:r>
    </w:p>
    <w:p>
      <w:pPr>
        <w:pStyle w:val="115"/>
      </w:pPr>
      <w:r>
        <w:tab/>
      </w:r>
      <w:bookmarkStart w:id="41" w:name="_Hlk89959981"/>
      <w:bookmarkStart w:id="42" w:name="_Toc520899476"/>
      <w:bookmarkStart w:id="43" w:name="_Toc519801248"/>
      <w:r>
        <w:object>
          <v:shape id="_x0000_i1070" o:spt="75" type="#_x0000_t75" style="height:19.1pt;width:77.15pt;" o:ole="t" filled="f" o:preferrelative="t" stroked="f" coordsize="21600,21600">
            <v:path/>
            <v:fill on="f" focussize="0,0"/>
            <v:stroke on="f" joinstyle="miter"/>
            <v:imagedata r:id="rId116" o:title=""/>
            <o:lock v:ext="edit" aspectratio="t"/>
            <w10:wrap type="none"/>
            <w10:anchorlock/>
          </v:shape>
          <o:OLEObject Type="Embed" ProgID="Equation.3" ShapeID="_x0000_i1070" DrawAspect="Content" ObjectID="_1468075770" r:id="rId115">
            <o:LockedField>false</o:LockedField>
          </o:OLEObject>
        </w:object>
      </w:r>
      <w:bookmarkEnd w:id="41"/>
      <w:r>
        <w:t xml:space="preserve"> (</w:t>
      </w:r>
      <w:r>
        <w:rPr>
          <w:position w:val="-6"/>
        </w:rPr>
        <w:object>
          <v:shape id="_x0000_i1071" o:spt="75" type="#_x0000_t75" style="height:13.95pt;width:7.35pt;" o:ole="t" filled="f" o:preferrelative="t" stroked="f" coordsize="21600,21600">
            <v:path/>
            <v:fill on="f" focussize="0,0"/>
            <v:stroke on="f" joinstyle="miter"/>
            <v:imagedata r:id="rId83" o:title=""/>
            <o:lock v:ext="edit" aspectratio="t"/>
            <w10:wrap type="none"/>
            <w10:anchorlock/>
          </v:shape>
          <o:OLEObject Type="Embed" ProgID="Equation.3" ShapeID="_x0000_i1071" DrawAspect="Content" ObjectID="_1468075771" r:id="rId117">
            <o:LockedField>false</o:LockedField>
          </o:OLEObject>
        </w:object>
      </w:r>
      <w:r>
        <w:t>=1,2,</w:t>
      </w:r>
      <w:r>
        <w:rPr>
          <w:rFonts w:hint="eastAsia"/>
        </w:rPr>
        <w:t>…</w:t>
      </w:r>
      <w:r>
        <w:t>,</w:t>
      </w:r>
      <w:r>
        <w:rPr>
          <w:position w:val="-6"/>
        </w:rPr>
        <w:object>
          <v:shape id="_x0000_i1072" o:spt="75" type="#_x0000_t75" style="height:11.75pt;width:8.8pt;" o:ole="t" filled="f" o:preferrelative="t" stroked="f" coordsize="21600,21600">
            <v:path/>
            <v:fill on="f" focussize="0,0"/>
            <v:stroke on="f" joinstyle="miter"/>
            <v:imagedata r:id="rId88" o:title=""/>
            <o:lock v:ext="edit" aspectratio="t"/>
            <w10:wrap type="none"/>
            <w10:anchorlock/>
          </v:shape>
          <o:OLEObject Type="Embed" ProgID="Equation.3" ShapeID="_x0000_i1072" DrawAspect="Content" ObjectID="_1468075772" r:id="rId118">
            <o:LockedField>false</o:LockedField>
          </o:OLEObject>
        </w:object>
      </w:r>
      <w:r>
        <w:t xml:space="preserve">, </w:t>
      </w:r>
      <w:r>
        <w:rPr>
          <w:position w:val="-10"/>
        </w:rPr>
        <w:object>
          <v:shape id="_x0000_i1073" o:spt="75" type="#_x0000_t75" style="height:16.15pt;width:8.8pt;" o:ole="t" filled="f" o:preferrelative="t" stroked="f" coordsize="21600,21600">
            <v:path/>
            <v:fill on="f" focussize="0,0"/>
            <v:stroke on="f" joinstyle="miter"/>
            <v:imagedata r:id="rId81" o:title=""/>
            <o:lock v:ext="edit" aspectratio="t"/>
            <w10:wrap type="none"/>
            <w10:anchorlock/>
          </v:shape>
          <o:OLEObject Type="Embed" ProgID="Equation.3" ShapeID="_x0000_i1073" DrawAspect="Content" ObjectID="_1468075773" r:id="rId119">
            <o:LockedField>false</o:LockedField>
          </o:OLEObject>
        </w:object>
      </w:r>
      <w:r>
        <w:t>=1,2,</w:t>
      </w:r>
      <w:r>
        <w:rPr>
          <w:rFonts w:hint="eastAsia"/>
        </w:rPr>
        <w:t>…</w:t>
      </w:r>
      <w:r>
        <w:t>,</w:t>
      </w:r>
      <w:r>
        <w:rPr>
          <w:position w:val="-6"/>
        </w:rPr>
        <w:object>
          <v:shape id="_x0000_i1074" o:spt="75" type="#_x0000_t75" style="height:11.75pt;width:13.95pt;" o:ole="t" filled="f" o:preferrelative="t" stroked="f" coordsize="21600,21600">
            <v:path/>
            <v:fill on="f" focussize="0,0"/>
            <v:stroke on="f" joinstyle="miter"/>
            <v:imagedata r:id="rId91" o:title=""/>
            <o:lock v:ext="edit" aspectratio="t"/>
            <w10:wrap type="none"/>
            <w10:anchorlock/>
          </v:shape>
          <o:OLEObject Type="Embed" ProgID="Equation.3" ShapeID="_x0000_i1074" DrawAspect="Content" ObjectID="_1468075774" r:id="rId120">
            <o:LockedField>false</o:LockedField>
          </o:OLEObject>
        </w:object>
      </w:r>
      <w:r>
        <w:t>)</w:t>
      </w:r>
      <w:bookmarkEnd w:id="42"/>
      <w:bookmarkEnd w:id="43"/>
      <w:r>
        <w:rPr>
          <w:rFonts w:ascii="微软雅黑" w:hAnsi="微软雅黑" w:eastAsia="微软雅黑"/>
        </w:rPr>
        <w:tab/>
      </w:r>
      <w:r>
        <w:t>(4.2.2-1)</w:t>
      </w:r>
    </w:p>
    <w:p>
      <w:pPr>
        <w:pStyle w:val="115"/>
      </w:pPr>
      <w:r>
        <w:tab/>
      </w:r>
      <w:r>
        <w:rPr>
          <w:position w:val="-14"/>
        </w:rPr>
        <w:object>
          <v:shape id="_x0000_i1075" o:spt="75" type="#_x0000_t75" style="height:19.1pt;width:77.15pt;" o:ole="t" filled="f" o:preferrelative="t" stroked="f" coordsize="21600,21600">
            <v:path/>
            <v:fill on="f" focussize="0,0"/>
            <v:stroke on="f" joinstyle="miter"/>
            <v:imagedata r:id="rId122" o:title=""/>
            <o:lock v:ext="edit" aspectratio="t"/>
            <w10:wrap type="none"/>
            <w10:anchorlock/>
          </v:shape>
          <o:OLEObject Type="Embed" ProgID="Equation.3" ShapeID="_x0000_i1075" DrawAspect="Content" ObjectID="_1468075775" r:id="rId121">
            <o:LockedField>false</o:LockedField>
          </o:OLEObject>
        </w:object>
      </w:r>
      <w:r>
        <w:t>(</w:t>
      </w:r>
      <w:r>
        <w:rPr>
          <w:position w:val="-6"/>
        </w:rPr>
        <w:object>
          <v:shape id="_x0000_i1076" o:spt="75" type="#_x0000_t75" style="height:13.95pt;width:7.35pt;" o:ole="t" filled="f" o:preferrelative="t" stroked="f" coordsize="21600,21600">
            <v:path/>
            <v:fill on="f" focussize="0,0"/>
            <v:stroke on="f" joinstyle="miter"/>
            <v:imagedata r:id="rId83" o:title=""/>
            <o:lock v:ext="edit" aspectratio="t"/>
            <w10:wrap type="none"/>
            <w10:anchorlock/>
          </v:shape>
          <o:OLEObject Type="Embed" ProgID="Equation.3" ShapeID="_x0000_i1076" DrawAspect="Content" ObjectID="_1468075776" r:id="rId123">
            <o:LockedField>false</o:LockedField>
          </o:OLEObject>
        </w:object>
      </w:r>
      <w:r>
        <w:t>=1,2,</w:t>
      </w:r>
      <w:r>
        <w:rPr>
          <w:rFonts w:hint="eastAsia"/>
        </w:rPr>
        <w:t>…</w:t>
      </w:r>
      <w:r>
        <w:t>,</w:t>
      </w:r>
      <w:r>
        <w:rPr>
          <w:position w:val="-6"/>
        </w:rPr>
        <w:object>
          <v:shape id="_x0000_i1077" o:spt="75" type="#_x0000_t75" style="height:11.75pt;width:8.8pt;" o:ole="t" filled="f" o:preferrelative="t" stroked="f" coordsize="21600,21600">
            <v:path/>
            <v:fill on="f" focussize="0,0"/>
            <v:stroke on="f" joinstyle="miter"/>
            <v:imagedata r:id="rId88" o:title=""/>
            <o:lock v:ext="edit" aspectratio="t"/>
            <w10:wrap type="none"/>
            <w10:anchorlock/>
          </v:shape>
          <o:OLEObject Type="Embed" ProgID="Equation.3" ShapeID="_x0000_i1077" DrawAspect="Content" ObjectID="_1468075777" r:id="rId124">
            <o:LockedField>false</o:LockedField>
          </o:OLEObject>
        </w:object>
      </w:r>
      <w:r>
        <w:t xml:space="preserve">, </w:t>
      </w:r>
      <w:r>
        <w:rPr>
          <w:position w:val="-10"/>
        </w:rPr>
        <w:object>
          <v:shape id="_x0000_i1078" o:spt="75" type="#_x0000_t75" style="height:16.15pt;width:8.8pt;" o:ole="t" filled="f" o:preferrelative="t" stroked="f" coordsize="21600,21600">
            <v:path/>
            <v:fill on="f" focussize="0,0"/>
            <v:stroke on="f" joinstyle="miter"/>
            <v:imagedata r:id="rId81" o:title=""/>
            <o:lock v:ext="edit" aspectratio="t"/>
            <w10:wrap type="none"/>
            <w10:anchorlock/>
          </v:shape>
          <o:OLEObject Type="Embed" ProgID="Equation.3" ShapeID="_x0000_i1078" DrawAspect="Content" ObjectID="_1468075778" r:id="rId125">
            <o:LockedField>false</o:LockedField>
          </o:OLEObject>
        </w:object>
      </w:r>
      <w:r>
        <w:t>=1,2,</w:t>
      </w:r>
      <w:r>
        <w:rPr>
          <w:rFonts w:hint="eastAsia"/>
        </w:rPr>
        <w:t>…</w:t>
      </w:r>
      <w:r>
        <w:t>,</w:t>
      </w:r>
      <w:r>
        <w:rPr>
          <w:position w:val="-6"/>
        </w:rPr>
        <w:object>
          <v:shape id="_x0000_i1079" o:spt="75" type="#_x0000_t75" style="height:11.75pt;width:13.95pt;" o:ole="t" filled="f" o:preferrelative="t" stroked="f" coordsize="21600,21600">
            <v:path/>
            <v:fill on="f" focussize="0,0"/>
            <v:stroke on="f" joinstyle="miter"/>
            <v:imagedata r:id="rId91" o:title=""/>
            <o:lock v:ext="edit" aspectratio="t"/>
            <w10:wrap type="none"/>
            <w10:anchorlock/>
          </v:shape>
          <o:OLEObject Type="Embed" ProgID="Equation.3" ShapeID="_x0000_i1079" DrawAspect="Content" ObjectID="_1468075779" r:id="rId126">
            <o:LockedField>false</o:LockedField>
          </o:OLEObject>
        </w:object>
      </w:r>
      <w:r>
        <w:t>)</w:t>
      </w:r>
      <w:r>
        <w:rPr>
          <w:rFonts w:ascii="微软雅黑" w:hAnsi="微软雅黑" w:eastAsia="微软雅黑"/>
        </w:rPr>
        <w:tab/>
      </w:r>
      <w:r>
        <w:t>(4.2.2-2)</w:t>
      </w:r>
    </w:p>
    <w:p>
      <w:pPr>
        <w:pStyle w:val="115"/>
      </w:pPr>
      <w:r>
        <w:tab/>
      </w:r>
      <w:r>
        <w:object>
          <v:shape id="_x0000_i1080" o:spt="75" type="#_x0000_t75" style="height:18.35pt;width:79.35pt;" o:ole="t" filled="f" o:preferrelative="t" stroked="f" coordsize="21600,21600">
            <v:path/>
            <v:fill on="f" focussize="0,0"/>
            <v:stroke on="f" joinstyle="miter"/>
            <v:imagedata r:id="rId128" o:title=""/>
            <o:lock v:ext="edit" aspectratio="t"/>
            <w10:wrap type="none"/>
            <w10:anchorlock/>
          </v:shape>
          <o:OLEObject Type="Embed" ProgID="Equation.3" ShapeID="_x0000_i1080" DrawAspect="Content" ObjectID="_1468075780" r:id="rId127">
            <o:LockedField>false</o:LockedField>
          </o:OLEObject>
        </w:object>
      </w:r>
      <w:r>
        <w:t>(</w:t>
      </w:r>
      <w:r>
        <w:rPr>
          <w:position w:val="-6"/>
        </w:rPr>
        <w:object>
          <v:shape id="_x0000_i1081" o:spt="75" type="#_x0000_t75" style="height:13.95pt;width:7.35pt;" o:ole="t" filled="f" o:preferrelative="t" stroked="f" coordsize="21600,21600">
            <v:path/>
            <v:fill on="f" focussize="0,0"/>
            <v:stroke on="f" joinstyle="miter"/>
            <v:imagedata r:id="rId83" o:title=""/>
            <o:lock v:ext="edit" aspectratio="t"/>
            <w10:wrap type="none"/>
            <w10:anchorlock/>
          </v:shape>
          <o:OLEObject Type="Embed" ProgID="Equation.3" ShapeID="_x0000_i1081" DrawAspect="Content" ObjectID="_1468075781" r:id="rId129">
            <o:LockedField>false</o:LockedField>
          </o:OLEObject>
        </w:object>
      </w:r>
      <w:r>
        <w:t>=1,2,</w:t>
      </w:r>
      <w:r>
        <w:rPr>
          <w:rFonts w:hint="eastAsia"/>
        </w:rPr>
        <w:t>…</w:t>
      </w:r>
      <w:r>
        <w:t>,</w:t>
      </w:r>
      <w:r>
        <w:rPr>
          <w:position w:val="-6"/>
        </w:rPr>
        <w:object>
          <v:shape id="_x0000_i1082" o:spt="75" type="#_x0000_t75" style="height:11.75pt;width:8.8pt;" o:ole="t" filled="f" o:preferrelative="t" stroked="f" coordsize="21600,21600">
            <v:path/>
            <v:fill on="f" focussize="0,0"/>
            <v:stroke on="f" joinstyle="miter"/>
            <v:imagedata r:id="rId88" o:title=""/>
            <o:lock v:ext="edit" aspectratio="t"/>
            <w10:wrap type="none"/>
            <w10:anchorlock/>
          </v:shape>
          <o:OLEObject Type="Embed" ProgID="Equation.3" ShapeID="_x0000_i1082" DrawAspect="Content" ObjectID="_1468075782" r:id="rId130">
            <o:LockedField>false</o:LockedField>
          </o:OLEObject>
        </w:object>
      </w:r>
      <w:r>
        <w:t xml:space="preserve">, </w:t>
      </w:r>
      <w:r>
        <w:rPr>
          <w:position w:val="-10"/>
        </w:rPr>
        <w:object>
          <v:shape id="_x0000_i1083" o:spt="75" type="#_x0000_t75" style="height:16.15pt;width:8.8pt;" o:ole="t" filled="f" o:preferrelative="t" stroked="f" coordsize="21600,21600">
            <v:path/>
            <v:fill on="f" focussize="0,0"/>
            <v:stroke on="f" joinstyle="miter"/>
            <v:imagedata r:id="rId81" o:title=""/>
            <o:lock v:ext="edit" aspectratio="t"/>
            <w10:wrap type="none"/>
            <w10:anchorlock/>
          </v:shape>
          <o:OLEObject Type="Embed" ProgID="Equation.3" ShapeID="_x0000_i1083" DrawAspect="Content" ObjectID="_1468075783" r:id="rId131">
            <o:LockedField>false</o:LockedField>
          </o:OLEObject>
        </w:object>
      </w:r>
      <w:r>
        <w:t>=1,2,</w:t>
      </w:r>
      <w:r>
        <w:rPr>
          <w:rFonts w:hint="eastAsia"/>
        </w:rPr>
        <w:t>…</w:t>
      </w:r>
      <w:r>
        <w:t>,</w:t>
      </w:r>
      <w:r>
        <w:rPr>
          <w:position w:val="-6"/>
        </w:rPr>
        <w:object>
          <v:shape id="_x0000_i1084" o:spt="75" type="#_x0000_t75" style="height:11.75pt;width:13.95pt;" o:ole="t" filled="f" o:preferrelative="t" stroked="f" coordsize="21600,21600">
            <v:path/>
            <v:fill on="f" focussize="0,0"/>
            <v:stroke on="f" joinstyle="miter"/>
            <v:imagedata r:id="rId91" o:title=""/>
            <o:lock v:ext="edit" aspectratio="t"/>
            <w10:wrap type="none"/>
            <w10:anchorlock/>
          </v:shape>
          <o:OLEObject Type="Embed" ProgID="Equation.3" ShapeID="_x0000_i1084" DrawAspect="Content" ObjectID="_1468075784" r:id="rId132">
            <o:LockedField>false</o:LockedField>
          </o:OLEObject>
        </w:object>
      </w:r>
      <w:r>
        <w:t>)</w:t>
      </w:r>
      <w:r>
        <w:rPr>
          <w:rFonts w:ascii="微软雅黑" w:hAnsi="微软雅黑" w:eastAsia="微软雅黑"/>
        </w:rPr>
        <w:tab/>
      </w:r>
      <w:r>
        <w:t>(4.2.2-3)</w:t>
      </w:r>
    </w:p>
    <w:p>
      <w:pPr>
        <w:pStyle w:val="58"/>
        <w:ind w:firstLine="420"/>
      </w:pPr>
      <w:r>
        <w:rPr>
          <w:rFonts w:hint="eastAsia"/>
        </w:rPr>
        <w:t>式中：</w:t>
      </w:r>
      <w:r>
        <w:rPr>
          <w:position w:val="-12"/>
        </w:rPr>
        <w:object>
          <v:shape id="_x0000_i1085" o:spt="75" type="#_x0000_t75" style="height:16.15pt;width:18.35pt;" o:ole="t" filled="f" o:preferrelative="t" stroked="f" coordsize="21600,21600">
            <v:path/>
            <v:fill on="f" focussize="0,0"/>
            <v:stroke on="f" joinstyle="miter"/>
            <v:imagedata r:id="rId134" o:title=""/>
            <o:lock v:ext="edit" aspectratio="t"/>
            <w10:wrap type="none"/>
            <w10:anchorlock/>
          </v:shape>
          <o:OLEObject Type="Embed" ProgID="Equation.3" ShapeID="_x0000_i1085" DrawAspect="Content" ObjectID="_1468075785" r:id="rId133">
            <o:LockedField>false</o:LockedField>
          </o:OLEObject>
        </w:object>
      </w:r>
      <w:r>
        <w:rPr>
          <w:rFonts w:hint="eastAsia"/>
        </w:rPr>
        <w:t>、</w:t>
      </w:r>
      <w:r>
        <w:rPr>
          <w:position w:val="-12"/>
        </w:rPr>
        <w:object>
          <v:shape id="_x0000_i1086" o:spt="75" type="#_x0000_t75" style="height:16.15pt;width:18.35pt;" o:ole="t" filled="f" o:preferrelative="t" stroked="f" coordsize="21600,21600">
            <v:path/>
            <v:fill on="f" focussize="0,0"/>
            <v:stroke on="f" joinstyle="miter"/>
            <v:imagedata r:id="rId136" o:title=""/>
            <o:lock v:ext="edit" aspectratio="t"/>
            <w10:wrap type="none"/>
            <w10:anchorlock/>
          </v:shape>
          <o:OLEObject Type="Embed" ProgID="Equation.3" ShapeID="_x0000_i1086" DrawAspect="Content" ObjectID="_1468075786" r:id="rId135">
            <o:LockedField>false</o:LockedField>
          </o:OLEObject>
        </w:object>
      </w:r>
      <w:r>
        <w:rPr>
          <w:strike/>
        </w:rPr>
        <w:t xml:space="preserve">    </w:t>
      </w:r>
      <w:r>
        <w:rPr>
          <w:rFonts w:hint="eastAsia"/>
        </w:rPr>
        <w:t>分别为</w:t>
      </w:r>
      <w:r>
        <w:rPr>
          <w:position w:val="-10"/>
        </w:rPr>
        <w:object>
          <v:shape id="_x0000_i1087" o:spt="75" type="#_x0000_t75" style="height:16.15pt;width:8.8pt;" o:ole="t" filled="f" o:preferrelative="t" stroked="f" coordsize="21600,21600">
            <v:path/>
            <v:fill on="f" focussize="0,0"/>
            <v:stroke on="f" joinstyle="miter"/>
            <v:imagedata r:id="rId81" o:title=""/>
            <o:lock v:ext="edit" aspectratio="t"/>
            <w10:wrap type="none"/>
            <w10:anchorlock/>
          </v:shape>
          <o:OLEObject Type="Embed" ProgID="Equation.3" ShapeID="_x0000_i1087" DrawAspect="Content" ObjectID="_1468075787" r:id="rId137">
            <o:LockedField>false</o:LockedField>
          </o:OLEObject>
        </w:object>
      </w:r>
      <w:r>
        <w:rPr>
          <w:rFonts w:hint="eastAsia"/>
        </w:rPr>
        <w:t>振型</w:t>
      </w:r>
      <w:r>
        <w:rPr>
          <w:position w:val="-6"/>
        </w:rPr>
        <w:object>
          <v:shape id="_x0000_i1088" o:spt="75" type="#_x0000_t75" style="height:13.95pt;width:7.35pt;" o:ole="t" filled="f" o:preferrelative="t" stroked="f" coordsize="21600,21600">
            <v:path/>
            <v:fill on="f" focussize="0,0"/>
            <v:stroke on="f" joinstyle="miter"/>
            <v:imagedata r:id="rId83" o:title=""/>
            <o:lock v:ext="edit" aspectratio="t"/>
            <w10:wrap type="none"/>
            <w10:anchorlock/>
          </v:shape>
          <o:OLEObject Type="Embed" ProgID="Equation.3" ShapeID="_x0000_i1088" DrawAspect="Content" ObjectID="_1468075788" r:id="rId138">
            <o:LockedField>false</o:LockedField>
          </o:OLEObject>
        </w:object>
      </w:r>
      <w:r>
        <w:rPr>
          <w:rFonts w:hint="eastAsia"/>
        </w:rPr>
        <w:t>层的</w:t>
      </w:r>
      <w:r>
        <w:rPr>
          <w:position w:val="-6"/>
        </w:rPr>
        <w:object>
          <v:shape id="_x0000_i1089" o:spt="75" type="#_x0000_t75" style="height:11.75pt;width:8.8pt;" o:ole="t" filled="f" o:preferrelative="t" stroked="f" coordsize="21600,21600">
            <v:path/>
            <v:fill on="f" focussize="0,0"/>
            <v:stroke on="f" joinstyle="miter"/>
            <v:imagedata r:id="rId140" o:title=""/>
            <o:lock v:ext="edit" aspectratio="t"/>
            <w10:wrap type="none"/>
            <w10:anchorlock/>
          </v:shape>
          <o:OLEObject Type="Embed" ProgID="Equation.3" ShapeID="_x0000_i1089" DrawAspect="Content" ObjectID="_1468075789" r:id="rId139">
            <o:LockedField>false</o:LockedField>
          </o:OLEObject>
        </w:object>
      </w:r>
      <w:r>
        <w:rPr>
          <w:rFonts w:hint="eastAsia"/>
        </w:rPr>
        <w:t>方向、</w:t>
      </w:r>
      <w:r>
        <w:rPr>
          <w:position w:val="-10"/>
        </w:rPr>
        <w:object>
          <v:shape id="_x0000_i1090" o:spt="75" type="#_x0000_t75" style="height:13.95pt;width:11.75pt;" o:ole="t" filled="f" o:preferrelative="t" stroked="f" coordsize="21600,21600">
            <v:path/>
            <v:fill on="f" focussize="0,0"/>
            <v:stroke on="f" joinstyle="miter"/>
            <v:imagedata r:id="rId142" o:title=""/>
            <o:lock v:ext="edit" aspectratio="t"/>
            <w10:wrap type="none"/>
            <w10:anchorlock/>
          </v:shape>
          <o:OLEObject Type="Embed" ProgID="Equation.3" ShapeID="_x0000_i1090" DrawAspect="Content" ObjectID="_1468075790" r:id="rId141">
            <o:LockedField>false</o:LockedField>
          </o:OLEObject>
        </w:object>
      </w:r>
      <w:r>
        <w:rPr>
          <w:rFonts w:hint="eastAsia"/>
        </w:rPr>
        <w:t>方向的地震作用标准值；</w:t>
      </w:r>
    </w:p>
    <w:p>
      <w:pPr>
        <w:pStyle w:val="58"/>
        <w:ind w:firstLine="1680" w:firstLineChars="800"/>
      </w:pPr>
      <w:r>
        <w:rPr>
          <w:position w:val="-12"/>
        </w:rPr>
        <w:object>
          <v:shape id="_x0000_i1091" o:spt="75" type="#_x0000_t75" style="height:16.15pt;width:16.15pt;" o:ole="t" filled="f" o:preferrelative="t" stroked="f" coordsize="21600,21600">
            <v:path/>
            <v:fill on="f" focussize="0,0"/>
            <v:stroke on="f" joinstyle="miter"/>
            <v:imagedata r:id="rId144" o:title=""/>
            <o:lock v:ext="edit" aspectratio="t"/>
            <w10:wrap type="none"/>
            <w10:anchorlock/>
          </v:shape>
          <o:OLEObject Type="Embed" ProgID="Equation.3" ShapeID="_x0000_i1091" DrawAspect="Content" ObjectID="_1468075791" r:id="rId143">
            <o:LockedField>false</o:LockedField>
          </o:OLEObject>
        </w:object>
      </w:r>
      <w:r>
        <w:rPr>
          <w:strike/>
        </w:rPr>
        <w:t xml:space="preserve">    </w:t>
      </w:r>
      <w:r>
        <w:rPr>
          <w:position w:val="-10"/>
        </w:rPr>
        <w:object>
          <v:shape id="_x0000_i1092" o:spt="75" type="#_x0000_t75" style="height:16.15pt;width:8.8pt;" o:ole="t" filled="f" o:preferrelative="t" stroked="f" coordsize="21600,21600">
            <v:path/>
            <v:fill on="f" focussize="0,0"/>
            <v:stroke on="f" joinstyle="miter"/>
            <v:imagedata r:id="rId81" o:title=""/>
            <o:lock v:ext="edit" aspectratio="t"/>
            <w10:wrap type="none"/>
            <w10:anchorlock/>
          </v:shape>
          <o:OLEObject Type="Embed" ProgID="Equation.3" ShapeID="_x0000_i1092" DrawAspect="Content" ObjectID="_1468075792" r:id="rId145">
            <o:LockedField>false</o:LockedField>
          </o:OLEObject>
        </w:object>
      </w:r>
      <w:r>
        <w:rPr>
          <w:rFonts w:hint="eastAsia"/>
        </w:rPr>
        <w:t>振型</w:t>
      </w:r>
      <w:r>
        <w:rPr>
          <w:position w:val="-6"/>
        </w:rPr>
        <w:object>
          <v:shape id="_x0000_i1093" o:spt="75" type="#_x0000_t75" style="height:13.95pt;width:7.35pt;" o:ole="t" filled="f" o:preferrelative="t" stroked="f" coordsize="21600,21600">
            <v:path/>
            <v:fill on="f" focussize="0,0"/>
            <v:stroke on="f" joinstyle="miter"/>
            <v:imagedata r:id="rId83" o:title=""/>
            <o:lock v:ext="edit" aspectratio="t"/>
            <w10:wrap type="none"/>
            <w10:anchorlock/>
          </v:shape>
          <o:OLEObject Type="Embed" ProgID="Equation.3" ShapeID="_x0000_i1093" DrawAspect="Content" ObjectID="_1468075793" r:id="rId146">
            <o:LockedField>false</o:LockedField>
          </o:OLEObject>
        </w:object>
      </w:r>
      <w:r>
        <w:rPr>
          <w:rFonts w:hint="eastAsia"/>
        </w:rPr>
        <w:t>层的转角方向的地震作用标准值；</w:t>
      </w:r>
    </w:p>
    <w:p>
      <w:pPr>
        <w:pStyle w:val="58"/>
        <w:ind w:left="2310" w:leftChars="500" w:hanging="1260" w:hangingChars="600"/>
      </w:pPr>
      <w:r>
        <w:rPr>
          <w:position w:val="-12"/>
        </w:rPr>
        <w:object>
          <v:shape id="_x0000_i1094" o:spt="75" type="#_x0000_t75" style="height:16.15pt;width:18.35pt;" o:ole="t" filled="f" o:preferrelative="t" stroked="f" coordsize="21600,21600">
            <v:path/>
            <v:fill on="f" focussize="0,0"/>
            <v:stroke on="f" joinstyle="miter"/>
            <v:imagedata r:id="rId148" o:title=""/>
            <o:lock v:ext="edit" aspectratio="t"/>
            <w10:wrap type="none"/>
            <w10:anchorlock/>
          </v:shape>
          <o:OLEObject Type="Embed" ProgID="Equation.3" ShapeID="_x0000_i1094" DrawAspect="Content" ObjectID="_1468075794" r:id="rId147">
            <o:LockedField>false</o:LockedField>
          </o:OLEObject>
        </w:object>
      </w:r>
      <w:r>
        <w:rPr>
          <w:rFonts w:hint="eastAsia"/>
        </w:rPr>
        <w:t>、</w:t>
      </w:r>
      <w:r>
        <w:rPr>
          <w:position w:val="-12"/>
        </w:rPr>
        <w:object>
          <v:shape id="_x0000_i1095" o:spt="75" type="#_x0000_t75" style="height:16.15pt;width:16.15pt;" o:ole="t" filled="f" o:preferrelative="t" stroked="f" coordsize="21600,21600">
            <v:path/>
            <v:fill on="f" focussize="0,0"/>
            <v:stroke on="f" joinstyle="miter"/>
            <v:imagedata r:id="rId150" o:title=""/>
            <o:lock v:ext="edit" aspectratio="t"/>
            <w10:wrap type="none"/>
            <w10:anchorlock/>
          </v:shape>
          <o:OLEObject Type="Embed" ProgID="Equation.3" ShapeID="_x0000_i1095" DrawAspect="Content" ObjectID="_1468075795" r:id="rId149">
            <o:LockedField>false</o:LockedField>
          </o:OLEObject>
        </w:object>
      </w:r>
      <w:r>
        <w:rPr>
          <w:strike/>
        </w:rPr>
        <w:t xml:space="preserve">    </w:t>
      </w:r>
      <w:r>
        <w:rPr>
          <w:rFonts w:hint="eastAsia"/>
        </w:rPr>
        <w:t>分别为</w:t>
      </w:r>
      <w:r>
        <w:rPr>
          <w:position w:val="-10"/>
        </w:rPr>
        <w:object>
          <v:shape id="_x0000_i1096" o:spt="75" type="#_x0000_t75" style="height:16.15pt;width:8.8pt;" o:ole="t" filled="f" o:preferrelative="t" stroked="f" coordsize="21600,21600">
            <v:path/>
            <v:fill on="f" focussize="0,0"/>
            <v:stroke on="f" joinstyle="miter"/>
            <v:imagedata r:id="rId81" o:title=""/>
            <o:lock v:ext="edit" aspectratio="t"/>
            <w10:wrap type="none"/>
            <w10:anchorlock/>
          </v:shape>
          <o:OLEObject Type="Embed" ProgID="Equation.3" ShapeID="_x0000_i1096" DrawAspect="Content" ObjectID="_1468075796" r:id="rId151">
            <o:LockedField>false</o:LockedField>
          </o:OLEObject>
        </w:object>
      </w:r>
      <w:r>
        <w:rPr>
          <w:rFonts w:hint="eastAsia"/>
        </w:rPr>
        <w:t>振型</w:t>
      </w:r>
      <w:r>
        <w:rPr>
          <w:position w:val="-6"/>
        </w:rPr>
        <w:object>
          <v:shape id="_x0000_i1097" o:spt="75" type="#_x0000_t75" style="height:13.95pt;width:7.35pt;" o:ole="t" filled="f" o:preferrelative="t" stroked="f" coordsize="21600,21600">
            <v:path/>
            <v:fill on="f" focussize="0,0"/>
            <v:stroke on="f" joinstyle="miter"/>
            <v:imagedata r:id="rId83" o:title=""/>
            <o:lock v:ext="edit" aspectratio="t"/>
            <w10:wrap type="none"/>
            <w10:anchorlock/>
          </v:shape>
          <o:OLEObject Type="Embed" ProgID="Equation.3" ShapeID="_x0000_i1097" DrawAspect="Content" ObjectID="_1468075797" r:id="rId152">
            <o:LockedField>false</o:LockedField>
          </o:OLEObject>
        </w:object>
      </w:r>
      <w:r>
        <w:rPr>
          <w:rFonts w:hint="eastAsia"/>
        </w:rPr>
        <w:t>层质心在</w:t>
      </w:r>
      <w:r>
        <w:rPr>
          <w:position w:val="-6"/>
        </w:rPr>
        <w:object>
          <v:shape id="_x0000_i1098" o:spt="75" type="#_x0000_t75" style="height:11.75pt;width:8.8pt;" o:ole="t" filled="f" o:preferrelative="t" stroked="f" coordsize="21600,21600">
            <v:path/>
            <v:fill on="f" focussize="0,0"/>
            <v:stroke on="f" joinstyle="miter"/>
            <v:imagedata r:id="rId140" o:title=""/>
            <o:lock v:ext="edit" aspectratio="t"/>
            <w10:wrap type="none"/>
            <w10:anchorlock/>
          </v:shape>
          <o:OLEObject Type="Embed" ProgID="Equation.3" ShapeID="_x0000_i1098" DrawAspect="Content" ObjectID="_1468075798" r:id="rId153">
            <o:LockedField>false</o:LockedField>
          </o:OLEObject>
        </w:object>
      </w:r>
      <w:r>
        <w:rPr>
          <w:rFonts w:hint="eastAsia"/>
        </w:rPr>
        <w:t>、</w:t>
      </w:r>
      <w:r>
        <w:rPr>
          <w:position w:val="-10"/>
        </w:rPr>
        <w:object>
          <v:shape id="_x0000_i1099" o:spt="75" type="#_x0000_t75" style="height:13.95pt;width:11.75pt;" o:ole="t" filled="f" o:preferrelative="t" stroked="f" coordsize="21600,21600">
            <v:path/>
            <v:fill on="f" focussize="0,0"/>
            <v:stroke on="f" joinstyle="miter"/>
            <v:imagedata r:id="rId142" o:title=""/>
            <o:lock v:ext="edit" aspectratio="t"/>
            <w10:wrap type="none"/>
            <w10:anchorlock/>
          </v:shape>
          <o:OLEObject Type="Embed" ProgID="Equation.3" ShapeID="_x0000_i1099" DrawAspect="Content" ObjectID="_1468075799" r:id="rId154">
            <o:LockedField>false</o:LockedField>
          </o:OLEObject>
        </w:object>
      </w:r>
      <w:r>
        <w:rPr>
          <w:rFonts w:hint="eastAsia"/>
        </w:rPr>
        <w:t>方向的水平相对位移，应按本标准附录</w:t>
      </w:r>
      <w:r>
        <w:t xml:space="preserve">A </w:t>
      </w:r>
      <w:r>
        <w:rPr>
          <w:rFonts w:hint="eastAsia"/>
        </w:rPr>
        <w:t>中式（</w:t>
      </w:r>
      <w:r>
        <w:t>A.0.1-1</w:t>
      </w:r>
      <w:r>
        <w:rPr>
          <w:rFonts w:hint="eastAsia"/>
        </w:rPr>
        <w:t>）计算；</w:t>
      </w:r>
    </w:p>
    <w:p>
      <w:pPr>
        <w:pStyle w:val="58"/>
        <w:ind w:firstLine="1680" w:firstLineChars="800"/>
      </w:pPr>
      <w:r>
        <w:rPr>
          <w:position w:val="-12"/>
        </w:rPr>
        <w:object>
          <v:shape id="_x0000_i1100" o:spt="75" type="#_x0000_t75" style="height:16.15pt;width:16.15pt;" o:ole="t" filled="f" o:preferrelative="t" stroked="f" coordsize="21600,21600">
            <v:path/>
            <v:fill on="f" focussize="0,0"/>
            <v:stroke on="f" joinstyle="miter"/>
            <v:imagedata r:id="rId156" o:title=""/>
            <o:lock v:ext="edit" aspectratio="t"/>
            <w10:wrap type="none"/>
            <w10:anchorlock/>
          </v:shape>
          <o:OLEObject Type="Embed" ProgID="Equation.3" ShapeID="_x0000_i1100" DrawAspect="Content" ObjectID="_1468075800" r:id="rId155">
            <o:LockedField>false</o:LockedField>
          </o:OLEObject>
        </w:object>
      </w:r>
      <w:r>
        <w:rPr>
          <w:strike/>
        </w:rPr>
        <w:t xml:space="preserve">   </w:t>
      </w:r>
      <w:r>
        <w:rPr>
          <w:position w:val="-10"/>
        </w:rPr>
        <w:object>
          <v:shape id="_x0000_i1101" o:spt="75" type="#_x0000_t75" style="height:16.15pt;width:8.8pt;" o:ole="t" filled="f" o:preferrelative="t" stroked="f" coordsize="21600,21600">
            <v:path/>
            <v:fill on="f" focussize="0,0"/>
            <v:stroke on="f" joinstyle="miter"/>
            <v:imagedata r:id="rId81" o:title=""/>
            <o:lock v:ext="edit" aspectratio="t"/>
            <w10:wrap type="none"/>
            <w10:anchorlock/>
          </v:shape>
          <o:OLEObject Type="Embed" ProgID="Equation.3" ShapeID="_x0000_i1101" DrawAspect="Content" ObjectID="_1468075801" r:id="rId157">
            <o:LockedField>false</o:LockedField>
          </o:OLEObject>
        </w:object>
      </w:r>
      <w:r>
        <w:rPr>
          <w:rFonts w:hint="eastAsia"/>
        </w:rPr>
        <w:t>振型</w:t>
      </w:r>
      <w:r>
        <w:rPr>
          <w:position w:val="-6"/>
        </w:rPr>
        <w:object>
          <v:shape id="_x0000_i1102" o:spt="75" type="#_x0000_t75" style="height:13.95pt;width:7.35pt;" o:ole="t" filled="f" o:preferrelative="t" stroked="f" coordsize="21600,21600">
            <v:path/>
            <v:fill on="f" focussize="0,0"/>
            <v:stroke on="f" joinstyle="miter"/>
            <v:imagedata r:id="rId83" o:title=""/>
            <o:lock v:ext="edit" aspectratio="t"/>
            <w10:wrap type="none"/>
            <w10:anchorlock/>
          </v:shape>
          <o:OLEObject Type="Embed" ProgID="Equation.3" ShapeID="_x0000_i1102" DrawAspect="Content" ObjectID="_1468075802" r:id="rId158">
            <o:LockedField>false</o:LockedField>
          </o:OLEObject>
        </w:object>
      </w:r>
      <w:r>
        <w:rPr>
          <w:rFonts w:hint="eastAsia"/>
        </w:rPr>
        <w:t>层的相对扭转角；</w:t>
      </w:r>
    </w:p>
    <w:p>
      <w:pPr>
        <w:pStyle w:val="58"/>
        <w:ind w:firstLine="1890" w:firstLineChars="900"/>
      </w:pPr>
      <w:r>
        <w:rPr>
          <w:position w:val="-10"/>
        </w:rPr>
        <w:object>
          <v:shape id="_x0000_i1103" o:spt="75" type="#_x0000_t75" style="height:16.15pt;width:8.8pt;" o:ole="t" filled="f" o:preferrelative="t" stroked="f" coordsize="21600,21600">
            <v:path/>
            <v:fill on="f" focussize="0,0"/>
            <v:stroke on="f" joinstyle="miter"/>
            <v:imagedata r:id="rId160" o:title=""/>
            <o:lock v:ext="edit" aspectratio="t"/>
            <w10:wrap type="none"/>
            <w10:anchorlock/>
          </v:shape>
          <o:OLEObject Type="Embed" ProgID="Equation.3" ShapeID="_x0000_i1103" DrawAspect="Content" ObjectID="_1468075803" r:id="rId159">
            <o:LockedField>false</o:LockedField>
          </o:OLEObject>
        </w:object>
      </w:r>
      <w:r>
        <w:rPr>
          <w:strike/>
        </w:rPr>
        <w:t xml:space="preserve">   </w:t>
      </w:r>
      <w:r>
        <w:rPr>
          <w:position w:val="-6"/>
        </w:rPr>
        <w:object>
          <v:shape id="_x0000_i1104" o:spt="75" type="#_x0000_t75" style="height:13.95pt;width:7.35pt;" o:ole="t" filled="f" o:preferrelative="t" stroked="f" coordsize="21600,21600">
            <v:path/>
            <v:fill on="f" focussize="0,0"/>
            <v:stroke on="f" joinstyle="miter"/>
            <v:imagedata r:id="rId83" o:title=""/>
            <o:lock v:ext="edit" aspectratio="t"/>
            <w10:wrap type="none"/>
            <w10:anchorlock/>
          </v:shape>
          <o:OLEObject Type="Embed" ProgID="Equation.3" ShapeID="_x0000_i1104" DrawAspect="Content" ObjectID="_1468075804" r:id="rId161">
            <o:LockedField>false</o:LockedField>
          </o:OLEObject>
        </w:object>
      </w:r>
      <w:r>
        <w:rPr>
          <w:rFonts w:hint="eastAsia"/>
        </w:rPr>
        <w:t>层转动半径，可取</w:t>
      </w:r>
      <w:r>
        <w:rPr>
          <w:position w:val="-6"/>
        </w:rPr>
        <w:object>
          <v:shape id="_x0000_i1105" o:spt="75" type="#_x0000_t75" style="height:13.95pt;width:7.35pt;" o:ole="t" filled="f" o:preferrelative="t" stroked="f" coordsize="21600,21600">
            <v:path/>
            <v:fill on="f" focussize="0,0"/>
            <v:stroke on="f" joinstyle="miter"/>
            <v:imagedata r:id="rId83" o:title=""/>
            <o:lock v:ext="edit" aspectratio="t"/>
            <w10:wrap type="none"/>
            <w10:anchorlock/>
          </v:shape>
          <o:OLEObject Type="Embed" ProgID="Equation.3" ShapeID="_x0000_i1105" DrawAspect="Content" ObjectID="_1468075805" r:id="rId162">
            <o:LockedField>false</o:LockedField>
          </o:OLEObject>
        </w:object>
      </w:r>
      <w:r>
        <w:rPr>
          <w:rFonts w:hint="eastAsia"/>
        </w:rPr>
        <w:t>层绕质心的转动惯量除以该层质量的商的正二次方根；</w:t>
      </w:r>
    </w:p>
    <w:p>
      <w:pPr>
        <w:pStyle w:val="58"/>
        <w:ind w:firstLine="1890" w:firstLineChars="900"/>
      </w:pPr>
      <w:r>
        <w:rPr>
          <w:position w:val="-12"/>
        </w:rPr>
        <w:object>
          <v:shape id="_x0000_i1106" o:spt="75" type="#_x0000_t75" style="height:16.15pt;width:13.95pt;" o:ole="t" filled="f" o:preferrelative="t" stroked="f" coordsize="21600,21600">
            <v:path/>
            <v:fill on="f" focussize="0,0"/>
            <v:stroke on="f" joinstyle="miter"/>
            <v:imagedata r:id="rId164" o:title=""/>
            <o:lock v:ext="edit" aspectratio="t"/>
            <w10:wrap type="none"/>
            <w10:anchorlock/>
          </v:shape>
          <o:OLEObject Type="Embed" ProgID="Equation.3" ShapeID="_x0000_i1106" DrawAspect="Content" ObjectID="_1468075806" r:id="rId163">
            <o:LockedField>false</o:LockedField>
          </o:OLEObject>
        </w:object>
      </w:r>
      <w:r>
        <w:rPr>
          <w:strike/>
        </w:rPr>
        <w:t xml:space="preserve">    </w:t>
      </w:r>
      <w:r>
        <w:rPr>
          <w:rFonts w:hint="eastAsia"/>
        </w:rPr>
        <w:t>计入扭转的</w:t>
      </w:r>
      <w:r>
        <w:rPr>
          <w:position w:val="-10"/>
        </w:rPr>
        <w:object>
          <v:shape id="_x0000_i1107" o:spt="75" type="#_x0000_t75" style="height:16.15pt;width:8.8pt;" o:ole="t" filled="f" o:preferrelative="t" stroked="f" coordsize="21600,21600">
            <v:path/>
            <v:fill on="f" focussize="0,0"/>
            <v:stroke on="f" joinstyle="miter"/>
            <v:imagedata r:id="rId81" o:title=""/>
            <o:lock v:ext="edit" aspectratio="t"/>
            <w10:wrap type="none"/>
            <w10:anchorlock/>
          </v:shape>
          <o:OLEObject Type="Embed" ProgID="Equation.3" ShapeID="_x0000_i1107" DrawAspect="Content" ObjectID="_1468075807" r:id="rId165">
            <o:LockedField>false</o:LockedField>
          </o:OLEObject>
        </w:object>
      </w:r>
      <w:r>
        <w:rPr>
          <w:rFonts w:hint="eastAsia"/>
        </w:rPr>
        <w:t>振型的参与系数，应按本标准附录</w:t>
      </w:r>
      <w:r>
        <w:t xml:space="preserve">A </w:t>
      </w:r>
      <w:r>
        <w:rPr>
          <w:rFonts w:hint="eastAsia"/>
        </w:rPr>
        <w:t>中式（</w:t>
      </w:r>
      <w:r>
        <w:t>A.0.1-2</w:t>
      </w:r>
      <w:r>
        <w:rPr>
          <w:rFonts w:hint="eastAsia"/>
        </w:rPr>
        <w:t>）计算。</w:t>
      </w:r>
    </w:p>
    <w:p>
      <w:pPr>
        <w:pStyle w:val="58"/>
        <w:ind w:firstLine="420"/>
      </w:pPr>
      <w:r>
        <w:rPr>
          <w:rFonts w:hint="eastAsia" w:ascii="黑体" w:hAnsi="黑体" w:eastAsia="黑体"/>
        </w:rPr>
        <w:t>2</w:t>
      </w:r>
      <w:r>
        <w:rPr>
          <w:rFonts w:hint="eastAsia"/>
        </w:rPr>
        <w:t xml:space="preserve"> </w:t>
      </w:r>
      <w:r>
        <w:t xml:space="preserve"> </w:t>
      </w:r>
      <w:r>
        <w:rPr>
          <w:rFonts w:hint="eastAsia"/>
        </w:rPr>
        <w:t>单向水平地震作用下的扭转耦联效应，可按下列公式确定：</w:t>
      </w:r>
    </w:p>
    <w:p>
      <w:pPr>
        <w:pStyle w:val="115"/>
      </w:pPr>
      <w:r>
        <w:tab/>
      </w:r>
      <w:r>
        <w:rPr>
          <w:rFonts w:ascii="Times New Roman" w:hAnsi="Times New Roman"/>
          <w:color w:val="000000"/>
          <w:position w:val="-24"/>
        </w:rPr>
        <w:object>
          <v:shape id="_x0000_i1108" o:spt="75" type="#_x0000_t75" style="height:34.55pt;width:103.6pt;" o:ole="t" filled="f" o:preferrelative="t" stroked="f" coordsize="21600,21600">
            <v:path/>
            <v:fill on="f" focussize="0,0"/>
            <v:stroke on="f" joinstyle="miter"/>
            <v:imagedata r:id="rId167" o:title=""/>
            <o:lock v:ext="edit" aspectratio="t"/>
            <w10:wrap type="none"/>
            <w10:anchorlock/>
          </v:shape>
          <o:OLEObject Type="Embed" ProgID="Equation.3" ShapeID="_x0000_i1108" DrawAspect="Content" ObjectID="_1468075808" r:id="rId166">
            <o:LockedField>false</o:LockedField>
          </o:OLEObject>
        </w:object>
      </w:r>
      <w:r>
        <w:rPr>
          <w:rFonts w:ascii="微软雅黑" w:hAnsi="微软雅黑" w:eastAsia="微软雅黑"/>
        </w:rPr>
        <w:tab/>
      </w:r>
      <w:r>
        <w:t>(4.2.2-4)</w:t>
      </w:r>
    </w:p>
    <w:p>
      <w:pPr>
        <w:pStyle w:val="57"/>
        <w:spacing w:line="240" w:lineRule="atLeast"/>
        <w:ind w:firstLine="420"/>
      </w:pPr>
    </w:p>
    <w:p>
      <w:pPr>
        <w:pStyle w:val="115"/>
      </w:pPr>
      <w:r>
        <w:tab/>
      </w:r>
      <w:r>
        <w:drawing>
          <wp:inline distT="0" distB="0" distL="0" distR="0">
            <wp:extent cx="4691380" cy="535940"/>
            <wp:effectExtent l="0" t="0" r="0" b="0"/>
            <wp:docPr id="117" name="图片 236"/>
            <wp:cNvGraphicFramePr/>
            <a:graphic xmlns:a="http://schemas.openxmlformats.org/drawingml/2006/main">
              <a:graphicData uri="http://schemas.openxmlformats.org/drawingml/2006/picture">
                <pic:pic xmlns:pic="http://schemas.openxmlformats.org/drawingml/2006/picture">
                  <pic:nvPicPr>
                    <pic:cNvPr id="117" name="图片 236"/>
                    <pic:cNvPicPr/>
                  </pic:nvPicPr>
                  <pic:blipFill>
                    <a:blip r:embed="rId168"/>
                    <a:stretch>
                      <a:fillRect/>
                    </a:stretch>
                  </pic:blipFill>
                  <pic:spPr>
                    <a:xfrm>
                      <a:off x="0" y="0"/>
                      <a:ext cx="4691380" cy="535940"/>
                    </a:xfrm>
                    <a:prstGeom prst="rect">
                      <a:avLst/>
                    </a:prstGeom>
                    <a:noFill/>
                    <a:ln>
                      <a:noFill/>
                    </a:ln>
                  </pic:spPr>
                </pic:pic>
              </a:graphicData>
            </a:graphic>
          </wp:inline>
        </w:drawing>
      </w:r>
      <w:r>
        <w:rPr>
          <w:rFonts w:ascii="微软雅黑" w:hAnsi="微软雅黑" w:eastAsia="微软雅黑"/>
        </w:rPr>
        <w:tab/>
      </w:r>
      <w:r>
        <w:t>(4.2.2-5)</w:t>
      </w:r>
    </w:p>
    <w:p>
      <w:pPr>
        <w:pStyle w:val="58"/>
        <w:ind w:firstLine="420"/>
      </w:pPr>
      <w:r>
        <w:rPr>
          <w:rFonts w:hint="eastAsia"/>
        </w:rPr>
        <w:t>式中：</w:t>
      </w:r>
      <w:r>
        <w:rPr>
          <w:position w:val="-12"/>
        </w:rPr>
        <w:object>
          <v:shape id="_x0000_i1109" o:spt="75" type="#_x0000_t75" style="height:18.35pt;width:19.1pt;" o:ole="t" filled="f" o:preferrelative="t" stroked="f" coordsize="21600,21600">
            <v:path/>
            <v:fill on="f" focussize="0,0"/>
            <v:stroke on="f" joinstyle="miter"/>
            <v:imagedata r:id="rId109" o:title=""/>
            <o:lock v:ext="edit" aspectratio="t"/>
            <w10:wrap type="none"/>
            <w10:anchorlock/>
          </v:shape>
          <o:OLEObject Type="Embed" ProgID="Equation.3" ShapeID="_x0000_i1109" DrawAspect="Content" ObjectID="_1468075809" r:id="rId169">
            <o:LockedField>false</o:LockedField>
          </o:OLEObject>
        </w:object>
      </w:r>
      <w:r>
        <w:rPr>
          <w:strike/>
        </w:rPr>
        <w:t xml:space="preserve">    </w:t>
      </w:r>
      <w:r>
        <w:rPr>
          <w:rFonts w:hint="eastAsia"/>
        </w:rPr>
        <w:t>地震作用标准值的扭转效应；</w:t>
      </w:r>
    </w:p>
    <w:p>
      <w:pPr>
        <w:pStyle w:val="58"/>
        <w:ind w:firstLine="840" w:firstLineChars="400"/>
      </w:pPr>
      <w:r>
        <w:rPr>
          <w:position w:val="-14"/>
        </w:rPr>
        <w:object>
          <v:shape id="_x0000_i1110" o:spt="75" type="#_x0000_t75" style="height:19.1pt;width:36.75pt;" o:ole="t" filled="f" o:preferrelative="t" stroked="f" coordsize="21600,21600">
            <v:path/>
            <v:fill on="f" focussize="0,0"/>
            <v:stroke on="f" joinstyle="miter"/>
            <v:imagedata r:id="rId171" o:title=""/>
            <o:lock v:ext="edit" aspectratio="t"/>
            <w10:wrap type="none"/>
            <w10:anchorlock/>
          </v:shape>
          <o:OLEObject Type="Embed" ProgID="Equation.3" ShapeID="_x0000_i1110" DrawAspect="Content" ObjectID="_1468075810" r:id="rId170">
            <o:LockedField>false</o:LockedField>
          </o:OLEObject>
        </w:object>
      </w:r>
      <w:r>
        <w:rPr>
          <w:strike/>
        </w:rPr>
        <w:t xml:space="preserve">    </w:t>
      </w:r>
      <w:r>
        <w:rPr>
          <w:rFonts w:hint="eastAsia"/>
        </w:rPr>
        <w:t>分别为</w:t>
      </w:r>
      <w:r>
        <w:rPr>
          <w:position w:val="-10"/>
        </w:rPr>
        <w:object>
          <v:shape id="_x0000_i1111" o:spt="75" type="#_x0000_t75" style="height:16.15pt;width:8.8pt;" o:ole="t" filled="f" o:preferrelative="t" stroked="f" coordsize="21600,21600">
            <v:path/>
            <v:fill on="f" focussize="0,0"/>
            <v:stroke on="f" joinstyle="miter"/>
            <v:imagedata r:id="rId81" o:title=""/>
            <o:lock v:ext="edit" aspectratio="t"/>
            <w10:wrap type="none"/>
            <w10:anchorlock/>
          </v:shape>
          <o:OLEObject Type="Embed" ProgID="Equation.3" ShapeID="_x0000_i1111" DrawAspect="Content" ObjectID="_1468075811" r:id="rId172">
            <o:LockedField>false</o:LockedField>
          </o:OLEObject>
        </w:object>
      </w:r>
      <w:r>
        <w:rPr>
          <w:rFonts w:hint="eastAsia"/>
        </w:rPr>
        <w:t>、</w:t>
      </w:r>
      <w:r>
        <w:rPr>
          <w:position w:val="-6"/>
        </w:rPr>
        <w:object>
          <v:shape id="_x0000_i1112" o:spt="75" type="#_x0000_t75" style="height:13.95pt;width:8.8pt;" o:ole="t" filled="f" o:preferrelative="t" stroked="f" coordsize="21600,21600">
            <v:path/>
            <v:fill on="f" focussize="0,0"/>
            <v:stroke on="f" joinstyle="miter"/>
            <v:imagedata r:id="rId174" o:title=""/>
            <o:lock v:ext="edit" aspectratio="t"/>
            <w10:wrap type="none"/>
            <w10:anchorlock/>
          </v:shape>
          <o:OLEObject Type="Embed" ProgID="Equation.3" ShapeID="_x0000_i1112" DrawAspect="Content" ObjectID="_1468075812" r:id="rId173">
            <o:LockedField>false</o:LockedField>
          </o:OLEObject>
        </w:object>
      </w:r>
      <w:r>
        <w:rPr>
          <w:rFonts w:hint="eastAsia"/>
        </w:rPr>
        <w:t>振型地震作用标准值的效应，可取前</w:t>
      </w:r>
      <w:r>
        <w:t>9</w:t>
      </w:r>
      <w:r>
        <w:rPr>
          <w:rFonts w:hint="eastAsia"/>
        </w:rPr>
        <w:t>～</w:t>
      </w:r>
      <w:r>
        <w:t>15</w:t>
      </w:r>
      <w:r>
        <w:rPr>
          <w:rFonts w:hint="eastAsia"/>
        </w:rPr>
        <w:t>个振型；</w:t>
      </w:r>
    </w:p>
    <w:p>
      <w:pPr>
        <w:pStyle w:val="58"/>
        <w:ind w:firstLine="840" w:firstLineChars="400"/>
      </w:pPr>
      <w:r>
        <w:rPr>
          <w:position w:val="-14"/>
        </w:rPr>
        <w:object>
          <v:shape id="_x0000_i1113" o:spt="75" type="#_x0000_t75" style="height:19.1pt;width:38.2pt;" o:ole="t" filled="f" o:preferrelative="t" stroked="f" coordsize="21600,21600">
            <v:path/>
            <v:fill on="f" focussize="0,0"/>
            <v:stroke on="f" joinstyle="miter"/>
            <v:imagedata r:id="rId176" o:title=""/>
            <o:lock v:ext="edit" aspectratio="t"/>
            <w10:wrap type="none"/>
            <w10:anchorlock/>
          </v:shape>
          <o:OLEObject Type="Embed" ProgID="Equation.3" ShapeID="_x0000_i1113" DrawAspect="Content" ObjectID="_1468075813" r:id="rId175">
            <o:LockedField>false</o:LockedField>
          </o:OLEObject>
        </w:object>
      </w:r>
      <w:r>
        <w:rPr>
          <w:strike/>
        </w:rPr>
        <w:t xml:space="preserve">    </w:t>
      </w:r>
      <w:r>
        <w:rPr>
          <w:rFonts w:hint="eastAsia"/>
        </w:rPr>
        <w:t>分别为</w:t>
      </w:r>
      <w:r>
        <w:rPr>
          <w:position w:val="-10"/>
        </w:rPr>
        <w:object>
          <v:shape id="_x0000_i1114" o:spt="75" type="#_x0000_t75" style="height:16.15pt;width:8.8pt;" o:ole="t" filled="f" o:preferrelative="t" stroked="f" coordsize="21600,21600">
            <v:path/>
            <v:fill on="f" focussize="0,0"/>
            <v:stroke on="f" joinstyle="miter"/>
            <v:imagedata r:id="rId81" o:title=""/>
            <o:lock v:ext="edit" aspectratio="t"/>
            <w10:wrap type="none"/>
            <w10:anchorlock/>
          </v:shape>
          <o:OLEObject Type="Embed" ProgID="Equation.3" ShapeID="_x0000_i1114" DrawAspect="Content" ObjectID="_1468075814" r:id="rId177">
            <o:LockedField>false</o:LockedField>
          </o:OLEObject>
        </w:object>
      </w:r>
      <w:r>
        <w:rPr>
          <w:rFonts w:hint="eastAsia"/>
        </w:rPr>
        <w:t>、</w:t>
      </w:r>
      <w:r>
        <w:rPr>
          <w:position w:val="-6"/>
        </w:rPr>
        <w:object>
          <v:shape id="_x0000_i1115" o:spt="75" type="#_x0000_t75" style="height:13.95pt;width:8.8pt;" o:ole="t" filled="f" o:preferrelative="t" stroked="f" coordsize="21600,21600">
            <v:path/>
            <v:fill on="f" focussize="0,0"/>
            <v:stroke on="f" joinstyle="miter"/>
            <v:imagedata r:id="rId174" o:title=""/>
            <o:lock v:ext="edit" aspectratio="t"/>
            <w10:wrap type="none"/>
            <w10:anchorlock/>
          </v:shape>
          <o:OLEObject Type="Embed" ProgID="Equation.3" ShapeID="_x0000_i1115" DrawAspect="Content" ObjectID="_1468075815" r:id="rId178">
            <o:LockedField>false</o:LockedField>
          </o:OLEObject>
        </w:object>
      </w:r>
      <w:r>
        <w:rPr>
          <w:rFonts w:hint="eastAsia"/>
        </w:rPr>
        <w:t>振型的阻尼比；</w:t>
      </w:r>
    </w:p>
    <w:p>
      <w:pPr>
        <w:pStyle w:val="58"/>
        <w:ind w:firstLine="1260" w:firstLineChars="600"/>
      </w:pPr>
      <w:r>
        <w:rPr>
          <w:position w:val="-12"/>
        </w:rPr>
        <w:object>
          <v:shape id="_x0000_i1116" o:spt="75" type="#_x0000_t75" style="height:16.15pt;width:18.35pt;" o:ole="t" filled="f" o:preferrelative="t" stroked="f" coordsize="21600,21600">
            <v:path/>
            <v:fill on="f" focussize="0,0"/>
            <v:stroke on="f" joinstyle="miter"/>
            <v:imagedata r:id="rId180" o:title=""/>
            <o:lock v:ext="edit" aspectratio="t"/>
            <w10:wrap type="none"/>
            <w10:anchorlock/>
          </v:shape>
          <o:OLEObject Type="Embed" ProgID="Equation.3" ShapeID="_x0000_i1116" DrawAspect="Content" ObjectID="_1468075816" r:id="rId179">
            <o:LockedField>false</o:LockedField>
          </o:OLEObject>
        </w:object>
      </w:r>
      <w:r>
        <w:rPr>
          <w:strike/>
        </w:rPr>
        <w:t xml:space="preserve">    </w:t>
      </w:r>
      <w:r>
        <w:rPr>
          <w:position w:val="-10"/>
        </w:rPr>
        <w:object>
          <v:shape id="_x0000_i1117" o:spt="75" type="#_x0000_t75" style="height:16.15pt;width:8.8pt;" o:ole="t" filled="f" o:preferrelative="t" stroked="f" coordsize="21600,21600">
            <v:path/>
            <v:fill on="f" focussize="0,0"/>
            <v:stroke on="f" joinstyle="miter"/>
            <v:imagedata r:id="rId81" o:title=""/>
            <o:lock v:ext="edit" aspectratio="t"/>
            <w10:wrap type="none"/>
            <w10:anchorlock/>
          </v:shape>
          <o:OLEObject Type="Embed" ProgID="Equation.3" ShapeID="_x0000_i1117" DrawAspect="Content" ObjectID="_1468075817" r:id="rId181">
            <o:LockedField>false</o:LockedField>
          </o:OLEObject>
        </w:object>
      </w:r>
      <w:r>
        <w:rPr>
          <w:rFonts w:hint="eastAsia"/>
        </w:rPr>
        <w:t>振型与</w:t>
      </w:r>
      <w:r>
        <w:rPr>
          <w:position w:val="-6"/>
        </w:rPr>
        <w:object>
          <v:shape id="_x0000_i1118" o:spt="75" type="#_x0000_t75" style="height:14.7pt;width:8.8pt;" o:ole="t" filled="f" o:preferrelative="t" stroked="f" coordsize="21600,21600">
            <v:path/>
            <v:fill on="f" focussize="0,0"/>
            <v:stroke on="f" joinstyle="miter"/>
            <v:imagedata r:id="rId174" o:title=""/>
            <o:lock v:ext="edit" aspectratio="t"/>
            <w10:wrap type="none"/>
            <w10:anchorlock/>
          </v:shape>
          <o:OLEObject Type="Embed" ProgID="Equation.3" ShapeID="_x0000_i1118" DrawAspect="Content" ObjectID="_1468075818" r:id="rId182">
            <o:LockedField>false</o:LockedField>
          </o:OLEObject>
        </w:object>
      </w:r>
      <w:r>
        <w:rPr>
          <w:rFonts w:hint="eastAsia"/>
        </w:rPr>
        <w:t>振型的耦联系数，应按本标准附录</w:t>
      </w:r>
      <w:r>
        <w:t xml:space="preserve">A </w:t>
      </w:r>
      <w:r>
        <w:rPr>
          <w:rFonts w:hint="eastAsia"/>
        </w:rPr>
        <w:t>中式（</w:t>
      </w:r>
      <w:r>
        <w:t>A.0.2-1</w:t>
      </w:r>
      <w:r>
        <w:rPr>
          <w:rFonts w:hint="eastAsia"/>
        </w:rPr>
        <w:t>）计算；</w:t>
      </w:r>
    </w:p>
    <w:p>
      <w:pPr>
        <w:pStyle w:val="58"/>
        <w:ind w:firstLine="1470" w:firstLineChars="700"/>
      </w:pPr>
      <w:r>
        <w:rPr>
          <w:position w:val="-10"/>
        </w:rPr>
        <w:object>
          <v:shape id="_x0000_i1119" o:spt="75" type="#_x0000_t75" style="height:16.15pt;width:14.7pt;" o:ole="t" filled="f" o:preferrelative="t" stroked="f" coordsize="21600,21600">
            <v:path/>
            <v:fill on="f" focussize="0,0"/>
            <v:stroke on="f" joinstyle="miter"/>
            <v:imagedata r:id="rId184" o:title=""/>
            <o:lock v:ext="edit" aspectratio="t"/>
            <w10:wrap type="none"/>
            <w10:anchorlock/>
          </v:shape>
          <o:OLEObject Type="Embed" ProgID="Equation.3" ShapeID="_x0000_i1119" DrawAspect="Content" ObjectID="_1468075819" r:id="rId183">
            <o:LockedField>false</o:LockedField>
          </o:OLEObject>
        </w:object>
      </w:r>
      <w:r>
        <w:rPr>
          <w:strike/>
        </w:rPr>
        <w:t xml:space="preserve">    </w:t>
      </w:r>
      <w:r>
        <w:rPr>
          <w:position w:val="-6"/>
        </w:rPr>
        <w:object>
          <v:shape id="_x0000_i1120" o:spt="75" type="#_x0000_t75" style="height:14.7pt;width:8.8pt;" o:ole="t" filled="f" o:preferrelative="t" stroked="f" coordsize="21600,21600">
            <v:path/>
            <v:fill on="f" focussize="0,0"/>
            <v:stroke on="f" joinstyle="miter"/>
            <v:imagedata r:id="rId174" o:title=""/>
            <o:lock v:ext="edit" aspectratio="t"/>
            <w10:wrap type="none"/>
            <w10:anchorlock/>
          </v:shape>
          <o:OLEObject Type="Embed" ProgID="Equation.3" ShapeID="_x0000_i1120" DrawAspect="Content" ObjectID="_1468075820" r:id="rId185">
            <o:LockedField>false</o:LockedField>
          </o:OLEObject>
        </w:object>
      </w:r>
      <w:r>
        <w:rPr>
          <w:rFonts w:hint="eastAsia"/>
        </w:rPr>
        <w:t>振型与</w:t>
      </w:r>
      <w:r>
        <w:rPr>
          <w:position w:val="-10"/>
        </w:rPr>
        <w:object>
          <v:shape id="_x0000_i1121" o:spt="75" type="#_x0000_t75" style="height:16.15pt;width:8.8pt;" o:ole="t" filled="f" o:preferrelative="t" stroked="f" coordsize="21600,21600">
            <v:path/>
            <v:fill on="f" focussize="0,0"/>
            <v:stroke on="f" joinstyle="miter"/>
            <v:imagedata r:id="rId81" o:title=""/>
            <o:lock v:ext="edit" aspectratio="t"/>
            <w10:wrap type="none"/>
            <w10:anchorlock/>
          </v:shape>
          <o:OLEObject Type="Embed" ProgID="Equation.3" ShapeID="_x0000_i1121" DrawAspect="Content" ObjectID="_1468075821" r:id="rId186">
            <o:LockedField>false</o:LockedField>
          </o:OLEObject>
        </w:object>
      </w:r>
      <w:r>
        <w:rPr>
          <w:rFonts w:hint="eastAsia"/>
        </w:rPr>
        <w:t>振型的自振周期比。</w:t>
      </w:r>
    </w:p>
    <w:p>
      <w:pPr>
        <w:pStyle w:val="58"/>
        <w:ind w:firstLine="420"/>
      </w:pPr>
      <w:r>
        <w:rPr>
          <w:rFonts w:ascii="黑体" w:hAnsi="黑体" w:eastAsia="黑体"/>
          <w:bCs/>
        </w:rPr>
        <w:t>3</w:t>
      </w:r>
      <w:r>
        <w:rPr>
          <w:rFonts w:ascii="黑体" w:hAnsi="黑体" w:eastAsia="黑体"/>
          <w:b/>
        </w:rPr>
        <w:t xml:space="preserve">  </w:t>
      </w:r>
      <w:r>
        <w:rPr>
          <w:rFonts w:hint="eastAsia"/>
        </w:rPr>
        <w:t>双向水平地震作用的扭转耦联效应，可按下列公式中的较大值确定：</w:t>
      </w:r>
    </w:p>
    <w:p>
      <w:pPr>
        <w:pStyle w:val="115"/>
      </w:pPr>
      <w:r>
        <w:tab/>
      </w:r>
      <w:r>
        <w:rPr>
          <w:rFonts w:ascii="Times New Roman" w:hAnsi="Times New Roman"/>
          <w:color w:val="000000"/>
          <w:position w:val="-16"/>
        </w:rPr>
        <w:object>
          <v:shape id="_x0000_i1122" o:spt="75" type="#_x0000_t75" style="height:23.5pt;width:110.95pt;" o:ole="t" filled="f" o:preferrelative="t" stroked="f" coordsize="21600,21600">
            <v:path/>
            <v:fill on="f" focussize="0,0"/>
            <v:stroke on="f" joinstyle="miter"/>
            <v:imagedata r:id="rId188" o:title=""/>
            <o:lock v:ext="edit" aspectratio="t"/>
            <w10:wrap type="none"/>
            <w10:anchorlock/>
          </v:shape>
          <o:OLEObject Type="Embed" ProgID="Equation.3" ShapeID="_x0000_i1122" DrawAspect="Content" ObjectID="_1468075822" r:id="rId187">
            <o:LockedField>false</o:LockedField>
          </o:OLEObject>
        </w:object>
      </w:r>
      <w:r>
        <w:rPr>
          <w:rFonts w:ascii="微软雅黑" w:hAnsi="微软雅黑" w:eastAsia="微软雅黑"/>
        </w:rPr>
        <w:tab/>
      </w:r>
      <w:r>
        <w:t>(4.2.2-6)</w:t>
      </w:r>
    </w:p>
    <w:p>
      <w:pPr>
        <w:pStyle w:val="115"/>
        <w:ind w:firstLine="840" w:firstLineChars="400"/>
      </w:pPr>
      <w:r>
        <w:rPr>
          <w:rFonts w:hint="eastAsia"/>
        </w:rPr>
        <w:t>或</w:t>
      </w:r>
      <w:r>
        <w:tab/>
      </w:r>
      <w:r>
        <w:rPr>
          <w:rFonts w:ascii="Times New Roman" w:hAnsi="Times New Roman"/>
          <w:color w:val="000000"/>
          <w:position w:val="-16"/>
        </w:rPr>
        <w:object>
          <v:shape id="_x0000_i1123" o:spt="75" type="#_x0000_t75" style="height:23.5pt;width:110.95pt;" o:ole="t" filled="f" o:preferrelative="t" stroked="f" coordsize="21600,21600">
            <v:path/>
            <v:fill on="f" focussize="0,0"/>
            <v:stroke on="f" joinstyle="miter"/>
            <v:imagedata r:id="rId190" o:title=""/>
            <o:lock v:ext="edit" aspectratio="t"/>
            <w10:wrap type="none"/>
            <w10:anchorlock/>
          </v:shape>
          <o:OLEObject Type="Embed" ProgID="Equation.3" ShapeID="_x0000_i1123" DrawAspect="Content" ObjectID="_1468075823" r:id="rId189">
            <o:LockedField>false</o:LockedField>
          </o:OLEObject>
        </w:object>
      </w:r>
      <w:r>
        <w:rPr>
          <w:rFonts w:ascii="微软雅黑" w:hAnsi="微软雅黑" w:eastAsia="微软雅黑"/>
        </w:rPr>
        <w:tab/>
      </w:r>
      <w:r>
        <w:t>(4.2.2-7)</w:t>
      </w:r>
    </w:p>
    <w:p>
      <w:pPr>
        <w:pStyle w:val="57"/>
        <w:ind w:firstLine="420"/>
      </w:pPr>
      <w:r>
        <w:rPr>
          <w:rFonts w:hint="eastAsia"/>
        </w:rPr>
        <w:t>式中：</w:t>
      </w:r>
      <w:bookmarkStart w:id="44" w:name="_Hlk89960952"/>
      <w:r>
        <w:rPr>
          <w:rFonts w:ascii="Times New Roman" w:hAnsi="Times New Roman"/>
          <w:color w:val="000000"/>
          <w:position w:val="-10"/>
        </w:rPr>
        <w:object>
          <v:shape id="_x0000_i1124" o:spt="75" type="#_x0000_t75" style="height:16.15pt;width:14.7pt;" o:ole="t" filled="f" o:preferrelative="t" stroked="f" coordsize="21600,21600">
            <v:path/>
            <v:fill on="f" focussize="0,0"/>
            <v:stroke on="f" joinstyle="miter"/>
            <v:imagedata r:id="rId192" o:title=""/>
            <o:lock v:ext="edit" aspectratio="t"/>
            <w10:wrap type="none"/>
            <w10:anchorlock/>
          </v:shape>
          <o:OLEObject Type="Embed" ProgID="Equation.3" ShapeID="_x0000_i1124" DrawAspect="Content" ObjectID="_1468075824" r:id="rId191">
            <o:LockedField>false</o:LockedField>
          </o:OLEObject>
        </w:object>
      </w:r>
      <w:r>
        <w:rPr>
          <w:rFonts w:hint="eastAsia" w:ascii="Times New Roman" w:hAnsi="Times New Roman"/>
          <w:color w:val="000000"/>
        </w:rPr>
        <w:t>、</w:t>
      </w:r>
      <w:r>
        <w:rPr>
          <w:rFonts w:ascii="Times New Roman" w:hAnsi="Times New Roman"/>
          <w:color w:val="000000"/>
          <w:position w:val="-12"/>
        </w:rPr>
        <w:object>
          <v:shape id="_x0000_i1125" o:spt="75" type="#_x0000_t75" style="height:16.15pt;width:14.7pt;" o:ole="t" filled="f" o:preferrelative="t" stroked="f" coordsize="21600,21600">
            <v:path/>
            <v:fill on="f" focussize="0,0"/>
            <v:stroke on="f" joinstyle="miter"/>
            <v:imagedata r:id="rId194" o:title=""/>
            <o:lock v:ext="edit" aspectratio="t"/>
            <w10:wrap type="none"/>
            <w10:anchorlock/>
          </v:shape>
          <o:OLEObject Type="Embed" ProgID="Equation.3" ShapeID="_x0000_i1125" DrawAspect="Content" ObjectID="_1468075825" r:id="rId193">
            <o:LockedField>false</o:LockedField>
          </o:OLEObject>
        </w:object>
      </w:r>
      <w:r>
        <w:rPr>
          <w:rFonts w:hint="eastAsia" w:ascii="Times New Roman" w:hAnsi="Times New Roman"/>
          <w:color w:val="000000"/>
        </w:rPr>
        <w:t>分别为</w:t>
      </w:r>
      <w:r>
        <w:rPr>
          <w:rFonts w:ascii="Times New Roman" w:hAnsi="Times New Roman"/>
          <w:color w:val="000000"/>
          <w:position w:val="-6"/>
        </w:rPr>
        <w:object>
          <v:shape id="_x0000_i1126" o:spt="75" type="#_x0000_t75" style="height:11pt;width:8.8pt;" o:ole="t" filled="f" o:preferrelative="t" stroked="f" coordsize="21600,21600">
            <v:path/>
            <v:fill on="f" focussize="0,0"/>
            <v:stroke on="f" joinstyle="miter"/>
            <v:imagedata r:id="rId140" o:title=""/>
            <o:lock v:ext="edit" aspectratio="t"/>
            <w10:wrap type="none"/>
            <w10:anchorlock/>
          </v:shape>
          <o:OLEObject Type="Embed" ProgID="Equation.3" ShapeID="_x0000_i1126" DrawAspect="Content" ObjectID="_1468075826" r:id="rId195">
            <o:LockedField>false</o:LockedField>
          </o:OLEObject>
        </w:object>
      </w:r>
      <w:r>
        <w:rPr>
          <w:rFonts w:hint="eastAsia" w:ascii="Times New Roman" w:hAnsi="Times New Roman"/>
          <w:color w:val="000000"/>
        </w:rPr>
        <w:t>向、</w:t>
      </w:r>
      <w:r>
        <w:rPr>
          <w:rFonts w:ascii="Times New Roman" w:hAnsi="Times New Roman"/>
          <w:color w:val="000000"/>
          <w:position w:val="-10"/>
        </w:rPr>
        <w:object>
          <v:shape id="_x0000_i1127" o:spt="75" type="#_x0000_t75" style="height:13.95pt;width:11pt;" o:ole="t" filled="f" o:preferrelative="t" stroked="f" coordsize="21600,21600">
            <v:path/>
            <v:fill on="f" focussize="0,0"/>
            <v:stroke on="f" joinstyle="miter"/>
            <v:imagedata r:id="rId142" o:title=""/>
            <o:lock v:ext="edit" aspectratio="t"/>
            <w10:wrap type="none"/>
            <w10:anchorlock/>
          </v:shape>
          <o:OLEObject Type="Embed" ProgID="Equation.3" ShapeID="_x0000_i1127" DrawAspect="Content" ObjectID="_1468075827" r:id="rId196">
            <o:LockedField>false</o:LockedField>
          </o:OLEObject>
        </w:object>
      </w:r>
      <w:r>
        <w:rPr>
          <w:rFonts w:hint="eastAsia" w:ascii="Times New Roman" w:hAnsi="Times New Roman"/>
          <w:color w:val="000000"/>
        </w:rPr>
        <w:t>向单向水平地震作用按式（</w:t>
      </w:r>
      <w:r>
        <w:rPr>
          <w:rFonts w:ascii="Times New Roman" w:hAnsi="Times New Roman"/>
          <w:color w:val="000000"/>
        </w:rPr>
        <w:t>4.2.2-4</w:t>
      </w:r>
      <w:r>
        <w:rPr>
          <w:rFonts w:hint="eastAsia" w:ascii="Times New Roman" w:hAnsi="Times New Roman"/>
          <w:color w:val="000000"/>
        </w:rPr>
        <w:t>）计算的扭转效应</w:t>
      </w:r>
      <w:bookmarkEnd w:id="44"/>
      <w:r>
        <w:rPr>
          <w:rFonts w:hint="eastAsia"/>
        </w:rPr>
        <w:t>。</w:t>
      </w:r>
    </w:p>
    <w:p>
      <w:pPr>
        <w:pStyle w:val="167"/>
        <w:rPr>
          <w:rFonts w:hAnsi="宋体"/>
          <w:color w:val="FF0000"/>
        </w:rPr>
      </w:pPr>
      <w:r>
        <w:rPr>
          <w:rFonts w:hint="eastAsia"/>
          <w:color w:val="FF0000"/>
        </w:rPr>
        <w:t>结构阻尼比小于</w:t>
      </w:r>
      <w:r>
        <w:rPr>
          <w:color w:val="FF0000"/>
        </w:rPr>
        <w:t>15%</w:t>
      </w:r>
      <w:r>
        <w:rPr>
          <w:rFonts w:hint="eastAsia"/>
          <w:color w:val="FF0000"/>
        </w:rPr>
        <w:t>，消能器在主体结构空间分布均匀时，可按本标准附录</w:t>
      </w:r>
      <w:r>
        <w:rPr>
          <w:color w:val="FF0000"/>
        </w:rPr>
        <w:t xml:space="preserve"> A </w:t>
      </w:r>
      <w:r>
        <w:rPr>
          <w:rFonts w:hint="eastAsia"/>
          <w:color w:val="FF0000"/>
        </w:rPr>
        <w:t>第</w:t>
      </w:r>
      <w:r>
        <w:rPr>
          <w:color w:val="FF0000"/>
        </w:rPr>
        <w:t xml:space="preserve">A.03 </w:t>
      </w:r>
      <w:r>
        <w:rPr>
          <w:rFonts w:hint="eastAsia"/>
          <w:color w:val="FF0000"/>
        </w:rPr>
        <w:t>条的</w:t>
      </w:r>
      <w:r>
        <w:rPr>
          <w:rFonts w:hint="eastAsia" w:hAnsi="宋体"/>
          <w:color w:val="FF0000"/>
        </w:rPr>
        <w:t>规定执行。</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4.2.1~4.2.3</w:t>
      </w:r>
      <w:r>
        <w:rPr>
          <w:rFonts w:hint="eastAsia" w:ascii="华文楷体" w:hAnsi="华文楷体" w:eastAsia="华文楷体" w:cs="华文楷体"/>
          <w:color w:val="0000FF"/>
          <w:szCs w:val="22"/>
        </w:rPr>
        <w:t>结构的动力特征理论上应该包括质量矩阵</w:t>
      </w:r>
      <w:r>
        <w:rPr>
          <w:rFonts w:ascii="华文楷体" w:hAnsi="华文楷体" w:eastAsia="华文楷体" w:cs="华文楷体"/>
          <w:color w:val="0000FF"/>
          <w:szCs w:val="22"/>
        </w:rPr>
        <w:t>M</w:t>
      </w:r>
      <w:r>
        <w:rPr>
          <w:rFonts w:hint="eastAsia" w:ascii="华文楷体" w:hAnsi="华文楷体" w:eastAsia="华文楷体" w:cs="华文楷体"/>
          <w:color w:val="0000FF"/>
          <w:szCs w:val="22"/>
        </w:rPr>
        <w:t>、阻尼矩阵</w:t>
      </w:r>
      <w:r>
        <w:rPr>
          <w:rFonts w:ascii="华文楷体" w:hAnsi="华文楷体" w:eastAsia="华文楷体" w:cs="华文楷体"/>
          <w:color w:val="0000FF"/>
          <w:szCs w:val="22"/>
        </w:rPr>
        <w:t>C</w:t>
      </w:r>
      <w:r>
        <w:rPr>
          <w:rFonts w:hint="eastAsia" w:ascii="华文楷体" w:hAnsi="华文楷体" w:eastAsia="华文楷体" w:cs="华文楷体"/>
          <w:color w:val="0000FF"/>
          <w:szCs w:val="22"/>
        </w:rPr>
        <w:t>、刚度矩阵</w:t>
      </w:r>
      <w:r>
        <w:rPr>
          <w:rFonts w:ascii="华文楷体" w:hAnsi="华文楷体" w:eastAsia="华文楷体" w:cs="华文楷体"/>
          <w:color w:val="0000FF"/>
          <w:szCs w:val="22"/>
        </w:rPr>
        <w:t>K</w:t>
      </w:r>
      <w:r>
        <w:rPr>
          <w:rFonts w:hint="eastAsia" w:ascii="华文楷体" w:hAnsi="华文楷体" w:eastAsia="华文楷体" w:cs="华文楷体"/>
          <w:color w:val="0000FF"/>
          <w:szCs w:val="22"/>
        </w:rPr>
        <w:t>三方面的影响因素，为了简化处理，同时考虑传统结构中阻尼部分影响较小，长期以来采用只考虑质量矩阵</w:t>
      </w:r>
      <w:r>
        <w:rPr>
          <w:rFonts w:ascii="华文楷体" w:hAnsi="华文楷体" w:eastAsia="华文楷体" w:cs="华文楷体"/>
          <w:color w:val="0000FF"/>
          <w:szCs w:val="22"/>
        </w:rPr>
        <w:t>M</w:t>
      </w:r>
      <w:r>
        <w:rPr>
          <w:rFonts w:hint="eastAsia" w:ascii="华文楷体" w:hAnsi="华文楷体" w:eastAsia="华文楷体" w:cs="华文楷体"/>
          <w:color w:val="0000FF"/>
          <w:szCs w:val="22"/>
        </w:rPr>
        <w:t>、刚度矩阵</w:t>
      </w:r>
      <w:r>
        <w:rPr>
          <w:rFonts w:ascii="华文楷体" w:hAnsi="华文楷体" w:eastAsia="华文楷体" w:cs="华文楷体"/>
          <w:color w:val="0000FF"/>
          <w:szCs w:val="22"/>
        </w:rPr>
        <w:t>K</w:t>
      </w:r>
      <w:r>
        <w:rPr>
          <w:rFonts w:hint="eastAsia" w:ascii="华文楷体" w:hAnsi="华文楷体" w:eastAsia="华文楷体" w:cs="华文楷体"/>
          <w:color w:val="0000FF"/>
          <w:szCs w:val="22"/>
        </w:rPr>
        <w:t>的振型分解方法，所谓的实振型分解方法。当</w:t>
      </w:r>
      <w:r>
        <w:rPr>
          <w:rFonts w:ascii="华文楷体" w:hAnsi="华文楷体" w:eastAsia="华文楷体" w:cs="华文楷体"/>
          <w:color w:val="0000FF"/>
          <w:szCs w:val="22"/>
        </w:rPr>
        <w:t>C</w:t>
      </w:r>
      <w:r>
        <w:rPr>
          <w:rFonts w:hint="eastAsia" w:ascii="华文楷体" w:hAnsi="华文楷体" w:eastAsia="华文楷体" w:cs="华文楷体"/>
          <w:color w:val="0000FF"/>
          <w:szCs w:val="22"/>
        </w:rPr>
        <w:t>矩阵的影响不可忽略时</w:t>
      </w:r>
      <w:r>
        <w:rPr>
          <w:rFonts w:ascii="华文楷体" w:hAnsi="华文楷体" w:eastAsia="华文楷体" w:cs="华文楷体"/>
          <w:color w:val="0000FF"/>
          <w:szCs w:val="22"/>
        </w:rPr>
        <w:t>—</w:t>
      </w:r>
      <w:r>
        <w:rPr>
          <w:rFonts w:hint="eastAsia" w:ascii="华文楷体" w:hAnsi="华文楷体" w:eastAsia="华文楷体" w:cs="华文楷体"/>
          <w:color w:val="0000FF"/>
          <w:szCs w:val="22"/>
        </w:rPr>
        <w:t>比如隔震结构中隔震层的等效阻尼比通常会在</w:t>
      </w:r>
      <w:r>
        <w:rPr>
          <w:rFonts w:ascii="华文楷体" w:hAnsi="华文楷体" w:eastAsia="华文楷体" w:cs="华文楷体"/>
          <w:color w:val="0000FF"/>
          <w:szCs w:val="22"/>
        </w:rPr>
        <w:t>15%</w:t>
      </w:r>
      <w:r>
        <w:rPr>
          <w:rFonts w:hint="eastAsia" w:ascii="华文楷体" w:hAnsi="华文楷体" w:eastAsia="华文楷体" w:cs="华文楷体"/>
          <w:color w:val="0000FF"/>
          <w:szCs w:val="22"/>
        </w:rPr>
        <w:t>以上，大概是上部结构的</w:t>
      </w:r>
      <w:r>
        <w:rPr>
          <w:rFonts w:ascii="华文楷体" w:hAnsi="华文楷体" w:eastAsia="华文楷体" w:cs="华文楷体"/>
          <w:color w:val="0000FF"/>
          <w:szCs w:val="22"/>
        </w:rPr>
        <w:t>3</w:t>
      </w:r>
      <w:r>
        <w:rPr>
          <w:rFonts w:hint="eastAsia" w:ascii="华文楷体" w:hAnsi="华文楷体" w:eastAsia="华文楷体" w:cs="华文楷体"/>
          <w:color w:val="0000FF"/>
          <w:szCs w:val="22"/>
        </w:rPr>
        <w:t>倍以上，或是消能减震结构中局部楼层、局部区域集中布置消能器等，在采用实振型分解法是不合理的。复振型分解法同时考虑了</w:t>
      </w:r>
      <w:r>
        <w:rPr>
          <w:rFonts w:ascii="华文楷体" w:hAnsi="华文楷体" w:eastAsia="华文楷体" w:cs="华文楷体"/>
          <w:color w:val="0000FF"/>
          <w:szCs w:val="22"/>
        </w:rPr>
        <w:t>M</w:t>
      </w:r>
      <w:r>
        <w:rPr>
          <w:rFonts w:hint="eastAsia" w:ascii="华文楷体" w:hAnsi="华文楷体" w:eastAsia="华文楷体" w:cs="华文楷体"/>
          <w:color w:val="0000FF"/>
          <w:szCs w:val="22"/>
        </w:rPr>
        <w:t>、</w:t>
      </w:r>
      <w:r>
        <w:rPr>
          <w:rFonts w:ascii="华文楷体" w:hAnsi="华文楷体" w:eastAsia="华文楷体" w:cs="华文楷体"/>
          <w:color w:val="0000FF"/>
          <w:szCs w:val="22"/>
        </w:rPr>
        <w:t>C</w:t>
      </w:r>
      <w:r>
        <w:rPr>
          <w:rFonts w:hint="eastAsia" w:ascii="华文楷体" w:hAnsi="华文楷体" w:eastAsia="华文楷体" w:cs="华文楷体"/>
          <w:color w:val="0000FF"/>
          <w:szCs w:val="22"/>
        </w:rPr>
        <w:t>、</w:t>
      </w:r>
      <w:r>
        <w:rPr>
          <w:rFonts w:ascii="华文楷体" w:hAnsi="华文楷体" w:eastAsia="华文楷体" w:cs="华文楷体"/>
          <w:color w:val="0000FF"/>
          <w:szCs w:val="22"/>
        </w:rPr>
        <w:t>K</w:t>
      </w:r>
      <w:r>
        <w:rPr>
          <w:rFonts w:hint="eastAsia" w:ascii="华文楷体" w:hAnsi="华文楷体" w:eastAsia="华文楷体" w:cs="华文楷体"/>
          <w:color w:val="0000FF"/>
          <w:szCs w:val="22"/>
        </w:rPr>
        <w:t>矩阵的影响，得到的振型周期、振型阻尼比是结构体系真实的动力特性，在理论上对非比例阻尼问题的处理是精准的；实振型分解法是复振型分解法得一种特例，当</w:t>
      </w:r>
      <w:r>
        <w:rPr>
          <w:rFonts w:ascii="华文楷体" w:hAnsi="华文楷体" w:eastAsia="华文楷体" w:cs="华文楷体"/>
          <w:color w:val="0000FF"/>
          <w:szCs w:val="22"/>
        </w:rPr>
        <w:t>C</w:t>
      </w:r>
      <w:r>
        <w:rPr>
          <w:rFonts w:hint="eastAsia" w:ascii="华文楷体" w:hAnsi="华文楷体" w:eastAsia="华文楷体" w:cs="华文楷体"/>
          <w:color w:val="0000FF"/>
          <w:szCs w:val="22"/>
        </w:rPr>
        <w:t>矩阵满足比例阻尼假定时，由复振型分解法可以退化到实振型分解法；另外，从已有的分析结果看，结构中局部楼层、局部区域消能器布置越集中，未布置消能器结构楼层越多，复振型分解法与实振型分解法得结算结果相差越大，强迫解耦的实振型分解反应谱法结果小于复振型反应谱法，这是偏于不安全的。</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本标准的振型分解反应谱法默认是基于考虑阻尼矩阵的复振型分解的反应谱法，基本公式的形式与不考虑阻尼矩阵的振型分解反应谱法是一致的，区别在于振型参与系数和振型偶联系数的计算公式。</w:t>
      </w:r>
    </w:p>
    <w:p>
      <w:pPr>
        <w:adjustRightInd/>
        <w:spacing w:line="240" w:lineRule="auto"/>
        <w:rPr>
          <w:rFonts w:ascii="Times New Roman" w:hAnsi="Times New Roman"/>
          <w:color w:val="000000"/>
        </w:rPr>
      </w:pPr>
      <w:r>
        <w:rPr>
          <w:rFonts w:hint="eastAsia" w:ascii="华文楷体" w:hAnsi="华文楷体" w:eastAsia="华文楷体" w:cs="华文楷体"/>
          <w:color w:val="0000FF"/>
          <w:szCs w:val="22"/>
        </w:rPr>
        <w:t>第</w:t>
      </w:r>
      <w:r>
        <w:rPr>
          <w:rFonts w:ascii="华文楷体" w:hAnsi="华文楷体" w:eastAsia="华文楷体" w:cs="华文楷体"/>
          <w:color w:val="0000FF"/>
          <w:szCs w:val="22"/>
        </w:rPr>
        <w:t>4.2.1</w:t>
      </w:r>
      <w:r>
        <w:rPr>
          <w:rFonts w:hint="eastAsia" w:ascii="华文楷体" w:hAnsi="华文楷体" w:eastAsia="华文楷体" w:cs="华文楷体"/>
          <w:color w:val="0000FF"/>
          <w:szCs w:val="22"/>
        </w:rPr>
        <w:t>条第</w:t>
      </w:r>
      <w:r>
        <w:rPr>
          <w:rFonts w:ascii="华文楷体" w:hAnsi="华文楷体" w:eastAsia="华文楷体" w:cs="华文楷体"/>
          <w:color w:val="0000FF"/>
          <w:szCs w:val="22"/>
        </w:rPr>
        <w:t>2</w:t>
      </w:r>
      <w:r>
        <w:rPr>
          <w:rFonts w:hint="eastAsia" w:ascii="华文楷体" w:hAnsi="华文楷体" w:eastAsia="华文楷体" w:cs="华文楷体"/>
          <w:color w:val="0000FF"/>
          <w:szCs w:val="22"/>
        </w:rPr>
        <w:t>款给出的是复振型分解反应谱法的平方和开平方组合形式（</w:t>
      </w:r>
      <w:r>
        <w:rPr>
          <w:rFonts w:ascii="华文楷体" w:hAnsi="华文楷体" w:eastAsia="华文楷体" w:cs="华文楷体"/>
          <w:color w:val="0000FF"/>
          <w:szCs w:val="22"/>
        </w:rPr>
        <w:t>SRSS</w:t>
      </w:r>
      <w:r>
        <w:rPr>
          <w:rFonts w:hint="eastAsia" w:ascii="华文楷体" w:hAnsi="华文楷体" w:eastAsia="华文楷体" w:cs="华文楷体"/>
          <w:color w:val="0000FF"/>
          <w:szCs w:val="22"/>
        </w:rPr>
        <w:t>），当不满足相邻振型周期比小于</w:t>
      </w:r>
      <w:r>
        <w:rPr>
          <w:rFonts w:ascii="华文楷体" w:hAnsi="华文楷体" w:eastAsia="华文楷体" w:cs="华文楷体"/>
          <w:color w:val="0000FF"/>
          <w:szCs w:val="22"/>
        </w:rPr>
        <w:t>0.85</w:t>
      </w:r>
      <w:r>
        <w:rPr>
          <w:rFonts w:hint="eastAsia" w:ascii="华文楷体" w:hAnsi="华文楷体" w:eastAsia="华文楷体" w:cs="华文楷体"/>
          <w:color w:val="0000FF"/>
          <w:szCs w:val="22"/>
        </w:rPr>
        <w:t>的条件时，应采用完全平方组合形式（</w:t>
      </w:r>
      <w:r>
        <w:rPr>
          <w:rFonts w:ascii="华文楷体" w:hAnsi="华文楷体" w:eastAsia="华文楷体" w:cs="华文楷体"/>
          <w:color w:val="0000FF"/>
          <w:szCs w:val="22"/>
        </w:rPr>
        <w:t>CQC</w:t>
      </w:r>
      <w:r>
        <w:rPr>
          <w:rFonts w:hint="eastAsia" w:ascii="华文楷体" w:hAnsi="华文楷体" w:eastAsia="华文楷体" w:cs="华文楷体"/>
          <w:color w:val="0000FF"/>
          <w:szCs w:val="22"/>
        </w:rPr>
        <w:t>），即本标准式</w:t>
      </w:r>
      <w:r>
        <w:rPr>
          <w:rFonts w:ascii="Times New Roman" w:hAnsi="Times New Roman"/>
          <w:color w:val="000000"/>
        </w:rPr>
        <w:t>4.2.2-4</w:t>
      </w:r>
      <w:r>
        <w:rPr>
          <w:rFonts w:hint="eastAsia" w:ascii="Times New Roman" w:hAnsi="Times New Roman"/>
          <w:color w:val="000000"/>
        </w:rPr>
        <w:t>。此外，</w:t>
      </w:r>
      <w:r>
        <w:rPr>
          <w:rFonts w:hint="eastAsia" w:ascii="华文楷体" w:hAnsi="华文楷体" w:eastAsia="华文楷体" w:cs="华文楷体"/>
          <w:color w:val="0000FF"/>
          <w:szCs w:val="22"/>
        </w:rPr>
        <w:t>本标准复振型分解反应谱法组合公式都是针对地震作用效应的标量形式，当为向量形式时，则公式中的乘积、平方对应于各个元素的乘积和开方。</w:t>
      </w:r>
    </w:p>
    <w:p>
      <w:pPr>
        <w:pStyle w:val="167"/>
        <w:rPr>
          <w:rFonts w:hAnsi="宋体"/>
        </w:rPr>
      </w:pPr>
      <w:r>
        <w:rPr>
          <w:rFonts w:hint="eastAsia" w:hAnsi="宋体"/>
        </w:rPr>
        <w:t>抗震验算时，结构任一楼层的最小水平多遇地震剪力应符合下式要求：</w:t>
      </w:r>
    </w:p>
    <w:p>
      <w:pPr>
        <w:pStyle w:val="115"/>
      </w:pPr>
      <w:r>
        <w:tab/>
      </w:r>
      <w:r>
        <w:rPr>
          <w:rFonts w:ascii="Times New Roman" w:hAnsi="Times New Roman"/>
          <w:color w:val="000000"/>
          <w:position w:val="-28"/>
        </w:rPr>
        <w:object>
          <v:shape id="_x0000_i1128" o:spt="75" type="#_x0000_t75" style="height:30.85pt;width:63.2pt;" o:ole="t" filled="f" o:preferrelative="t" stroked="f" coordsize="21600,21600">
            <v:path/>
            <v:fill on="f" focussize="0,0"/>
            <v:stroke on="f" joinstyle="miter"/>
            <v:imagedata r:id="rId198" o:title=""/>
            <o:lock v:ext="edit" aspectratio="t"/>
            <w10:wrap type="none"/>
            <w10:anchorlock/>
          </v:shape>
          <o:OLEObject Type="Embed" ProgID="Equation.DSMT4" ShapeID="_x0000_i1128" DrawAspect="Content" ObjectID="_1468075828" r:id="rId197">
            <o:LockedField>false</o:LockedField>
          </o:OLEObject>
        </w:object>
      </w:r>
      <w:r>
        <w:rPr>
          <w:rFonts w:ascii="微软雅黑" w:hAnsi="微软雅黑" w:eastAsia="微软雅黑"/>
        </w:rPr>
        <w:tab/>
      </w:r>
      <w:r>
        <w:t>(4.2.4-1)</w:t>
      </w:r>
    </w:p>
    <w:p>
      <w:pPr>
        <w:pStyle w:val="58"/>
        <w:ind w:firstLine="420"/>
      </w:pPr>
      <w:r>
        <w:rPr>
          <w:rFonts w:hint="eastAsia"/>
        </w:rPr>
        <w:t>式中：</w:t>
      </w:r>
      <w:r>
        <w:rPr>
          <w:position w:val="-10"/>
        </w:rPr>
        <w:object>
          <v:shape id="_x0000_i1129" o:spt="75" type="#_x0000_t75" style="height:16.15pt;width:18.35pt;" o:ole="t" filled="f" o:preferrelative="t" stroked="f" coordsize="21600,21600">
            <v:path/>
            <v:fill on="f" focussize="0,0"/>
            <v:stroke on="f" joinstyle="miter"/>
            <v:imagedata r:id="rId200" o:title=""/>
            <o:lock v:ext="edit" aspectratio="t"/>
            <w10:wrap type="none"/>
            <w10:anchorlock/>
          </v:shape>
          <o:OLEObject Type="Embed" ProgID="Equation.DSMT4" ShapeID="_x0000_i1129" DrawAspect="Content" ObjectID="_1468075829" r:id="rId199">
            <o:LockedField>false</o:LockedField>
          </o:OLEObject>
        </w:object>
      </w:r>
      <w:r>
        <w:t>——</w:t>
      </w:r>
      <w:r>
        <w:rPr>
          <w:rFonts w:hint="eastAsia"/>
        </w:rPr>
        <w:t>第</w:t>
      </w:r>
      <w:r>
        <w:rPr>
          <w:position w:val="-6"/>
        </w:rPr>
        <w:object>
          <v:shape id="_x0000_i1130" o:spt="75" type="#_x0000_t75" style="height:13.95pt;width:7.35pt;" o:ole="t" filled="f" o:preferrelative="t" stroked="f" coordsize="21600,21600">
            <v:path/>
            <v:fill on="f" focussize="0,0"/>
            <v:stroke on="f" joinstyle="miter"/>
            <v:imagedata r:id="rId83" o:title=""/>
            <o:lock v:ext="edit" aspectratio="t"/>
            <w10:wrap type="none"/>
            <w10:anchorlock/>
          </v:shape>
          <o:OLEObject Type="Embed" ProgID="Equation.3" ShapeID="_x0000_i1130" DrawAspect="Content" ObjectID="_1468075830" r:id="rId201">
            <o:LockedField>false</o:LockedField>
          </o:OLEObject>
        </w:object>
      </w:r>
      <w:r>
        <w:rPr>
          <w:rFonts w:hint="eastAsia"/>
        </w:rPr>
        <w:t>层对应于水平地震作用标准值的楼层剪力；</w:t>
      </w:r>
    </w:p>
    <w:p>
      <w:pPr>
        <w:pStyle w:val="58"/>
        <w:ind w:left="1890" w:leftChars="600" w:hanging="630" w:hangingChars="300"/>
      </w:pPr>
      <w:r>
        <w:rPr>
          <w:position w:val="-6"/>
        </w:rPr>
        <w:object>
          <v:shape id="_x0000_i1131" o:spt="75" type="#_x0000_t75" style="height:13.95pt;width:8.8pt;" o:ole="t" filled="f" o:preferrelative="t" stroked="f" coordsize="21600,21600">
            <v:path/>
            <v:fill on="f" focussize="0,0"/>
            <v:stroke on="f" joinstyle="miter"/>
            <v:imagedata r:id="rId203" o:title=""/>
            <o:lock v:ext="edit" aspectratio="t"/>
            <w10:wrap type="none"/>
            <w10:anchorlock/>
          </v:shape>
          <o:OLEObject Type="Embed" ProgID="Equation.3" ShapeID="_x0000_i1131" DrawAspect="Content" ObjectID="_1468075831" r:id="rId202">
            <o:LockedField>false</o:LockedField>
          </o:OLEObject>
        </w:object>
      </w:r>
      <w:r>
        <w:t>——</w:t>
      </w:r>
      <w:r>
        <w:rPr>
          <w:rFonts w:hint="eastAsia"/>
        </w:rPr>
        <w:t>剪力系数，不应小于表</w:t>
      </w:r>
      <w:r>
        <w:t>4.2.3</w:t>
      </w:r>
      <w:r>
        <w:rPr>
          <w:rFonts w:hint="eastAsia"/>
        </w:rPr>
        <w:t>规定的楼层最小地震剪力系数值，对竖向不规则结构的薄弱层，尚应乘以</w:t>
      </w:r>
      <w:r>
        <w:t>1.15</w:t>
      </w:r>
      <w:r>
        <w:rPr>
          <w:rFonts w:hint="eastAsia"/>
        </w:rPr>
        <w:t>的增大系数；</w:t>
      </w:r>
    </w:p>
    <w:p>
      <w:pPr>
        <w:pStyle w:val="58"/>
        <w:ind w:firstLine="1260" w:firstLineChars="600"/>
      </w:pPr>
      <w:r>
        <w:rPr>
          <w:position w:val="-12"/>
        </w:rPr>
        <w:object>
          <v:shape id="_x0000_i1132" o:spt="75" type="#_x0000_t75" style="height:16.15pt;width:16.15pt;" o:ole="t" filled="f" o:preferrelative="t" stroked="f" coordsize="21600,21600">
            <v:path/>
            <v:fill on="f" focussize="0,0"/>
            <v:stroke on="f" joinstyle="miter"/>
            <v:imagedata r:id="rId205" o:title=""/>
            <o:lock v:ext="edit" aspectratio="t"/>
            <w10:wrap type="none"/>
            <w10:anchorlock/>
          </v:shape>
          <o:OLEObject Type="Embed" ProgID="Equation.3" ShapeID="_x0000_i1132" DrawAspect="Content" ObjectID="_1468075832" r:id="rId204">
            <o:LockedField>false</o:LockedField>
          </o:OLEObject>
        </w:object>
      </w:r>
      <w:r>
        <w:t>——</w:t>
      </w:r>
      <w:r>
        <w:rPr>
          <w:rFonts w:hint="eastAsia"/>
        </w:rPr>
        <w:t>第</w:t>
      </w:r>
      <w:r>
        <w:rPr>
          <w:position w:val="-10"/>
        </w:rPr>
        <w:object>
          <v:shape id="_x0000_i1133" o:spt="75" type="#_x0000_t75" style="height:16.15pt;width:8.8pt;" o:ole="t" filled="f" o:preferrelative="t" stroked="f" coordsize="21600,21600">
            <v:path/>
            <v:fill on="f" focussize="0,0"/>
            <v:stroke on="f" joinstyle="miter"/>
            <v:imagedata r:id="rId81" o:title=""/>
            <o:lock v:ext="edit" aspectratio="t"/>
            <w10:wrap type="none"/>
            <w10:anchorlock/>
          </v:shape>
          <o:OLEObject Type="Embed" ProgID="Equation.3" ShapeID="_x0000_i1133" DrawAspect="Content" ObjectID="_1468075833" r:id="rId206">
            <o:LockedField>false</o:LockedField>
          </o:OLEObject>
        </w:object>
      </w:r>
      <w:r>
        <w:rPr>
          <w:rFonts w:hint="eastAsia"/>
        </w:rPr>
        <w:t>层的重力荷载代表值。</w:t>
      </w:r>
    </w:p>
    <w:p>
      <w:pPr>
        <w:pStyle w:val="114"/>
        <w:numPr>
          <w:ilvl w:val="0"/>
          <w:numId w:val="0"/>
        </w:numPr>
        <w:spacing w:before="156" w:after="156"/>
        <w:rPr>
          <w:color w:val="FF0000"/>
        </w:rPr>
      </w:pPr>
      <w:r>
        <w:rPr>
          <w:rFonts w:hint="eastAsia"/>
          <w:color w:val="FF0000"/>
        </w:rPr>
        <w:t>表4.2.4  楼层最小地震剪力系数值</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71"/>
        <w:gridCol w:w="2606"/>
        <w:gridCol w:w="1443"/>
        <w:gridCol w:w="1488"/>
        <w:gridCol w:w="12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671" w:type="dxa"/>
            <w:tcBorders>
              <w:top w:val="single" w:color="auto" w:sz="8" w:space="0"/>
              <w:bottom w:val="single" w:color="auto" w:sz="8" w:space="0"/>
            </w:tcBorders>
            <w:vAlign w:val="center"/>
          </w:tcPr>
          <w:p>
            <w:pPr>
              <w:pStyle w:val="180"/>
              <w:rPr>
                <w:color w:val="FF0000"/>
              </w:rPr>
            </w:pPr>
            <w:r>
              <w:rPr>
                <w:rFonts w:hint="eastAsia"/>
                <w:color w:val="FF0000"/>
              </w:rPr>
              <w:t>项次</w:t>
            </w:r>
          </w:p>
        </w:tc>
        <w:tc>
          <w:tcPr>
            <w:tcW w:w="2606" w:type="dxa"/>
            <w:tcBorders>
              <w:top w:val="single" w:color="auto" w:sz="8" w:space="0"/>
              <w:bottom w:val="single" w:color="auto" w:sz="8" w:space="0"/>
            </w:tcBorders>
            <w:shd w:val="clear" w:color="auto" w:fill="auto"/>
          </w:tcPr>
          <w:p>
            <w:pPr>
              <w:pStyle w:val="180"/>
            </w:pPr>
            <w:r>
              <w:rPr>
                <w:rFonts w:hint="eastAsia"/>
              </w:rPr>
              <w:t>类   别</w:t>
            </w:r>
          </w:p>
        </w:tc>
        <w:tc>
          <w:tcPr>
            <w:tcW w:w="1443" w:type="dxa"/>
            <w:tcBorders>
              <w:top w:val="single" w:color="auto" w:sz="8" w:space="0"/>
              <w:bottom w:val="single" w:color="auto" w:sz="8" w:space="0"/>
            </w:tcBorders>
            <w:shd w:val="clear" w:color="auto" w:fill="auto"/>
          </w:tcPr>
          <w:p>
            <w:pPr>
              <w:pStyle w:val="180"/>
            </w:pPr>
            <w:r>
              <w:rPr>
                <w:rFonts w:hint="eastAsia"/>
              </w:rPr>
              <w:t>7度</w:t>
            </w:r>
          </w:p>
        </w:tc>
        <w:tc>
          <w:tcPr>
            <w:tcW w:w="1488" w:type="dxa"/>
            <w:tcBorders>
              <w:top w:val="single" w:color="auto" w:sz="8" w:space="0"/>
              <w:bottom w:val="single" w:color="auto" w:sz="8" w:space="0"/>
            </w:tcBorders>
            <w:shd w:val="clear" w:color="auto" w:fill="auto"/>
          </w:tcPr>
          <w:p>
            <w:pPr>
              <w:pStyle w:val="180"/>
            </w:pPr>
            <w:r>
              <w:rPr>
                <w:rFonts w:hint="eastAsia"/>
              </w:rPr>
              <w:t>8度</w:t>
            </w:r>
          </w:p>
        </w:tc>
        <w:tc>
          <w:tcPr>
            <w:tcW w:w="1293" w:type="dxa"/>
            <w:tcBorders>
              <w:top w:val="single" w:color="auto" w:sz="8" w:space="0"/>
              <w:bottom w:val="single" w:color="auto" w:sz="8" w:space="0"/>
            </w:tcBorders>
            <w:shd w:val="clear" w:color="auto" w:fill="auto"/>
          </w:tcPr>
          <w:p>
            <w:pPr>
              <w:pStyle w:val="180"/>
            </w:pPr>
            <w:r>
              <w:rPr>
                <w:rFonts w:hint="eastAsia"/>
              </w:rPr>
              <w:t>9度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71" w:type="dxa"/>
            <w:tcBorders>
              <w:top w:val="single" w:color="auto" w:sz="8" w:space="0"/>
            </w:tcBorders>
            <w:vAlign w:val="center"/>
          </w:tcPr>
          <w:p>
            <w:pPr>
              <w:pStyle w:val="180"/>
              <w:rPr>
                <w:color w:val="FF0000"/>
              </w:rPr>
            </w:pPr>
            <w:r>
              <w:rPr>
                <w:rFonts w:hint="eastAsia"/>
                <w:color w:val="FF0000"/>
              </w:rPr>
              <w:t>1</w:t>
            </w:r>
          </w:p>
        </w:tc>
        <w:tc>
          <w:tcPr>
            <w:tcW w:w="2606" w:type="dxa"/>
            <w:tcBorders>
              <w:top w:val="single" w:color="auto" w:sz="8" w:space="0"/>
            </w:tcBorders>
            <w:shd w:val="clear" w:color="auto" w:fill="auto"/>
          </w:tcPr>
          <w:p>
            <w:pPr>
              <w:pStyle w:val="180"/>
            </w:pPr>
            <w:r>
              <w:rPr>
                <w:rFonts w:hint="eastAsia"/>
              </w:rPr>
              <w:t>扭转效应明显或基本周期小于3.5s的结构</w:t>
            </w:r>
          </w:p>
        </w:tc>
        <w:tc>
          <w:tcPr>
            <w:tcW w:w="1443" w:type="dxa"/>
            <w:tcBorders>
              <w:top w:val="single" w:color="auto" w:sz="8" w:space="0"/>
            </w:tcBorders>
            <w:shd w:val="clear" w:color="auto" w:fill="auto"/>
          </w:tcPr>
          <w:p>
            <w:pPr>
              <w:pStyle w:val="180"/>
            </w:pPr>
            <w:r>
              <w:rPr>
                <w:rFonts w:hint="eastAsia"/>
              </w:rPr>
              <w:t>0.016（0.024）</w:t>
            </w:r>
          </w:p>
        </w:tc>
        <w:tc>
          <w:tcPr>
            <w:tcW w:w="1488" w:type="dxa"/>
            <w:tcBorders>
              <w:top w:val="single" w:color="auto" w:sz="8" w:space="0"/>
            </w:tcBorders>
            <w:shd w:val="clear" w:color="auto" w:fill="auto"/>
          </w:tcPr>
          <w:p>
            <w:pPr>
              <w:pStyle w:val="180"/>
            </w:pPr>
            <w:r>
              <w:rPr>
                <w:rFonts w:hint="eastAsia"/>
              </w:rPr>
              <w:t>0.032（0.048）</w:t>
            </w:r>
          </w:p>
        </w:tc>
        <w:tc>
          <w:tcPr>
            <w:tcW w:w="1293" w:type="dxa"/>
            <w:tcBorders>
              <w:top w:val="single" w:color="auto" w:sz="8" w:space="0"/>
            </w:tcBorders>
            <w:shd w:val="clear" w:color="auto" w:fill="auto"/>
          </w:tcPr>
          <w:p>
            <w:pPr>
              <w:pStyle w:val="180"/>
            </w:pPr>
            <w:r>
              <w:rPr>
                <w:rFonts w:hint="eastAsia"/>
              </w:rPr>
              <w:t>0.064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671" w:type="dxa"/>
            <w:vAlign w:val="center"/>
          </w:tcPr>
          <w:p>
            <w:pPr>
              <w:pStyle w:val="180"/>
              <w:rPr>
                <w:color w:val="FF0000"/>
              </w:rPr>
            </w:pPr>
            <w:r>
              <w:rPr>
                <w:rFonts w:hint="eastAsia"/>
                <w:color w:val="FF0000"/>
              </w:rPr>
              <w:t>2</w:t>
            </w:r>
          </w:p>
        </w:tc>
        <w:tc>
          <w:tcPr>
            <w:tcW w:w="2606" w:type="dxa"/>
            <w:shd w:val="clear" w:color="auto" w:fill="auto"/>
          </w:tcPr>
          <w:p>
            <w:pPr>
              <w:pStyle w:val="180"/>
            </w:pPr>
            <w:r>
              <w:rPr>
                <w:rFonts w:hint="eastAsia"/>
              </w:rPr>
              <w:t>基本周期大于5.0s的结构</w:t>
            </w:r>
          </w:p>
        </w:tc>
        <w:tc>
          <w:tcPr>
            <w:tcW w:w="1443" w:type="dxa"/>
            <w:shd w:val="clear" w:color="auto" w:fill="auto"/>
          </w:tcPr>
          <w:p>
            <w:pPr>
              <w:pStyle w:val="180"/>
            </w:pPr>
            <w:r>
              <w:rPr>
                <w:rFonts w:hint="eastAsia"/>
              </w:rPr>
              <w:t>0.012（0.018）</w:t>
            </w:r>
          </w:p>
        </w:tc>
        <w:tc>
          <w:tcPr>
            <w:tcW w:w="1488" w:type="dxa"/>
            <w:shd w:val="clear" w:color="auto" w:fill="auto"/>
          </w:tcPr>
          <w:p>
            <w:pPr>
              <w:pStyle w:val="180"/>
            </w:pPr>
            <w:r>
              <w:rPr>
                <w:rFonts w:hint="eastAsia"/>
              </w:rPr>
              <w:t>0.024（0.036）</w:t>
            </w:r>
          </w:p>
        </w:tc>
        <w:tc>
          <w:tcPr>
            <w:tcW w:w="1293" w:type="dxa"/>
            <w:shd w:val="clear" w:color="auto" w:fill="auto"/>
          </w:tcPr>
          <w:p>
            <w:pPr>
              <w:pStyle w:val="180"/>
            </w:pPr>
            <w:r>
              <w:rPr>
                <w:rFonts w:hint="eastAsia"/>
              </w:rPr>
              <w:t>0.048</w:t>
            </w:r>
          </w:p>
        </w:tc>
      </w:tr>
    </w:tbl>
    <w:p>
      <w:pPr>
        <w:adjustRightInd/>
        <w:spacing w:line="240" w:lineRule="auto"/>
        <w:ind w:firstLine="360" w:firstLineChars="200"/>
        <w:rPr>
          <w:color w:val="FF0000"/>
          <w:vertAlign w:val="subscript"/>
        </w:rPr>
      </w:pPr>
      <w:r>
        <w:rPr>
          <w:rFonts w:hint="eastAsia" w:ascii="Times New Roman" w:hAnsi="Times New Roman"/>
          <w:bCs/>
          <w:color w:val="FF0000"/>
          <w:sz w:val="18"/>
          <w:szCs w:val="22"/>
        </w:rPr>
        <w:t>注：</w:t>
      </w:r>
      <w:r>
        <w:rPr>
          <w:rFonts w:ascii="Times New Roman" w:hAnsi="Times New Roman"/>
          <w:bCs/>
          <w:color w:val="FF0000"/>
          <w:sz w:val="18"/>
          <w:szCs w:val="22"/>
        </w:rPr>
        <w:t>1</w:t>
      </w:r>
      <w:r>
        <w:rPr>
          <w:rFonts w:hint="eastAsia" w:ascii="Times New Roman" w:hAnsi="Times New Roman"/>
          <w:bCs/>
          <w:color w:val="FF0000"/>
          <w:sz w:val="18"/>
          <w:szCs w:val="22"/>
        </w:rPr>
        <w:t>、基本周期介于</w:t>
      </w:r>
      <w:r>
        <w:rPr>
          <w:rFonts w:ascii="Times New Roman" w:hAnsi="Times New Roman"/>
          <w:bCs/>
          <w:color w:val="FF0000"/>
          <w:sz w:val="18"/>
          <w:szCs w:val="22"/>
        </w:rPr>
        <w:t>3.5s</w:t>
      </w:r>
      <w:r>
        <w:rPr>
          <w:rFonts w:hint="eastAsia" w:ascii="Times New Roman" w:hAnsi="Times New Roman"/>
          <w:bCs/>
          <w:color w:val="FF0000"/>
          <w:sz w:val="18"/>
          <w:szCs w:val="22"/>
        </w:rPr>
        <w:t>和</w:t>
      </w:r>
      <w:r>
        <w:rPr>
          <w:rFonts w:ascii="Times New Roman" w:hAnsi="Times New Roman"/>
          <w:bCs/>
          <w:color w:val="FF0000"/>
          <w:sz w:val="18"/>
          <w:szCs w:val="22"/>
        </w:rPr>
        <w:t>5s</w:t>
      </w:r>
      <w:r>
        <w:rPr>
          <w:rFonts w:hint="eastAsia" w:ascii="Times New Roman" w:hAnsi="Times New Roman"/>
          <w:bCs/>
          <w:color w:val="FF0000"/>
          <w:sz w:val="18"/>
          <w:szCs w:val="22"/>
        </w:rPr>
        <w:t>之间的结构，最小地震剪力系数不应小于表4</w:t>
      </w:r>
      <w:r>
        <w:rPr>
          <w:rFonts w:ascii="Times New Roman" w:hAnsi="Times New Roman"/>
          <w:bCs/>
          <w:color w:val="FF0000"/>
          <w:sz w:val="18"/>
          <w:szCs w:val="22"/>
        </w:rPr>
        <w:t>.2.4</w:t>
      </w:r>
      <w:r>
        <w:rPr>
          <w:rFonts w:hint="eastAsia" w:ascii="Times New Roman" w:hAnsi="Times New Roman"/>
          <w:bCs/>
          <w:color w:val="FF0000"/>
          <w:sz w:val="18"/>
          <w:szCs w:val="22"/>
        </w:rPr>
        <w:t>项次1中数值的（9</w:t>
      </w:r>
      <w:r>
        <w:rPr>
          <w:rFonts w:ascii="Times New Roman" w:hAnsi="Times New Roman"/>
          <w:bCs/>
          <w:color w:val="FF0000"/>
          <w:sz w:val="18"/>
          <w:szCs w:val="22"/>
        </w:rPr>
        <w:t>.5-</w:t>
      </w:r>
      <w:r>
        <w:rPr>
          <w:color w:val="FF0000"/>
        </w:rPr>
        <w:t>T</w:t>
      </w:r>
      <w:r>
        <w:rPr>
          <w:color w:val="FF0000"/>
          <w:vertAlign w:val="subscript"/>
        </w:rPr>
        <w:t>1</w:t>
      </w:r>
      <w:r>
        <w:rPr>
          <w:rFonts w:hint="eastAsia" w:ascii="Times New Roman" w:hAnsi="Times New Roman"/>
          <w:bCs/>
          <w:color w:val="FF0000"/>
          <w:sz w:val="18"/>
          <w:szCs w:val="22"/>
        </w:rPr>
        <w:t>）/</w:t>
      </w:r>
      <w:r>
        <w:rPr>
          <w:rFonts w:ascii="Times New Roman" w:hAnsi="Times New Roman"/>
          <w:bCs/>
          <w:color w:val="FF0000"/>
          <w:sz w:val="18"/>
          <w:szCs w:val="22"/>
        </w:rPr>
        <w:t>6</w:t>
      </w:r>
      <w:r>
        <w:rPr>
          <w:rFonts w:hint="eastAsia" w:ascii="Times New Roman" w:hAnsi="Times New Roman"/>
          <w:bCs/>
          <w:color w:val="FF0000"/>
          <w:sz w:val="18"/>
          <w:szCs w:val="22"/>
        </w:rPr>
        <w:t>倍（</w:t>
      </w:r>
      <w:r>
        <w:rPr>
          <w:color w:val="FF0000"/>
        </w:rPr>
        <w:t>T</w:t>
      </w:r>
      <w:r>
        <w:rPr>
          <w:color w:val="FF0000"/>
          <w:vertAlign w:val="subscript"/>
        </w:rPr>
        <w:t>1</w:t>
      </w:r>
    </w:p>
    <w:p>
      <w:pPr>
        <w:adjustRightInd/>
        <w:spacing w:line="240" w:lineRule="auto"/>
        <w:ind w:firstLine="1050" w:firstLineChars="500"/>
        <w:rPr>
          <w:rFonts w:ascii="Times New Roman" w:hAnsi="Times New Roman"/>
          <w:bCs/>
          <w:color w:val="FF0000"/>
          <w:sz w:val="18"/>
          <w:szCs w:val="22"/>
        </w:rPr>
      </w:pPr>
      <w:r>
        <w:rPr>
          <w:rFonts w:hint="eastAsia"/>
          <w:color w:val="FF0000"/>
        </w:rPr>
        <w:t>为结构计算方向的基本周期</w:t>
      </w:r>
      <w:r>
        <w:rPr>
          <w:rFonts w:hint="eastAsia" w:ascii="Times New Roman" w:hAnsi="Times New Roman"/>
          <w:bCs/>
          <w:color w:val="FF0000"/>
          <w:sz w:val="18"/>
          <w:szCs w:val="22"/>
        </w:rPr>
        <w:t>）；</w:t>
      </w:r>
    </w:p>
    <w:p>
      <w:pPr>
        <w:adjustRightInd/>
        <w:spacing w:after="156" w:afterLines="50" w:line="240" w:lineRule="auto"/>
        <w:ind w:firstLine="720" w:firstLineChars="400"/>
        <w:rPr>
          <w:rFonts w:ascii="Times New Roman" w:hAnsi="Times New Roman"/>
          <w:bCs/>
          <w:color w:val="000000" w:themeColor="text1"/>
          <w:sz w:val="18"/>
          <w:szCs w:val="22"/>
          <w14:textFill>
            <w14:solidFill>
              <w14:schemeClr w14:val="tx1"/>
            </w14:solidFill>
          </w14:textFill>
        </w:rPr>
      </w:pPr>
      <w:r>
        <w:rPr>
          <w:rFonts w:ascii="Times New Roman" w:hAnsi="Times New Roman"/>
          <w:bCs/>
          <w:color w:val="000000" w:themeColor="text1"/>
          <w:sz w:val="18"/>
          <w:szCs w:val="22"/>
          <w14:textFill>
            <w14:solidFill>
              <w14:schemeClr w14:val="tx1"/>
            </w14:solidFill>
          </w14:textFill>
        </w:rPr>
        <w:t>2</w:t>
      </w:r>
      <w:r>
        <w:rPr>
          <w:rFonts w:hint="eastAsia" w:ascii="Times New Roman" w:hAnsi="Times New Roman"/>
          <w:bCs/>
          <w:color w:val="000000" w:themeColor="text1"/>
          <w:sz w:val="18"/>
          <w:szCs w:val="22"/>
          <w14:textFill>
            <w14:solidFill>
              <w14:schemeClr w14:val="tx1"/>
            </w14:solidFill>
          </w14:textFill>
        </w:rPr>
        <w:t>、括号内数值分别用于设计基本地震加速度为</w:t>
      </w:r>
      <w:r>
        <w:rPr>
          <w:rFonts w:ascii="Times New Roman" w:hAnsi="Times New Roman"/>
          <w:bCs/>
          <w:color w:val="000000" w:themeColor="text1"/>
          <w:sz w:val="18"/>
          <w:szCs w:val="22"/>
          <w14:textFill>
            <w14:solidFill>
              <w14:schemeClr w14:val="tx1"/>
            </w14:solidFill>
          </w14:textFill>
        </w:rPr>
        <w:t>0.15g</w:t>
      </w:r>
      <w:r>
        <w:rPr>
          <w:rFonts w:hint="eastAsia" w:ascii="Times New Roman" w:hAnsi="Times New Roman"/>
          <w:bCs/>
          <w:color w:val="000000" w:themeColor="text1"/>
          <w:sz w:val="18"/>
          <w:szCs w:val="22"/>
          <w14:textFill>
            <w14:solidFill>
              <w14:schemeClr w14:val="tx1"/>
            </w14:solidFill>
          </w14:textFill>
        </w:rPr>
        <w:t>和</w:t>
      </w:r>
      <w:r>
        <w:rPr>
          <w:rFonts w:ascii="Times New Roman" w:hAnsi="Times New Roman"/>
          <w:bCs/>
          <w:color w:val="000000" w:themeColor="text1"/>
          <w:sz w:val="18"/>
          <w:szCs w:val="22"/>
          <w14:textFill>
            <w14:solidFill>
              <w14:schemeClr w14:val="tx1"/>
            </w14:solidFill>
          </w14:textFill>
        </w:rPr>
        <w:t>0.30g</w:t>
      </w:r>
      <w:r>
        <w:rPr>
          <w:rFonts w:hint="eastAsia" w:ascii="Times New Roman" w:hAnsi="Times New Roman"/>
          <w:bCs/>
          <w:color w:val="000000" w:themeColor="text1"/>
          <w:sz w:val="18"/>
          <w:szCs w:val="22"/>
          <w14:textFill>
            <w14:solidFill>
              <w14:schemeClr w14:val="tx1"/>
            </w14:solidFill>
          </w14:textFill>
        </w:rPr>
        <w:t>的地区。</w:t>
      </w:r>
    </w:p>
    <w:p>
      <w:pPr>
        <w:pStyle w:val="107"/>
        <w:spacing w:before="156" w:after="156"/>
        <w:jc w:val="center"/>
      </w:pPr>
      <w:r>
        <w:rPr>
          <w:rFonts w:hint="eastAsia"/>
        </w:rPr>
        <w:t>竖向地震作用计算</w:t>
      </w:r>
    </w:p>
    <w:p>
      <w:pPr>
        <w:pStyle w:val="167"/>
      </w:pPr>
      <w:r>
        <w:rPr>
          <w:rFonts w:hint="eastAsia"/>
        </w:rPr>
        <w:t>9度时的高层结构，其竖向地震作用标准值应按下列公式4.3.1-1确定。楼层的竖向地震作用效应可按各构件承受的重力荷载代表值的比例分配，并宜乘以增大系数1.5。</w:t>
      </w:r>
    </w:p>
    <w:p>
      <w:pPr>
        <w:pStyle w:val="115"/>
      </w:pPr>
      <w:r>
        <w:tab/>
      </w:r>
      <w:r>
        <w:drawing>
          <wp:inline distT="0" distB="0" distL="0" distR="0">
            <wp:extent cx="781050" cy="205740"/>
            <wp:effectExtent l="0" t="0" r="0" b="0"/>
            <wp:docPr id="453" name="图片 453"/>
            <wp:cNvGraphicFramePr/>
            <a:graphic xmlns:a="http://schemas.openxmlformats.org/drawingml/2006/main">
              <a:graphicData uri="http://schemas.openxmlformats.org/drawingml/2006/picture">
                <pic:pic xmlns:pic="http://schemas.openxmlformats.org/drawingml/2006/picture">
                  <pic:nvPicPr>
                    <pic:cNvPr id="453" name="图片 453"/>
                    <pic:cNvPicPr/>
                  </pic:nvPicPr>
                  <pic:blipFill>
                    <a:blip r:embed="rId207" cstate="print">
                      <a:extLst>
                        <a:ext uri="{28A0092B-C50C-407E-A947-70E740481C1C}">
                          <a14:useLocalDpi xmlns:a14="http://schemas.microsoft.com/office/drawing/2010/main" val="0"/>
                        </a:ext>
                      </a:extLst>
                    </a:blip>
                    <a:srcRect/>
                    <a:stretch>
                      <a:fillRect/>
                    </a:stretch>
                  </pic:blipFill>
                  <pic:spPr>
                    <a:xfrm>
                      <a:off x="0" y="0"/>
                      <a:ext cx="781050" cy="205740"/>
                    </a:xfrm>
                    <a:prstGeom prst="rect">
                      <a:avLst/>
                    </a:prstGeom>
                    <a:noFill/>
                    <a:ln>
                      <a:noFill/>
                    </a:ln>
                  </pic:spPr>
                </pic:pic>
              </a:graphicData>
            </a:graphic>
          </wp:inline>
        </w:drawing>
      </w:r>
      <w:r>
        <w:rPr>
          <w:rFonts w:ascii="微软雅黑" w:hAnsi="微软雅黑" w:eastAsia="微软雅黑"/>
        </w:rPr>
        <w:tab/>
      </w:r>
      <w:r>
        <w:t>(4.3.1-1)</w:t>
      </w:r>
    </w:p>
    <w:p>
      <w:pPr>
        <w:pStyle w:val="115"/>
      </w:pPr>
      <w:r>
        <w:tab/>
      </w:r>
      <w:r>
        <w:drawing>
          <wp:inline distT="0" distB="0" distL="0" distR="0">
            <wp:extent cx="924560" cy="349250"/>
            <wp:effectExtent l="0" t="0" r="0" b="0"/>
            <wp:docPr id="452" name="图片 452"/>
            <wp:cNvGraphicFramePr/>
            <a:graphic xmlns:a="http://schemas.openxmlformats.org/drawingml/2006/main">
              <a:graphicData uri="http://schemas.openxmlformats.org/drawingml/2006/picture">
                <pic:pic xmlns:pic="http://schemas.openxmlformats.org/drawingml/2006/picture">
                  <pic:nvPicPr>
                    <pic:cNvPr id="452" name="图片 452"/>
                    <pic:cNvPicPr/>
                  </pic:nvPicPr>
                  <pic:blipFill>
                    <a:blip r:embed="rId208" cstate="print">
                      <a:extLst>
                        <a:ext uri="{28A0092B-C50C-407E-A947-70E740481C1C}">
                          <a14:useLocalDpi xmlns:a14="http://schemas.microsoft.com/office/drawing/2010/main" val="0"/>
                        </a:ext>
                      </a:extLst>
                    </a:blip>
                    <a:srcRect/>
                    <a:stretch>
                      <a:fillRect/>
                    </a:stretch>
                  </pic:blipFill>
                  <pic:spPr>
                    <a:xfrm>
                      <a:off x="0" y="0"/>
                      <a:ext cx="924560" cy="349250"/>
                    </a:xfrm>
                    <a:prstGeom prst="rect">
                      <a:avLst/>
                    </a:prstGeom>
                    <a:noFill/>
                    <a:ln>
                      <a:noFill/>
                    </a:ln>
                  </pic:spPr>
                </pic:pic>
              </a:graphicData>
            </a:graphic>
          </wp:inline>
        </w:drawing>
      </w:r>
      <w:r>
        <w:rPr>
          <w:rFonts w:ascii="微软雅黑" w:hAnsi="微软雅黑" w:eastAsia="微软雅黑"/>
        </w:rPr>
        <w:tab/>
      </w:r>
      <w:r>
        <w:t>(4.3.1-2)</w:t>
      </w:r>
    </w:p>
    <w:p>
      <w:pPr>
        <w:pStyle w:val="58"/>
        <w:ind w:firstLine="420"/>
      </w:pPr>
      <w:r>
        <w:rPr>
          <w:rFonts w:hint="eastAsia"/>
        </w:rPr>
        <w:t>式中：</w:t>
      </w:r>
      <w:r>
        <w:rPr>
          <w:position w:val="-12"/>
        </w:rPr>
        <w:drawing>
          <wp:inline distT="0" distB="0" distL="0" distR="0">
            <wp:extent cx="224155" cy="177165"/>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a:xfrm>
                      <a:off x="0" y="0"/>
                      <a:ext cx="224155" cy="177165"/>
                    </a:xfrm>
                    <a:prstGeom prst="rect">
                      <a:avLst/>
                    </a:prstGeom>
                    <a:noFill/>
                    <a:ln>
                      <a:noFill/>
                    </a:ln>
                  </pic:spPr>
                </pic:pic>
              </a:graphicData>
            </a:graphic>
          </wp:inline>
        </w:drawing>
      </w:r>
      <w:r>
        <w:t>——</w:t>
      </w:r>
      <w:r>
        <w:rPr>
          <w:rFonts w:hint="eastAsia"/>
        </w:rPr>
        <w:t>结构总竖向地震作用标准值（</w:t>
      </w:r>
      <w:r>
        <w:t>kN</w:t>
      </w:r>
      <w:r>
        <w:rPr>
          <w:rFonts w:hint="eastAsia"/>
        </w:rPr>
        <w:t>）；</w:t>
      </w:r>
    </w:p>
    <w:p>
      <w:pPr>
        <w:pStyle w:val="58"/>
        <w:ind w:firstLine="420"/>
      </w:pPr>
      <w:r>
        <w:t xml:space="preserve">      </w:t>
      </w:r>
      <w:r>
        <w:rPr>
          <w:position w:val="-12"/>
        </w:rPr>
        <w:drawing>
          <wp:inline distT="0" distB="0" distL="0" distR="0">
            <wp:extent cx="177165" cy="18669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a:xfrm>
                      <a:off x="0" y="0"/>
                      <a:ext cx="177165" cy="186690"/>
                    </a:xfrm>
                    <a:prstGeom prst="rect">
                      <a:avLst/>
                    </a:prstGeom>
                    <a:noFill/>
                    <a:ln>
                      <a:noFill/>
                    </a:ln>
                  </pic:spPr>
                </pic:pic>
              </a:graphicData>
            </a:graphic>
          </wp:inline>
        </w:drawing>
      </w:r>
      <w:r>
        <w:t xml:space="preserve"> ——</w:t>
      </w:r>
      <w:r>
        <w:rPr>
          <w:rFonts w:hint="eastAsia"/>
        </w:rPr>
        <w:t>质点</w:t>
      </w:r>
      <w:r>
        <w:rPr>
          <w:i/>
        </w:rPr>
        <w:t>i</w:t>
      </w:r>
      <w:r>
        <w:rPr>
          <w:rFonts w:hint="eastAsia"/>
        </w:rPr>
        <w:t>的竖向地震作用标准值（</w:t>
      </w:r>
      <w:r>
        <w:t>kN</w:t>
      </w:r>
      <w:r>
        <w:rPr>
          <w:rFonts w:hint="eastAsia"/>
        </w:rPr>
        <w:t>）；</w:t>
      </w:r>
    </w:p>
    <w:p>
      <w:pPr>
        <w:pStyle w:val="58"/>
        <w:ind w:firstLine="630" w:firstLineChars="300"/>
      </w:pPr>
      <w:r>
        <w:t xml:space="preserve">  </w:t>
      </w:r>
      <w:r>
        <w:rPr>
          <w:position w:val="-12"/>
        </w:rPr>
        <w:drawing>
          <wp:inline distT="0" distB="0" distL="0" distR="0">
            <wp:extent cx="345440" cy="2330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a:xfrm>
                      <a:off x="0" y="0"/>
                      <a:ext cx="345440" cy="233045"/>
                    </a:xfrm>
                    <a:prstGeom prst="rect">
                      <a:avLst/>
                    </a:prstGeom>
                    <a:noFill/>
                    <a:ln>
                      <a:noFill/>
                    </a:ln>
                  </pic:spPr>
                </pic:pic>
              </a:graphicData>
            </a:graphic>
          </wp:inline>
        </w:drawing>
      </w:r>
      <w:r>
        <w:t>——</w:t>
      </w:r>
      <w:r>
        <w:rPr>
          <w:rFonts w:hint="eastAsia"/>
        </w:rPr>
        <w:t>竖向地震影响系数的最大值，可取水平地震影响系数最大值的</w:t>
      </w:r>
      <w:r>
        <w:t>65%</w:t>
      </w:r>
      <w:r>
        <w:rPr>
          <w:rFonts w:hint="eastAsia"/>
        </w:rPr>
        <w:t>；</w:t>
      </w:r>
    </w:p>
    <w:p>
      <w:pPr>
        <w:pStyle w:val="58"/>
        <w:ind w:firstLine="1050" w:firstLineChars="500"/>
      </w:pPr>
      <w:r>
        <w:rPr>
          <w:position w:val="-14"/>
        </w:rPr>
        <w:drawing>
          <wp:inline distT="0" distB="0" distL="0" distR="0">
            <wp:extent cx="224155" cy="224155"/>
            <wp:effectExtent l="0" t="0" r="4445"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a:xfrm>
                      <a:off x="0" y="0"/>
                      <a:ext cx="224155" cy="224155"/>
                    </a:xfrm>
                    <a:prstGeom prst="rect">
                      <a:avLst/>
                    </a:prstGeom>
                    <a:noFill/>
                    <a:ln>
                      <a:noFill/>
                    </a:ln>
                  </pic:spPr>
                </pic:pic>
              </a:graphicData>
            </a:graphic>
          </wp:inline>
        </w:drawing>
      </w:r>
      <w:r>
        <w:t>——</w:t>
      </w:r>
      <w:r>
        <w:rPr>
          <w:rFonts w:hint="eastAsia"/>
        </w:rPr>
        <w:t>结构等效总重力荷载，可取其重力荷载代表值的</w:t>
      </w:r>
      <w:r>
        <w:t>75%</w:t>
      </w:r>
      <w:r>
        <w:rPr>
          <w:rFonts w:hint="eastAsia"/>
        </w:rPr>
        <w:t>（</w:t>
      </w:r>
      <w:r>
        <w:t>kN</w:t>
      </w:r>
      <w:r>
        <w:rPr>
          <w:rFonts w:hint="eastAsia"/>
        </w:rPr>
        <w:t>）。</w:t>
      </w:r>
    </w:p>
    <w:p>
      <w:pPr>
        <w:pStyle w:val="167"/>
      </w:pPr>
      <w:r>
        <w:rPr>
          <w:rFonts w:hint="eastAsia"/>
        </w:rPr>
        <w:t>平板型网架屋盖和跨度大于24m屋架结构的竖向多遇地震作用标准值，宜取其重力荷载代表值和竖向地震作用系数的乘积；竖向地震作用系数可按表4.3.2采用。</w:t>
      </w:r>
    </w:p>
    <w:p>
      <w:pPr>
        <w:pStyle w:val="114"/>
        <w:numPr>
          <w:ilvl w:val="0"/>
          <w:numId w:val="0"/>
        </w:numPr>
        <w:spacing w:before="156" w:after="156"/>
      </w:pPr>
    </w:p>
    <w:p>
      <w:pPr>
        <w:pStyle w:val="114"/>
        <w:numPr>
          <w:ilvl w:val="0"/>
          <w:numId w:val="0"/>
        </w:numPr>
        <w:spacing w:before="156" w:after="156"/>
      </w:pPr>
    </w:p>
    <w:p>
      <w:pPr>
        <w:pStyle w:val="114"/>
        <w:numPr>
          <w:ilvl w:val="0"/>
          <w:numId w:val="0"/>
        </w:numPr>
        <w:spacing w:before="156" w:after="156"/>
      </w:pPr>
    </w:p>
    <w:p>
      <w:pPr>
        <w:pStyle w:val="114"/>
        <w:numPr>
          <w:ilvl w:val="0"/>
          <w:numId w:val="0"/>
        </w:numPr>
        <w:spacing w:before="156" w:after="156"/>
      </w:pPr>
      <w:r>
        <w:rPr>
          <w:rFonts w:hint="eastAsia"/>
        </w:rPr>
        <w:t>表4.3.2  竖向多遇地震作用系数</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334"/>
        <w:gridCol w:w="1200"/>
        <w:gridCol w:w="1843"/>
        <w:gridCol w:w="18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334" w:type="dxa"/>
            <w:tcBorders>
              <w:top w:val="single" w:color="auto" w:sz="8" w:space="0"/>
              <w:bottom w:val="single" w:color="auto" w:sz="8" w:space="0"/>
            </w:tcBorders>
            <w:shd w:val="clear" w:color="auto" w:fill="auto"/>
            <w:vAlign w:val="center"/>
          </w:tcPr>
          <w:p>
            <w:pPr>
              <w:pStyle w:val="180"/>
            </w:pPr>
            <w:r>
              <w:rPr>
                <w:rFonts w:hint="eastAsia"/>
              </w:rPr>
              <w:t>结构类型</w:t>
            </w:r>
          </w:p>
        </w:tc>
        <w:tc>
          <w:tcPr>
            <w:tcW w:w="1200" w:type="dxa"/>
            <w:tcBorders>
              <w:top w:val="single" w:color="auto" w:sz="8" w:space="0"/>
              <w:bottom w:val="single" w:color="auto" w:sz="8" w:space="0"/>
            </w:tcBorders>
            <w:shd w:val="clear" w:color="auto" w:fill="auto"/>
          </w:tcPr>
          <w:p>
            <w:pPr>
              <w:pStyle w:val="180"/>
            </w:pPr>
            <w:r>
              <w:rPr>
                <w:rFonts w:hint="eastAsia"/>
              </w:rPr>
              <w:t>烈度</w:t>
            </w:r>
          </w:p>
        </w:tc>
        <w:tc>
          <w:tcPr>
            <w:tcW w:w="1843" w:type="dxa"/>
            <w:tcBorders>
              <w:top w:val="single" w:color="auto" w:sz="8" w:space="0"/>
              <w:bottom w:val="single" w:color="auto" w:sz="8" w:space="0"/>
            </w:tcBorders>
            <w:shd w:val="clear" w:color="auto" w:fill="auto"/>
          </w:tcPr>
          <w:p>
            <w:pPr>
              <w:pStyle w:val="180"/>
            </w:pPr>
            <w:r>
              <w:rPr>
                <w:rFonts w:hint="eastAsia"/>
              </w:rPr>
              <w:t>Ⅱ</w:t>
            </w:r>
          </w:p>
        </w:tc>
        <w:tc>
          <w:tcPr>
            <w:tcW w:w="1843" w:type="dxa"/>
            <w:tcBorders>
              <w:top w:val="single" w:color="auto" w:sz="8" w:space="0"/>
              <w:bottom w:val="single" w:color="auto" w:sz="8" w:space="0"/>
            </w:tcBorders>
            <w:shd w:val="clear" w:color="auto" w:fill="auto"/>
          </w:tcPr>
          <w:p>
            <w:pPr>
              <w:pStyle w:val="180"/>
            </w:pPr>
            <w:r>
              <w:rPr>
                <w:rFonts w:hint="eastAsia"/>
              </w:rPr>
              <w:t>Ⅲ、Ⅳ场地类别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Merge w:val="restart"/>
            <w:tcBorders>
              <w:top w:val="single" w:color="auto" w:sz="8" w:space="0"/>
            </w:tcBorders>
            <w:shd w:val="clear" w:color="auto" w:fill="auto"/>
            <w:vAlign w:val="center"/>
          </w:tcPr>
          <w:p>
            <w:pPr>
              <w:pStyle w:val="180"/>
            </w:pPr>
            <w:r>
              <w:rPr>
                <w:rFonts w:hint="eastAsia"/>
              </w:rPr>
              <w:t>平板型网架、钢屋架</w:t>
            </w:r>
          </w:p>
        </w:tc>
        <w:tc>
          <w:tcPr>
            <w:tcW w:w="1200" w:type="dxa"/>
            <w:tcBorders>
              <w:top w:val="single" w:color="auto" w:sz="8" w:space="0"/>
            </w:tcBorders>
            <w:shd w:val="clear" w:color="auto" w:fill="auto"/>
          </w:tcPr>
          <w:p>
            <w:pPr>
              <w:pStyle w:val="180"/>
            </w:pPr>
            <w:r>
              <w:rPr>
                <w:rFonts w:hint="eastAsia"/>
              </w:rPr>
              <w:t>8</w:t>
            </w:r>
          </w:p>
        </w:tc>
        <w:tc>
          <w:tcPr>
            <w:tcW w:w="1843" w:type="dxa"/>
            <w:tcBorders>
              <w:top w:val="single" w:color="auto" w:sz="8" w:space="0"/>
            </w:tcBorders>
            <w:shd w:val="clear" w:color="auto" w:fill="auto"/>
          </w:tcPr>
          <w:p>
            <w:pPr>
              <w:pStyle w:val="180"/>
            </w:pPr>
            <w:r>
              <w:rPr>
                <w:rFonts w:hint="eastAsia"/>
              </w:rPr>
              <w:t>0.08（0.12）</w:t>
            </w:r>
          </w:p>
        </w:tc>
        <w:tc>
          <w:tcPr>
            <w:tcW w:w="1843" w:type="dxa"/>
            <w:tcBorders>
              <w:top w:val="single" w:color="auto" w:sz="8" w:space="0"/>
            </w:tcBorders>
            <w:shd w:val="clear" w:color="auto" w:fill="auto"/>
          </w:tcPr>
          <w:p>
            <w:pPr>
              <w:pStyle w:val="180"/>
            </w:pPr>
            <w:r>
              <w:rPr>
                <w:rFonts w:hint="eastAsia"/>
              </w:rPr>
              <w:t>0.10（0.15）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Merge w:val="continue"/>
            <w:shd w:val="clear" w:color="auto" w:fill="auto"/>
            <w:vAlign w:val="center"/>
          </w:tcPr>
          <w:p>
            <w:pPr>
              <w:pStyle w:val="180"/>
            </w:pPr>
          </w:p>
        </w:tc>
        <w:tc>
          <w:tcPr>
            <w:tcW w:w="1200" w:type="dxa"/>
            <w:shd w:val="clear" w:color="auto" w:fill="auto"/>
          </w:tcPr>
          <w:p>
            <w:pPr>
              <w:pStyle w:val="180"/>
            </w:pPr>
            <w:r>
              <w:t>9</w:t>
            </w:r>
          </w:p>
        </w:tc>
        <w:tc>
          <w:tcPr>
            <w:tcW w:w="1843" w:type="dxa"/>
            <w:shd w:val="clear" w:color="auto" w:fill="auto"/>
          </w:tcPr>
          <w:p>
            <w:pPr>
              <w:pStyle w:val="180"/>
            </w:pPr>
            <w:r>
              <w:t>0.15</w:t>
            </w:r>
          </w:p>
        </w:tc>
        <w:tc>
          <w:tcPr>
            <w:tcW w:w="1843" w:type="dxa"/>
            <w:shd w:val="clear" w:color="auto" w:fill="auto"/>
          </w:tcPr>
          <w:p>
            <w:pPr>
              <w:pStyle w:val="180"/>
            </w:pPr>
            <w:r>
              <w:t>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334" w:type="dxa"/>
            <w:vMerge w:val="restart"/>
            <w:shd w:val="clear" w:color="auto" w:fill="auto"/>
            <w:vAlign w:val="center"/>
          </w:tcPr>
          <w:p>
            <w:pPr>
              <w:pStyle w:val="180"/>
            </w:pPr>
            <w:r>
              <w:rPr>
                <w:rFonts w:hint="eastAsia"/>
              </w:rPr>
              <w:t>钢筋混凝土屋架</w:t>
            </w:r>
          </w:p>
        </w:tc>
        <w:tc>
          <w:tcPr>
            <w:tcW w:w="1200" w:type="dxa"/>
            <w:shd w:val="clear" w:color="auto" w:fill="auto"/>
          </w:tcPr>
          <w:p>
            <w:pPr>
              <w:pStyle w:val="180"/>
            </w:pPr>
            <w:r>
              <w:rPr>
                <w:rFonts w:hint="eastAsia"/>
              </w:rPr>
              <w:t>8</w:t>
            </w:r>
          </w:p>
        </w:tc>
        <w:tc>
          <w:tcPr>
            <w:tcW w:w="1843" w:type="dxa"/>
            <w:shd w:val="clear" w:color="auto" w:fill="auto"/>
          </w:tcPr>
          <w:p>
            <w:pPr>
              <w:pStyle w:val="180"/>
            </w:pPr>
            <w:r>
              <w:rPr>
                <w:rFonts w:hint="eastAsia"/>
              </w:rPr>
              <w:t>0.13（0.19）</w:t>
            </w:r>
          </w:p>
        </w:tc>
        <w:tc>
          <w:tcPr>
            <w:tcW w:w="1843" w:type="dxa"/>
            <w:shd w:val="clear" w:color="auto" w:fill="auto"/>
          </w:tcPr>
          <w:p>
            <w:pPr>
              <w:pStyle w:val="180"/>
            </w:pPr>
            <w:r>
              <w:rPr>
                <w:rFonts w:hint="eastAsia"/>
              </w:rPr>
              <w:t>0.13（0.19）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Merge w:val="continue"/>
            <w:shd w:val="clear" w:color="auto" w:fill="auto"/>
            <w:vAlign w:val="center"/>
          </w:tcPr>
          <w:p>
            <w:pPr>
              <w:pStyle w:val="180"/>
            </w:pPr>
          </w:p>
        </w:tc>
        <w:tc>
          <w:tcPr>
            <w:tcW w:w="1200" w:type="dxa"/>
            <w:shd w:val="clear" w:color="auto" w:fill="auto"/>
          </w:tcPr>
          <w:p>
            <w:pPr>
              <w:pStyle w:val="180"/>
            </w:pPr>
            <w:r>
              <w:t>9</w:t>
            </w:r>
          </w:p>
        </w:tc>
        <w:tc>
          <w:tcPr>
            <w:tcW w:w="1843" w:type="dxa"/>
            <w:shd w:val="clear" w:color="auto" w:fill="auto"/>
          </w:tcPr>
          <w:p>
            <w:pPr>
              <w:pStyle w:val="180"/>
            </w:pPr>
            <w:r>
              <w:t>0.25</w:t>
            </w:r>
          </w:p>
        </w:tc>
        <w:tc>
          <w:tcPr>
            <w:tcW w:w="1843" w:type="dxa"/>
            <w:shd w:val="clear" w:color="auto" w:fill="auto"/>
          </w:tcPr>
          <w:p>
            <w:pPr>
              <w:pStyle w:val="180"/>
            </w:pPr>
            <w:r>
              <w:t>0.25</w:t>
            </w:r>
          </w:p>
        </w:tc>
      </w:tr>
    </w:tbl>
    <w:p>
      <w:pPr>
        <w:adjustRightInd/>
        <w:spacing w:after="156" w:afterLines="50" w:line="240" w:lineRule="auto"/>
        <w:ind w:firstLine="720" w:firstLineChars="400"/>
        <w:rPr>
          <w:rFonts w:ascii="Times New Roman" w:hAnsi="Times New Roman"/>
          <w:bCs/>
          <w:color w:val="000000" w:themeColor="text1"/>
          <w:sz w:val="18"/>
          <w:szCs w:val="22"/>
          <w14:textFill>
            <w14:solidFill>
              <w14:schemeClr w14:val="tx1"/>
            </w14:solidFill>
          </w14:textFill>
        </w:rPr>
      </w:pPr>
      <w:r>
        <w:rPr>
          <w:rFonts w:hint="eastAsia" w:ascii="Times New Roman" w:hAnsi="Times New Roman"/>
          <w:bCs/>
          <w:color w:val="000000" w:themeColor="text1"/>
          <w:sz w:val="18"/>
          <w:szCs w:val="22"/>
          <w14:textFill>
            <w14:solidFill>
              <w14:schemeClr w14:val="tx1"/>
            </w14:solidFill>
          </w14:textFill>
        </w:rPr>
        <w:t>注：括号中数值用于设计基本加速度为</w:t>
      </w:r>
      <w:r>
        <w:rPr>
          <w:rFonts w:ascii="Times New Roman" w:hAnsi="Times New Roman"/>
          <w:bCs/>
          <w:color w:val="000000" w:themeColor="text1"/>
          <w:sz w:val="18"/>
          <w:szCs w:val="22"/>
          <w14:textFill>
            <w14:solidFill>
              <w14:schemeClr w14:val="tx1"/>
            </w14:solidFill>
          </w14:textFill>
        </w:rPr>
        <w:t>0.30g</w:t>
      </w:r>
      <w:r>
        <w:rPr>
          <w:rFonts w:hint="eastAsia" w:ascii="Times New Roman" w:hAnsi="Times New Roman"/>
          <w:bCs/>
          <w:color w:val="000000" w:themeColor="text1"/>
          <w:sz w:val="18"/>
          <w:szCs w:val="22"/>
          <w14:textFill>
            <w14:solidFill>
              <w14:schemeClr w14:val="tx1"/>
            </w14:solidFill>
          </w14:textFill>
        </w:rPr>
        <w:t>的地区。</w:t>
      </w:r>
    </w:p>
    <w:p>
      <w:pPr>
        <w:pStyle w:val="167"/>
      </w:pPr>
      <w:r>
        <w:rPr>
          <w:rFonts w:hint="eastAsia"/>
        </w:rPr>
        <w:t>长悬臂构件和其他大跨度结构的竖向地震作用标准值，8度和9度可分别取该结构、构件重力荷载代表值的10%和20%，设计基本地震加速度为0.30g时，可取该结构、构件重力荷载代表值的15%。</w:t>
      </w:r>
    </w:p>
    <w:p>
      <w:pPr>
        <w:pStyle w:val="58"/>
        <w:ind w:firstLine="420"/>
      </w:pPr>
    </w:p>
    <w:p>
      <w:pPr>
        <w:pStyle w:val="167"/>
      </w:pPr>
      <w:r>
        <w:rPr>
          <w:rFonts w:hint="eastAsia"/>
        </w:rPr>
        <w:t>大跨度空间结构的竖向地震作用，尚可按竖向振型分解反应谱方法计算。其竖向地震影响系数可采用本规程第4.1.6条、第4.1.7条、第4.1.8条、第4.1.9条规定的水平地震影响系数的65%。</w:t>
      </w:r>
    </w:p>
    <w:p>
      <w:pPr>
        <w:pStyle w:val="107"/>
        <w:spacing w:before="156" w:after="156"/>
        <w:jc w:val="center"/>
      </w:pPr>
      <w:r>
        <w:rPr>
          <w:rFonts w:hint="eastAsia"/>
        </w:rPr>
        <w:t>截面抗震验算</w:t>
      </w:r>
    </w:p>
    <w:p>
      <w:pPr>
        <w:pStyle w:val="167"/>
      </w:pPr>
      <w:r>
        <w:rPr>
          <w:rFonts w:hint="eastAsia"/>
        </w:rPr>
        <w:t>结构构件的地震作用效应和其它荷载效应的基本组合，应按下式计算：</w:t>
      </w:r>
    </w:p>
    <w:p>
      <w:pPr>
        <w:pStyle w:val="115"/>
      </w:pPr>
      <w:r>
        <w:tab/>
      </w:r>
      <w:r>
        <w:rPr>
          <w:rFonts w:ascii="Times New Roman" w:hAnsi="Times New Roman"/>
          <w:color w:val="000000"/>
          <w:position w:val="-10"/>
        </w:rPr>
        <w:object>
          <v:shape id="_x0000_i1134" o:spt="75" type="#_x0000_t75" style="height:19.1pt;width:219.65pt;" o:ole="t" filled="f" o:preferrelative="t" stroked="f" coordsize="21600,21600">
            <v:path/>
            <v:fill on="f" focussize="0,0"/>
            <v:stroke on="f" joinstyle="miter"/>
            <v:imagedata r:id="rId214" o:title=""/>
            <o:lock v:ext="edit" aspectratio="t"/>
            <w10:wrap type="none"/>
            <w10:anchorlock/>
          </v:shape>
          <o:OLEObject Type="Embed" ProgID="Equation.3" ShapeID="_x0000_i1134" DrawAspect="Content" ObjectID="_1468075834" r:id="rId213">
            <o:LockedField>false</o:LockedField>
          </o:OLEObject>
        </w:object>
      </w:r>
      <w:r>
        <w:rPr>
          <w:rFonts w:ascii="微软雅黑" w:hAnsi="微软雅黑" w:eastAsia="微软雅黑"/>
        </w:rPr>
        <w:tab/>
      </w:r>
      <w:r>
        <w:t>(4.4.1)</w:t>
      </w:r>
    </w:p>
    <w:p>
      <w:pPr>
        <w:pStyle w:val="58"/>
        <w:ind w:firstLine="420"/>
      </w:pPr>
      <w:r>
        <w:rPr>
          <w:rFonts w:hint="eastAsia"/>
        </w:rPr>
        <w:t>式中：</w:t>
      </w:r>
      <w:r>
        <w:rPr>
          <w:position w:val="-6"/>
        </w:rPr>
        <w:object>
          <v:shape id="_x0000_i1135" o:spt="75" type="#_x0000_t75" style="height:13.95pt;width:11pt;" o:ole="t" filled="f" o:preferrelative="t" stroked="f" coordsize="21600,21600">
            <v:path/>
            <v:fill on="f" focussize="0,0"/>
            <v:stroke on="f" joinstyle="miter"/>
            <v:imagedata r:id="rId216" o:title=""/>
            <o:lock v:ext="edit" aspectratio="t"/>
            <w10:wrap type="none"/>
            <w10:anchorlock/>
          </v:shape>
          <o:OLEObject Type="Embed" ProgID="Equation.3" ShapeID="_x0000_i1135" DrawAspect="Content" ObjectID="_1468075835" r:id="rId215">
            <o:LockedField>false</o:LockedField>
          </o:OLEObject>
        </w:object>
      </w:r>
      <w:r>
        <w:t>——</w:t>
      </w:r>
      <w:r>
        <w:rPr>
          <w:rFonts w:hint="eastAsia"/>
        </w:rPr>
        <w:t>结构构件内力组合的设计值，包括组合的弯矩、轴向力和剪力设计值等；</w:t>
      </w:r>
    </w:p>
    <w:p>
      <w:pPr>
        <w:pStyle w:val="58"/>
        <w:ind w:left="1890" w:leftChars="500" w:hanging="840" w:hangingChars="400"/>
      </w:pPr>
      <w:r>
        <w:rPr>
          <w:position w:val="-10"/>
        </w:rPr>
        <w:object>
          <v:shape id="_x0000_i1136" o:spt="75" type="#_x0000_t75" style="height:16.15pt;width:16.15pt;" o:ole="t" filled="f" o:preferrelative="t" stroked="f" coordsize="21600,21600">
            <v:path/>
            <v:fill on="f" focussize="0,0"/>
            <v:stroke on="f" joinstyle="miter"/>
            <v:imagedata r:id="rId218" o:title=""/>
            <o:lock v:ext="edit" aspectratio="t"/>
            <w10:wrap type="none"/>
            <w10:anchorlock/>
          </v:shape>
          <o:OLEObject Type="Embed" ProgID="Equation.3" ShapeID="_x0000_i1136" DrawAspect="Content" ObjectID="_1468075836" r:id="rId217">
            <o:LockedField>false</o:LockedField>
          </o:OLEObject>
        </w:object>
      </w:r>
      <w:r>
        <w:t>——</w:t>
      </w:r>
      <w:r>
        <w:rPr>
          <w:rFonts w:hint="eastAsia"/>
        </w:rPr>
        <w:t>重力荷载分项系数，一般情况应采用</w:t>
      </w:r>
      <w:r>
        <w:t>1.3</w:t>
      </w:r>
      <w:r>
        <w:rPr>
          <w:rFonts w:hint="eastAsia"/>
        </w:rPr>
        <w:t>，当重力荷载效应对构件承载能力有利时，不应大于</w:t>
      </w:r>
      <w:r>
        <w:t>1.0</w:t>
      </w:r>
      <w:r>
        <w:rPr>
          <w:rFonts w:hint="eastAsia"/>
        </w:rPr>
        <w:t>；</w:t>
      </w:r>
    </w:p>
    <w:p>
      <w:pPr>
        <w:pStyle w:val="58"/>
        <w:ind w:firstLine="619" w:firstLineChars="295"/>
      </w:pPr>
      <w:r>
        <w:rPr>
          <w:position w:val="-10"/>
        </w:rPr>
        <w:object>
          <v:shape id="_x0000_i1137" o:spt="75" type="#_x0000_t75" style="height:16.15pt;width:40.4pt;" o:ole="t" filled="f" o:preferrelative="t" stroked="f" coordsize="21600,21600">
            <v:path/>
            <v:fill on="f" focussize="0,0"/>
            <v:stroke on="f" joinstyle="miter"/>
            <v:imagedata r:id="rId220" o:title=""/>
            <o:lock v:ext="edit" aspectratio="t"/>
            <w10:wrap type="none"/>
            <w10:anchorlock/>
          </v:shape>
          <o:OLEObject Type="Embed" ProgID="Equation.3" ShapeID="_x0000_i1137" DrawAspect="Content" ObjectID="_1468075837" r:id="rId219">
            <o:LockedField>false</o:LockedField>
          </o:OLEObject>
        </w:object>
      </w:r>
      <w:r>
        <w:t>——</w:t>
      </w:r>
      <w:r>
        <w:rPr>
          <w:rFonts w:hint="eastAsia"/>
        </w:rPr>
        <w:t>分别为水平、竖向地震作用分项系数，应按表</w:t>
      </w:r>
      <w:r>
        <w:t>4.4.1</w:t>
      </w:r>
      <w:r>
        <w:rPr>
          <w:rFonts w:hint="eastAsia"/>
        </w:rPr>
        <w:t>采用；</w:t>
      </w:r>
    </w:p>
    <w:p>
      <w:pPr>
        <w:pStyle w:val="58"/>
        <w:ind w:firstLine="1039" w:firstLineChars="495"/>
      </w:pPr>
      <w:r>
        <w:rPr>
          <w:position w:val="-10"/>
        </w:rPr>
        <w:object>
          <v:shape id="_x0000_i1138" o:spt="75" type="#_x0000_t75" style="height:16.15pt;width:14.7pt;" o:ole="t" filled="f" o:preferrelative="t" stroked="f" coordsize="21600,21600">
            <v:path/>
            <v:fill on="f" focussize="0,0"/>
            <v:stroke on="f" joinstyle="miter"/>
            <v:imagedata r:id="rId222" o:title=""/>
            <o:lock v:ext="edit" aspectratio="t"/>
            <w10:wrap type="none"/>
            <w10:anchorlock/>
          </v:shape>
          <o:OLEObject Type="Embed" ProgID="Equation.3" ShapeID="_x0000_i1138" DrawAspect="Content" ObjectID="_1468075838" r:id="rId221">
            <o:LockedField>false</o:LockedField>
          </o:OLEObject>
        </w:object>
      </w:r>
      <w:r>
        <w:t>——</w:t>
      </w:r>
      <w:r>
        <w:rPr>
          <w:rFonts w:hint="eastAsia"/>
        </w:rPr>
        <w:t>风荷载分项系数，应采用</w:t>
      </w:r>
      <w:r>
        <w:t>1.5</w:t>
      </w:r>
      <w:r>
        <w:rPr>
          <w:rFonts w:hint="eastAsia"/>
        </w:rPr>
        <w:t>；</w:t>
      </w:r>
    </w:p>
    <w:p>
      <w:pPr>
        <w:pStyle w:val="58"/>
        <w:ind w:left="1680" w:leftChars="400" w:hanging="840" w:hangingChars="400"/>
      </w:pPr>
      <w:r>
        <w:rPr>
          <w:position w:val="-10"/>
        </w:rPr>
        <w:object>
          <v:shape id="_x0000_i1139" o:spt="75" type="#_x0000_t75" style="height:16.15pt;width:19.1pt;" o:ole="t" filled="f" o:preferrelative="t" stroked="f" coordsize="21600,21600">
            <v:path/>
            <v:fill on="f" focussize="0,0"/>
            <v:stroke on="f" joinstyle="miter"/>
            <v:imagedata r:id="rId224" o:title=""/>
            <o:lock v:ext="edit" aspectratio="t"/>
            <w10:wrap type="none"/>
            <w10:anchorlock/>
          </v:shape>
          <o:OLEObject Type="Embed" ProgID="Equation.3" ShapeID="_x0000_i1139" DrawAspect="Content" ObjectID="_1468075839" r:id="rId223">
            <o:LockedField>false</o:LockedField>
          </o:OLEObject>
        </w:object>
      </w:r>
      <w:r>
        <w:t>——</w:t>
      </w:r>
      <w:r>
        <w:rPr>
          <w:rFonts w:hint="eastAsia"/>
        </w:rPr>
        <w:t>重力荷载代表值的效应，可按本章</w:t>
      </w:r>
      <w:r>
        <w:t>4.1.2</w:t>
      </w:r>
      <w:r>
        <w:rPr>
          <w:rFonts w:hint="eastAsia"/>
        </w:rPr>
        <w:t>条采用，但有吊车时，尚应包括悬吊物重力标准值的效应；</w:t>
      </w:r>
    </w:p>
    <w:p>
      <w:pPr>
        <w:pStyle w:val="58"/>
        <w:ind w:firstLine="840" w:firstLineChars="400"/>
      </w:pPr>
      <w:r>
        <w:rPr>
          <w:position w:val="-10"/>
        </w:rPr>
        <w:object>
          <v:shape id="_x0000_i1140" o:spt="75" type="#_x0000_t75" style="height:16.15pt;width:21.3pt;" o:ole="t" filled="f" o:preferrelative="t" stroked="f" coordsize="21600,21600">
            <v:path/>
            <v:fill on="f" focussize="0,0"/>
            <v:stroke on="f" joinstyle="miter"/>
            <v:imagedata r:id="rId226" o:title=""/>
            <o:lock v:ext="edit" aspectratio="t"/>
            <w10:wrap type="none"/>
            <w10:anchorlock/>
          </v:shape>
          <o:OLEObject Type="Embed" ProgID="Equation.3" ShapeID="_x0000_i1140" DrawAspect="Content" ObjectID="_1468075840" r:id="rId225">
            <o:LockedField>false</o:LockedField>
          </o:OLEObject>
        </w:object>
      </w:r>
      <w:r>
        <w:t>——</w:t>
      </w:r>
      <w:r>
        <w:rPr>
          <w:rFonts w:hint="eastAsia"/>
        </w:rPr>
        <w:t>水平地震作用标准值的效应，尚应乘以相应的增大系数或调整系数；</w:t>
      </w:r>
    </w:p>
    <w:p>
      <w:pPr>
        <w:pStyle w:val="58"/>
        <w:ind w:firstLine="840" w:firstLineChars="400"/>
      </w:pPr>
      <w:r>
        <w:rPr>
          <w:position w:val="-10"/>
        </w:rPr>
        <w:object>
          <v:shape id="_x0000_i1141" o:spt="75" type="#_x0000_t75" style="height:16.15pt;width:19.1pt;" o:ole="t" filled="f" o:preferrelative="t" stroked="f" coordsize="21600,21600">
            <v:path/>
            <v:fill on="f" focussize="0,0"/>
            <v:stroke on="f" joinstyle="miter"/>
            <v:imagedata r:id="rId228" o:title=""/>
            <o:lock v:ext="edit" aspectratio="t"/>
            <w10:wrap type="none"/>
            <w10:anchorlock/>
          </v:shape>
          <o:OLEObject Type="Embed" ProgID="Equation.3" ShapeID="_x0000_i1141" DrawAspect="Content" ObjectID="_1468075841" r:id="rId227">
            <o:LockedField>false</o:LockedField>
          </o:OLEObject>
        </w:object>
      </w:r>
      <w:r>
        <w:t>——</w:t>
      </w:r>
      <w:r>
        <w:rPr>
          <w:rFonts w:hint="eastAsia"/>
        </w:rPr>
        <w:t>竖向地震作用标准值的效应，尚应乘以相应的增大系数或调整系数；</w:t>
      </w:r>
    </w:p>
    <w:p>
      <w:pPr>
        <w:pStyle w:val="58"/>
        <w:ind w:firstLine="840" w:firstLineChars="400"/>
      </w:pPr>
      <w:r>
        <w:rPr>
          <w:position w:val="-10"/>
        </w:rPr>
        <w:object>
          <v:shape id="_x0000_i1142" o:spt="75" type="#_x0000_t75" style="height:16.15pt;width:18.35pt;" o:ole="t" filled="f" o:preferrelative="t" stroked="f" coordsize="21600,21600">
            <v:path/>
            <v:fill on="f" focussize="0,0"/>
            <v:stroke on="f" joinstyle="miter"/>
            <v:imagedata r:id="rId230" o:title=""/>
            <o:lock v:ext="edit" aspectratio="t"/>
            <w10:wrap type="none"/>
            <w10:anchorlock/>
          </v:shape>
          <o:OLEObject Type="Embed" ProgID="Equation.3" ShapeID="_x0000_i1142" DrawAspect="Content" ObjectID="_1468075842" r:id="rId229">
            <o:LockedField>false</o:LockedField>
          </o:OLEObject>
        </w:object>
      </w:r>
      <w:r>
        <w:t>——</w:t>
      </w:r>
      <w:r>
        <w:rPr>
          <w:rFonts w:hint="eastAsia"/>
        </w:rPr>
        <w:t>风荷载标准值的效应；</w:t>
      </w:r>
    </w:p>
    <w:p>
      <w:pPr>
        <w:pStyle w:val="58"/>
        <w:ind w:firstLine="840" w:firstLineChars="400"/>
      </w:pPr>
      <w:r>
        <w:rPr>
          <w:position w:val="-10"/>
        </w:rPr>
        <w:object>
          <v:shape id="_x0000_i1143" o:spt="75" type="#_x0000_t75" style="height:16.15pt;width:19.1pt;" o:ole="t" filled="f" o:preferrelative="t" stroked="f" coordsize="21600,21600">
            <v:path/>
            <v:fill on="f" focussize="0,0"/>
            <v:stroke on="f" joinstyle="miter"/>
            <v:imagedata r:id="rId232" o:title=""/>
            <o:lock v:ext="edit" aspectratio="t"/>
            <w10:wrap type="none"/>
            <w10:anchorlock/>
          </v:shape>
          <o:OLEObject Type="Embed" ProgID="Equation.3" ShapeID="_x0000_i1143" DrawAspect="Content" ObjectID="_1468075843" r:id="rId231">
            <o:LockedField>false</o:LockedField>
          </o:OLEObject>
        </w:object>
      </w:r>
      <w:r>
        <w:t>——</w:t>
      </w:r>
      <w:r>
        <w:rPr>
          <w:rFonts w:hint="eastAsia"/>
        </w:rPr>
        <w:t>风荷载组合值系数，一般结构取</w:t>
      </w:r>
      <w:r>
        <w:t>0.0</w:t>
      </w:r>
      <w:r>
        <w:rPr>
          <w:rFonts w:hint="eastAsia"/>
        </w:rPr>
        <w:t>，风荷载起控制作用的高层建筑应采用</w:t>
      </w:r>
      <w:r>
        <w:t>0.2</w:t>
      </w:r>
      <w:r>
        <w:rPr>
          <w:rFonts w:hint="eastAsia"/>
        </w:rPr>
        <w:t>。</w:t>
      </w:r>
    </w:p>
    <w:p>
      <w:pPr>
        <w:adjustRightInd/>
        <w:spacing w:line="240" w:lineRule="auto"/>
        <w:ind w:left="1678" w:hanging="1678"/>
        <w:rPr>
          <w:rFonts w:ascii="Times New Roman" w:hAnsi="Times New Roman"/>
          <w:color w:val="000000"/>
          <w:sz w:val="18"/>
          <w:szCs w:val="18"/>
        </w:rPr>
      </w:pPr>
      <w:r>
        <w:rPr>
          <w:rFonts w:ascii="Times New Roman" w:hAnsi="Times New Roman"/>
          <w:color w:val="000000"/>
          <w:szCs w:val="22"/>
        </w:rPr>
        <w:t xml:space="preserve">     </w:t>
      </w:r>
      <w:r>
        <w:rPr>
          <w:rFonts w:hint="eastAsia" w:ascii="Times New Roman" w:hAnsi="Times New Roman"/>
          <w:color w:val="000000"/>
          <w:sz w:val="18"/>
          <w:szCs w:val="18"/>
        </w:rPr>
        <w:t>注：本规程一般略去表示水平方向的下标。</w:t>
      </w:r>
    </w:p>
    <w:p>
      <w:pPr>
        <w:pStyle w:val="114"/>
        <w:numPr>
          <w:ilvl w:val="0"/>
          <w:numId w:val="0"/>
        </w:numPr>
        <w:spacing w:before="156" w:after="156"/>
      </w:pPr>
    </w:p>
    <w:p>
      <w:pPr>
        <w:pStyle w:val="114"/>
        <w:numPr>
          <w:ilvl w:val="0"/>
          <w:numId w:val="0"/>
        </w:numPr>
        <w:spacing w:before="156" w:after="156"/>
      </w:pPr>
    </w:p>
    <w:p>
      <w:pPr>
        <w:pStyle w:val="114"/>
        <w:numPr>
          <w:ilvl w:val="0"/>
          <w:numId w:val="0"/>
        </w:numPr>
        <w:spacing w:before="156" w:after="156"/>
      </w:pPr>
      <w:r>
        <w:rPr>
          <w:rFonts w:hint="eastAsia"/>
        </w:rPr>
        <w:t>表4.4.1  地震作用分项系数</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3959"/>
        <w:gridCol w:w="851"/>
        <w:gridCol w:w="8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3959" w:type="dxa"/>
            <w:tcBorders>
              <w:top w:val="single" w:color="auto" w:sz="8" w:space="0"/>
              <w:bottom w:val="single" w:color="auto" w:sz="8" w:space="0"/>
            </w:tcBorders>
            <w:shd w:val="clear" w:color="auto" w:fill="auto"/>
            <w:vAlign w:val="center"/>
          </w:tcPr>
          <w:p>
            <w:pPr>
              <w:pStyle w:val="180"/>
            </w:pPr>
            <w:r>
              <w:rPr>
                <w:rFonts w:hint="eastAsia"/>
              </w:rPr>
              <w:t>地震作用</w:t>
            </w:r>
          </w:p>
        </w:tc>
        <w:tc>
          <w:tcPr>
            <w:tcW w:w="851" w:type="dxa"/>
            <w:tcBorders>
              <w:top w:val="single" w:color="auto" w:sz="8" w:space="0"/>
              <w:bottom w:val="single" w:color="auto" w:sz="8" w:space="0"/>
            </w:tcBorders>
            <w:shd w:val="clear" w:color="auto" w:fill="auto"/>
            <w:vAlign w:val="center"/>
          </w:tcPr>
          <w:p>
            <w:pPr>
              <w:pStyle w:val="180"/>
            </w:pPr>
            <w:r>
              <w:rPr>
                <w:rFonts w:ascii="Times New Roman"/>
                <w:color w:val="000000"/>
                <w:position w:val="-10"/>
              </w:rPr>
              <w:object>
                <v:shape id="_x0000_i1144" o:spt="75" type="#_x0000_t75" style="height:16.15pt;width:18.35pt;" o:ole="t" filled="f" o:preferrelative="t" stroked="f" coordsize="21600,21600">
                  <v:path/>
                  <v:fill on="f" focussize="0,0"/>
                  <v:stroke on="f" joinstyle="miter"/>
                  <v:imagedata r:id="rId234" o:title=""/>
                  <o:lock v:ext="edit" aspectratio="t"/>
                  <w10:wrap type="none"/>
                  <w10:anchorlock/>
                </v:shape>
                <o:OLEObject Type="Embed" ProgID="Equation.3" ShapeID="_x0000_i1144" DrawAspect="Content" ObjectID="_1468075844" r:id="rId233">
                  <o:LockedField>false</o:LockedField>
                </o:OLEObject>
              </w:object>
            </w:r>
          </w:p>
        </w:tc>
        <w:tc>
          <w:tcPr>
            <w:tcW w:w="850" w:type="dxa"/>
            <w:tcBorders>
              <w:top w:val="single" w:color="auto" w:sz="8" w:space="0"/>
              <w:bottom w:val="single" w:color="auto" w:sz="8" w:space="0"/>
            </w:tcBorders>
            <w:shd w:val="clear" w:color="auto" w:fill="auto"/>
            <w:vAlign w:val="center"/>
          </w:tcPr>
          <w:p>
            <w:pPr>
              <w:pStyle w:val="180"/>
            </w:pPr>
            <w:r>
              <w:rPr>
                <w:rFonts w:ascii="Times New Roman"/>
                <w:color w:val="000000"/>
                <w:position w:val="-10"/>
              </w:rPr>
              <w:object>
                <v:shape id="_x0000_i1145" o:spt="75" type="#_x0000_t75" style="height:16.15pt;width:16.15pt;" o:ole="t" filled="f" o:preferrelative="t" stroked="f" coordsize="21600,21600">
                  <v:path/>
                  <v:fill on="f" focussize="0,0"/>
                  <v:stroke on="f" joinstyle="miter"/>
                  <v:imagedata r:id="rId236" o:title=""/>
                  <o:lock v:ext="edit" aspectratio="t"/>
                  <w10:wrap type="none"/>
                  <w10:anchorlock/>
                </v:shape>
                <o:OLEObject Type="Embed" ProgID="Equation.3" ShapeID="_x0000_i1145" DrawAspect="Content" ObjectID="_1468075845" r:id="rId235">
                  <o:LockedField>false</o:LockedField>
                </o:OLEObject>
              </w:objec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959" w:type="dxa"/>
            <w:tcBorders>
              <w:top w:val="single" w:color="auto" w:sz="8" w:space="0"/>
            </w:tcBorders>
            <w:shd w:val="clear" w:color="auto" w:fill="auto"/>
            <w:vAlign w:val="center"/>
          </w:tcPr>
          <w:p>
            <w:pPr>
              <w:pStyle w:val="180"/>
            </w:pPr>
            <w:r>
              <w:rPr>
                <w:rFonts w:hint="eastAsia"/>
              </w:rPr>
              <w:t>仅计算水平地震作用</w:t>
            </w:r>
          </w:p>
        </w:tc>
        <w:tc>
          <w:tcPr>
            <w:tcW w:w="851" w:type="dxa"/>
            <w:tcBorders>
              <w:top w:val="single" w:color="auto" w:sz="8" w:space="0"/>
            </w:tcBorders>
            <w:shd w:val="clear" w:color="auto" w:fill="auto"/>
          </w:tcPr>
          <w:p>
            <w:pPr>
              <w:pStyle w:val="180"/>
            </w:pPr>
            <w:r>
              <w:t>1.4</w:t>
            </w:r>
          </w:p>
        </w:tc>
        <w:tc>
          <w:tcPr>
            <w:tcW w:w="850" w:type="dxa"/>
            <w:tcBorders>
              <w:top w:val="single" w:color="auto" w:sz="8" w:space="0"/>
            </w:tcBorders>
            <w:shd w:val="clear" w:color="auto" w:fill="auto"/>
          </w:tcPr>
          <w:p>
            <w:pPr>
              <w:pStyle w:val="180"/>
            </w:pPr>
            <w: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959" w:type="dxa"/>
            <w:shd w:val="clear" w:color="auto" w:fill="auto"/>
            <w:vAlign w:val="center"/>
          </w:tcPr>
          <w:p>
            <w:pPr>
              <w:pStyle w:val="180"/>
            </w:pPr>
            <w:r>
              <w:rPr>
                <w:rFonts w:hint="eastAsia"/>
              </w:rPr>
              <w:t>仅计算竖向地震作用</w:t>
            </w:r>
          </w:p>
        </w:tc>
        <w:tc>
          <w:tcPr>
            <w:tcW w:w="851" w:type="dxa"/>
            <w:shd w:val="clear" w:color="auto" w:fill="auto"/>
          </w:tcPr>
          <w:p>
            <w:pPr>
              <w:pStyle w:val="180"/>
            </w:pPr>
            <w:r>
              <w:t>0.0</w:t>
            </w:r>
          </w:p>
        </w:tc>
        <w:tc>
          <w:tcPr>
            <w:tcW w:w="850" w:type="dxa"/>
            <w:shd w:val="clear" w:color="auto" w:fill="auto"/>
          </w:tcPr>
          <w:p>
            <w:pPr>
              <w:pStyle w:val="180"/>
            </w:pPr>
            <w: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959" w:type="dxa"/>
            <w:shd w:val="clear" w:color="auto" w:fill="auto"/>
            <w:vAlign w:val="center"/>
          </w:tcPr>
          <w:p>
            <w:pPr>
              <w:pStyle w:val="180"/>
            </w:pPr>
            <w:r>
              <w:rPr>
                <w:rFonts w:hint="eastAsia"/>
              </w:rPr>
              <w:t>同时计算水平与竖向地震作用（水平地震为主）</w:t>
            </w:r>
          </w:p>
        </w:tc>
        <w:tc>
          <w:tcPr>
            <w:tcW w:w="851" w:type="dxa"/>
            <w:shd w:val="clear" w:color="auto" w:fill="auto"/>
          </w:tcPr>
          <w:p>
            <w:pPr>
              <w:pStyle w:val="180"/>
            </w:pPr>
            <w:r>
              <w:t>1.4</w:t>
            </w:r>
          </w:p>
        </w:tc>
        <w:tc>
          <w:tcPr>
            <w:tcW w:w="850" w:type="dxa"/>
            <w:shd w:val="clear" w:color="auto" w:fill="auto"/>
          </w:tcPr>
          <w:p>
            <w:pPr>
              <w:pStyle w:val="180"/>
            </w:pPr>
            <w: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959" w:type="dxa"/>
            <w:shd w:val="clear" w:color="auto" w:fill="auto"/>
            <w:vAlign w:val="center"/>
          </w:tcPr>
          <w:p>
            <w:pPr>
              <w:pStyle w:val="180"/>
            </w:pPr>
            <w:r>
              <w:rPr>
                <w:rFonts w:hint="eastAsia"/>
              </w:rPr>
              <w:t>同时计算水平与竖向地震作用（竖向地震为主）</w:t>
            </w:r>
          </w:p>
        </w:tc>
        <w:tc>
          <w:tcPr>
            <w:tcW w:w="851" w:type="dxa"/>
            <w:shd w:val="clear" w:color="auto" w:fill="auto"/>
          </w:tcPr>
          <w:p>
            <w:pPr>
              <w:pStyle w:val="180"/>
            </w:pPr>
            <w:r>
              <w:t>0.5</w:t>
            </w:r>
          </w:p>
        </w:tc>
        <w:tc>
          <w:tcPr>
            <w:tcW w:w="850" w:type="dxa"/>
            <w:shd w:val="clear" w:color="auto" w:fill="auto"/>
          </w:tcPr>
          <w:p>
            <w:pPr>
              <w:pStyle w:val="180"/>
            </w:pPr>
            <w:r>
              <w:t>1.4</w:t>
            </w:r>
          </w:p>
        </w:tc>
      </w:tr>
    </w:tbl>
    <w:p>
      <w:pPr>
        <w:pStyle w:val="167"/>
      </w:pPr>
      <w:r>
        <w:rPr>
          <w:rFonts w:hint="eastAsia"/>
        </w:rPr>
        <w:t>结构构件的截面抗震验算，应采用下列设计表达式：</w:t>
      </w:r>
    </w:p>
    <w:p>
      <w:pPr>
        <w:pStyle w:val="115"/>
      </w:pPr>
      <w:r>
        <w:tab/>
      </w:r>
      <w:r>
        <w:rPr>
          <w:rFonts w:ascii="Times New Roman" w:hAnsi="Times New Roman"/>
          <w:b/>
          <w:color w:val="000000"/>
          <w:position w:val="-10"/>
        </w:rPr>
        <w:object>
          <v:shape id="_x0000_i1146" o:spt="75" type="#_x0000_t75" style="height:18.35pt;width:50.7pt;" o:ole="t" filled="f" o:preferrelative="t" stroked="f" coordsize="21600,21600">
            <v:path/>
            <v:fill on="f" focussize="0,0"/>
            <v:stroke on="f" joinstyle="miter"/>
            <v:imagedata r:id="rId238" o:title=""/>
            <o:lock v:ext="edit" aspectratio="t"/>
            <w10:wrap type="none"/>
            <w10:anchorlock/>
          </v:shape>
          <o:OLEObject Type="Embed" ProgID="Equation.3" ShapeID="_x0000_i1146" DrawAspect="Content" ObjectID="_1468075846" r:id="rId237">
            <o:LockedField>false</o:LockedField>
          </o:OLEObject>
        </w:object>
      </w:r>
      <w:r>
        <w:rPr>
          <w:rFonts w:ascii="微软雅黑" w:hAnsi="微软雅黑" w:eastAsia="微软雅黑"/>
        </w:rPr>
        <w:tab/>
      </w:r>
      <w:r>
        <w:t>(4.4.2)</w:t>
      </w:r>
    </w:p>
    <w:p>
      <w:pPr>
        <w:pStyle w:val="58"/>
        <w:ind w:firstLine="420"/>
      </w:pPr>
      <w:r>
        <w:rPr>
          <w:rFonts w:hint="eastAsia"/>
        </w:rPr>
        <w:t>式中：</w:t>
      </w:r>
      <w:r>
        <w:rPr>
          <w:position w:val="-10"/>
        </w:rPr>
        <w:object>
          <v:shape id="_x0000_i1147" o:spt="75" type="#_x0000_t75" style="height:16.15pt;width:19.1pt;" o:ole="t" filled="f" o:preferrelative="t" stroked="f" coordsize="21600,21600">
            <v:path/>
            <v:fill on="f" focussize="0,0"/>
            <v:stroke on="f" joinstyle="miter"/>
            <v:imagedata r:id="rId240" o:title=""/>
            <o:lock v:ext="edit" aspectratio="t"/>
            <w10:wrap type="none"/>
            <w10:anchorlock/>
          </v:shape>
          <o:OLEObject Type="Embed" ProgID="Equation.3" ShapeID="_x0000_i1147" DrawAspect="Content" ObjectID="_1468075847" r:id="rId239">
            <o:LockedField>false</o:LockedField>
          </o:OLEObject>
        </w:object>
      </w:r>
      <w:r>
        <w:t>——</w:t>
      </w:r>
      <w:r>
        <w:rPr>
          <w:rFonts w:hint="eastAsia"/>
        </w:rPr>
        <w:t>承载力抗震调整系数，除另有规定外，应按表</w:t>
      </w:r>
      <w:r>
        <w:t>4.4.2</w:t>
      </w:r>
      <w:r>
        <w:rPr>
          <w:rFonts w:hint="eastAsia"/>
        </w:rPr>
        <w:t>采用；</w:t>
      </w:r>
    </w:p>
    <w:p>
      <w:pPr>
        <w:pStyle w:val="58"/>
        <w:ind w:firstLine="1260" w:firstLineChars="600"/>
      </w:pPr>
      <w:r>
        <w:rPr>
          <w:position w:val="-4"/>
        </w:rPr>
        <w:object>
          <v:shape id="_x0000_i1148" o:spt="75" type="#_x0000_t75" style="height:11pt;width:11pt;" o:ole="t" filled="f" o:preferrelative="t" stroked="f" coordsize="21600,21600">
            <v:path/>
            <v:fill on="f" focussize="0,0"/>
            <v:stroke on="f" joinstyle="miter"/>
            <v:imagedata r:id="rId242" o:title=""/>
            <o:lock v:ext="edit" aspectratio="t"/>
            <w10:wrap type="none"/>
            <w10:anchorlock/>
          </v:shape>
          <o:OLEObject Type="Embed" ProgID="Equation.3" ShapeID="_x0000_i1148" DrawAspect="Content" ObjectID="_1468075848" r:id="rId241">
            <o:LockedField>false</o:LockedField>
          </o:OLEObject>
        </w:object>
      </w:r>
      <w:r>
        <w:t>——</w:t>
      </w:r>
      <w:r>
        <w:rPr>
          <w:rFonts w:hint="eastAsia"/>
        </w:rPr>
        <w:t>结构构件的承载力设计值。</w:t>
      </w:r>
    </w:p>
    <w:p>
      <w:pPr>
        <w:pStyle w:val="114"/>
        <w:numPr>
          <w:ilvl w:val="0"/>
          <w:numId w:val="0"/>
        </w:numPr>
        <w:spacing w:before="156" w:after="156"/>
      </w:pPr>
      <w:r>
        <w:rPr>
          <w:rFonts w:hint="eastAsia"/>
        </w:rPr>
        <w:t>表4.4.2  非消能子结构承载力抗震调整系数</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20"/>
        <w:gridCol w:w="3098"/>
        <w:gridCol w:w="1275"/>
        <w:gridCol w:w="11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720" w:type="dxa"/>
            <w:tcBorders>
              <w:top w:val="single" w:color="auto" w:sz="8" w:space="0"/>
              <w:bottom w:val="single" w:color="auto" w:sz="8" w:space="0"/>
            </w:tcBorders>
            <w:shd w:val="clear" w:color="auto" w:fill="auto"/>
            <w:vAlign w:val="center"/>
          </w:tcPr>
          <w:p>
            <w:pPr>
              <w:pStyle w:val="180"/>
            </w:pPr>
            <w:r>
              <w:rPr>
                <w:rFonts w:hint="eastAsia"/>
              </w:rPr>
              <w:t>材料</w:t>
            </w:r>
          </w:p>
        </w:tc>
        <w:tc>
          <w:tcPr>
            <w:tcW w:w="3098" w:type="dxa"/>
            <w:tcBorders>
              <w:top w:val="single" w:color="auto" w:sz="8" w:space="0"/>
              <w:bottom w:val="single" w:color="auto" w:sz="8" w:space="0"/>
            </w:tcBorders>
            <w:shd w:val="clear" w:color="auto" w:fill="auto"/>
            <w:vAlign w:val="center"/>
          </w:tcPr>
          <w:p>
            <w:pPr>
              <w:pStyle w:val="180"/>
            </w:pPr>
            <w:r>
              <w:rPr>
                <w:rFonts w:hint="eastAsia"/>
              </w:rPr>
              <w:t>结构构件</w:t>
            </w:r>
          </w:p>
        </w:tc>
        <w:tc>
          <w:tcPr>
            <w:tcW w:w="1275" w:type="dxa"/>
            <w:tcBorders>
              <w:top w:val="single" w:color="auto" w:sz="8" w:space="0"/>
              <w:bottom w:val="single" w:color="auto" w:sz="8" w:space="0"/>
            </w:tcBorders>
            <w:shd w:val="clear" w:color="auto" w:fill="auto"/>
            <w:vAlign w:val="center"/>
          </w:tcPr>
          <w:p>
            <w:pPr>
              <w:pStyle w:val="180"/>
            </w:pPr>
            <w:r>
              <w:rPr>
                <w:rFonts w:hint="eastAsia"/>
              </w:rPr>
              <w:t>受力状态</w:t>
            </w:r>
          </w:p>
        </w:tc>
        <w:tc>
          <w:tcPr>
            <w:tcW w:w="1134" w:type="dxa"/>
            <w:tcBorders>
              <w:top w:val="single" w:color="auto" w:sz="8" w:space="0"/>
              <w:bottom w:val="single" w:color="auto" w:sz="8" w:space="0"/>
            </w:tcBorders>
            <w:shd w:val="clear" w:color="auto" w:fill="auto"/>
            <w:vAlign w:val="center"/>
          </w:tcPr>
          <w:p>
            <w:pPr>
              <w:pStyle w:val="180"/>
            </w:pPr>
            <w:r>
              <w:rPr>
                <w:rFonts w:ascii="Times New Roman"/>
                <w:color w:val="000000"/>
                <w:position w:val="-10"/>
              </w:rPr>
              <w:object>
                <v:shape id="_x0000_i1149" o:spt="75" type="#_x0000_t75" style="height:18.35pt;width:19.1pt;" o:ole="t" filled="f" o:preferrelative="t" stroked="f" coordsize="21600,21600">
                  <v:path/>
                  <v:fill on="f" focussize="0,0"/>
                  <v:stroke on="f" joinstyle="miter"/>
                  <v:imagedata r:id="rId244" o:title=""/>
                  <o:lock v:ext="edit" aspectratio="t"/>
                  <w10:wrap type="none"/>
                  <w10:anchorlock/>
                </v:shape>
                <o:OLEObject Type="Embed" ProgID="Equation.3" ShapeID="_x0000_i1149" DrawAspect="Content" ObjectID="_1468075849" r:id="rId243">
                  <o:LockedField>false</o:LockedField>
                </o:OLEObject>
              </w:objec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20" w:type="dxa"/>
            <w:vMerge w:val="restart"/>
            <w:tcBorders>
              <w:top w:val="single" w:color="auto" w:sz="8" w:space="0"/>
            </w:tcBorders>
            <w:shd w:val="clear" w:color="auto" w:fill="auto"/>
            <w:vAlign w:val="center"/>
          </w:tcPr>
          <w:p>
            <w:pPr>
              <w:pStyle w:val="180"/>
            </w:pPr>
            <w:r>
              <w:rPr>
                <w:rFonts w:hint="eastAsia"/>
              </w:rPr>
              <w:t>钢</w:t>
            </w:r>
          </w:p>
        </w:tc>
        <w:tc>
          <w:tcPr>
            <w:tcW w:w="3098" w:type="dxa"/>
            <w:tcBorders>
              <w:top w:val="single" w:color="auto" w:sz="8" w:space="0"/>
            </w:tcBorders>
            <w:shd w:val="clear" w:color="auto" w:fill="auto"/>
            <w:vAlign w:val="center"/>
          </w:tcPr>
          <w:p>
            <w:pPr>
              <w:pStyle w:val="180"/>
            </w:pPr>
            <w:r>
              <w:rPr>
                <w:rFonts w:hint="eastAsia"/>
              </w:rPr>
              <w:t>柱、梁、支撑、节点板件、螺栓、焊缝</w:t>
            </w:r>
          </w:p>
        </w:tc>
        <w:tc>
          <w:tcPr>
            <w:tcW w:w="1275" w:type="dxa"/>
            <w:tcBorders>
              <w:top w:val="single" w:color="auto" w:sz="8" w:space="0"/>
            </w:tcBorders>
            <w:shd w:val="clear" w:color="auto" w:fill="auto"/>
            <w:vAlign w:val="center"/>
          </w:tcPr>
          <w:p>
            <w:pPr>
              <w:pStyle w:val="180"/>
            </w:pPr>
            <w:r>
              <w:rPr>
                <w:rFonts w:hint="eastAsia"/>
              </w:rPr>
              <w:t>强度</w:t>
            </w:r>
          </w:p>
        </w:tc>
        <w:tc>
          <w:tcPr>
            <w:tcW w:w="1134" w:type="dxa"/>
            <w:tcBorders>
              <w:top w:val="single" w:color="auto" w:sz="8" w:space="0"/>
            </w:tcBorders>
            <w:shd w:val="clear" w:color="auto" w:fill="auto"/>
            <w:vAlign w:val="center"/>
          </w:tcPr>
          <w:p>
            <w:pPr>
              <w:pStyle w:val="180"/>
            </w:pPr>
            <w:r>
              <w:t>0.75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20" w:type="dxa"/>
            <w:vMerge w:val="continue"/>
            <w:shd w:val="clear" w:color="auto" w:fill="auto"/>
            <w:vAlign w:val="center"/>
          </w:tcPr>
          <w:p>
            <w:pPr>
              <w:pStyle w:val="180"/>
            </w:pPr>
          </w:p>
        </w:tc>
        <w:tc>
          <w:tcPr>
            <w:tcW w:w="3098" w:type="dxa"/>
            <w:shd w:val="clear" w:color="auto" w:fill="auto"/>
            <w:vAlign w:val="center"/>
          </w:tcPr>
          <w:p>
            <w:pPr>
              <w:pStyle w:val="180"/>
            </w:pPr>
            <w:r>
              <w:rPr>
                <w:rFonts w:hint="eastAsia"/>
              </w:rPr>
              <w:t>柱、支撑</w:t>
            </w:r>
          </w:p>
        </w:tc>
        <w:tc>
          <w:tcPr>
            <w:tcW w:w="1275" w:type="dxa"/>
            <w:shd w:val="clear" w:color="auto" w:fill="auto"/>
            <w:vAlign w:val="center"/>
          </w:tcPr>
          <w:p>
            <w:pPr>
              <w:pStyle w:val="180"/>
            </w:pPr>
            <w:r>
              <w:rPr>
                <w:rFonts w:hint="eastAsia"/>
              </w:rPr>
              <w:t>稳定</w:t>
            </w:r>
          </w:p>
        </w:tc>
        <w:tc>
          <w:tcPr>
            <w:tcW w:w="1134" w:type="dxa"/>
            <w:shd w:val="clear" w:color="auto" w:fill="auto"/>
            <w:vAlign w:val="center"/>
          </w:tcPr>
          <w:p>
            <w:pPr>
              <w:pStyle w:val="180"/>
            </w:pPr>
            <w:r>
              <w:t>0.80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720" w:type="dxa"/>
            <w:vMerge w:val="restart"/>
            <w:shd w:val="clear" w:color="auto" w:fill="auto"/>
            <w:vAlign w:val="center"/>
          </w:tcPr>
          <w:p>
            <w:pPr>
              <w:pStyle w:val="180"/>
            </w:pPr>
            <w:r>
              <w:rPr>
                <w:rFonts w:hint="eastAsia"/>
              </w:rPr>
              <w:t>砌体</w:t>
            </w:r>
          </w:p>
        </w:tc>
        <w:tc>
          <w:tcPr>
            <w:tcW w:w="3098" w:type="dxa"/>
            <w:shd w:val="clear" w:color="auto" w:fill="auto"/>
            <w:vAlign w:val="center"/>
          </w:tcPr>
          <w:p>
            <w:pPr>
              <w:pStyle w:val="180"/>
            </w:pPr>
            <w:r>
              <w:rPr>
                <w:rFonts w:hint="eastAsia"/>
              </w:rPr>
              <w:t>两端均有构造柱、芯柱的抗震</w:t>
            </w:r>
          </w:p>
        </w:tc>
        <w:tc>
          <w:tcPr>
            <w:tcW w:w="1275" w:type="dxa"/>
            <w:shd w:val="clear" w:color="auto" w:fill="auto"/>
            <w:vAlign w:val="center"/>
          </w:tcPr>
          <w:p>
            <w:pPr>
              <w:pStyle w:val="180"/>
            </w:pPr>
            <w:r>
              <w:rPr>
                <w:rFonts w:hint="eastAsia"/>
              </w:rPr>
              <w:t>受剪</w:t>
            </w:r>
          </w:p>
        </w:tc>
        <w:tc>
          <w:tcPr>
            <w:tcW w:w="1134" w:type="dxa"/>
            <w:shd w:val="clear" w:color="auto" w:fill="auto"/>
            <w:vAlign w:val="center"/>
          </w:tcPr>
          <w:p>
            <w:pPr>
              <w:pStyle w:val="180"/>
            </w:pPr>
            <w:r>
              <w:t>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20" w:type="dxa"/>
            <w:vMerge w:val="continue"/>
            <w:shd w:val="clear" w:color="auto" w:fill="auto"/>
            <w:vAlign w:val="center"/>
          </w:tcPr>
          <w:p>
            <w:pPr>
              <w:pStyle w:val="180"/>
            </w:pPr>
          </w:p>
        </w:tc>
        <w:tc>
          <w:tcPr>
            <w:tcW w:w="3098" w:type="dxa"/>
            <w:shd w:val="clear" w:color="auto" w:fill="auto"/>
            <w:vAlign w:val="center"/>
          </w:tcPr>
          <w:p>
            <w:pPr>
              <w:pStyle w:val="180"/>
            </w:pPr>
            <w:r>
              <w:rPr>
                <w:rFonts w:hint="eastAsia"/>
              </w:rPr>
              <w:t>其它抗震墙</w:t>
            </w:r>
          </w:p>
        </w:tc>
        <w:tc>
          <w:tcPr>
            <w:tcW w:w="1275" w:type="dxa"/>
            <w:shd w:val="clear" w:color="auto" w:fill="auto"/>
            <w:vAlign w:val="center"/>
          </w:tcPr>
          <w:p>
            <w:pPr>
              <w:pStyle w:val="180"/>
            </w:pPr>
            <w:r>
              <w:rPr>
                <w:rFonts w:hint="eastAsia"/>
              </w:rPr>
              <w:t>受剪</w:t>
            </w:r>
          </w:p>
        </w:tc>
        <w:tc>
          <w:tcPr>
            <w:tcW w:w="1134" w:type="dxa"/>
            <w:shd w:val="clear" w:color="auto" w:fill="auto"/>
            <w:vAlign w:val="center"/>
          </w:tcPr>
          <w:p>
            <w:pPr>
              <w:pStyle w:val="180"/>
            </w:pPr>
            <w: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20" w:type="dxa"/>
            <w:vMerge w:val="restart"/>
            <w:shd w:val="clear" w:color="auto" w:fill="auto"/>
            <w:vAlign w:val="center"/>
          </w:tcPr>
          <w:p>
            <w:pPr>
              <w:pStyle w:val="180"/>
            </w:pPr>
            <w:r>
              <w:rPr>
                <w:rFonts w:hint="eastAsia"/>
              </w:rPr>
              <w:t>混凝土</w:t>
            </w:r>
          </w:p>
        </w:tc>
        <w:tc>
          <w:tcPr>
            <w:tcW w:w="3098" w:type="dxa"/>
            <w:shd w:val="clear" w:color="auto" w:fill="auto"/>
            <w:vAlign w:val="center"/>
          </w:tcPr>
          <w:p>
            <w:pPr>
              <w:pStyle w:val="180"/>
            </w:pPr>
            <w:r>
              <w:rPr>
                <w:rFonts w:hint="eastAsia"/>
              </w:rPr>
              <w:t>梁</w:t>
            </w:r>
          </w:p>
        </w:tc>
        <w:tc>
          <w:tcPr>
            <w:tcW w:w="1275" w:type="dxa"/>
            <w:shd w:val="clear" w:color="auto" w:fill="auto"/>
            <w:vAlign w:val="center"/>
          </w:tcPr>
          <w:p>
            <w:pPr>
              <w:pStyle w:val="180"/>
            </w:pPr>
            <w:r>
              <w:rPr>
                <w:rFonts w:hint="eastAsia"/>
              </w:rPr>
              <w:t>受弯</w:t>
            </w:r>
          </w:p>
        </w:tc>
        <w:tc>
          <w:tcPr>
            <w:tcW w:w="1134" w:type="dxa"/>
            <w:shd w:val="clear" w:color="auto" w:fill="auto"/>
            <w:vAlign w:val="center"/>
          </w:tcPr>
          <w:p>
            <w:pPr>
              <w:pStyle w:val="180"/>
            </w:pPr>
            <w:r>
              <w:t>0.75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20" w:type="dxa"/>
            <w:vMerge w:val="continue"/>
            <w:shd w:val="clear" w:color="auto" w:fill="auto"/>
            <w:vAlign w:val="center"/>
          </w:tcPr>
          <w:p>
            <w:pPr>
              <w:pStyle w:val="180"/>
            </w:pPr>
          </w:p>
        </w:tc>
        <w:tc>
          <w:tcPr>
            <w:tcW w:w="3098" w:type="dxa"/>
            <w:shd w:val="clear" w:color="auto" w:fill="auto"/>
            <w:vAlign w:val="center"/>
          </w:tcPr>
          <w:p>
            <w:pPr>
              <w:pStyle w:val="180"/>
            </w:pPr>
            <w:r>
              <w:rPr>
                <w:rFonts w:hint="eastAsia"/>
              </w:rPr>
              <w:t>轴压比小于0.15的柱</w:t>
            </w:r>
          </w:p>
        </w:tc>
        <w:tc>
          <w:tcPr>
            <w:tcW w:w="1275" w:type="dxa"/>
            <w:shd w:val="clear" w:color="auto" w:fill="auto"/>
            <w:vAlign w:val="center"/>
          </w:tcPr>
          <w:p>
            <w:pPr>
              <w:pStyle w:val="180"/>
            </w:pPr>
            <w:r>
              <w:rPr>
                <w:rFonts w:hint="eastAsia"/>
              </w:rPr>
              <w:t>偏压</w:t>
            </w:r>
          </w:p>
        </w:tc>
        <w:tc>
          <w:tcPr>
            <w:tcW w:w="1134" w:type="dxa"/>
            <w:shd w:val="clear" w:color="auto" w:fill="auto"/>
            <w:vAlign w:val="center"/>
          </w:tcPr>
          <w:p>
            <w:pPr>
              <w:pStyle w:val="180"/>
            </w:pPr>
            <w:r>
              <w:t>0.75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720" w:type="dxa"/>
            <w:vMerge w:val="continue"/>
            <w:shd w:val="clear" w:color="auto" w:fill="auto"/>
            <w:vAlign w:val="center"/>
          </w:tcPr>
          <w:p>
            <w:pPr>
              <w:pStyle w:val="180"/>
            </w:pPr>
          </w:p>
        </w:tc>
        <w:tc>
          <w:tcPr>
            <w:tcW w:w="3098" w:type="dxa"/>
            <w:shd w:val="clear" w:color="auto" w:fill="auto"/>
            <w:vAlign w:val="center"/>
          </w:tcPr>
          <w:p>
            <w:pPr>
              <w:pStyle w:val="180"/>
            </w:pPr>
            <w:r>
              <w:rPr>
                <w:rFonts w:hint="eastAsia"/>
              </w:rPr>
              <w:t>轴压比不小于0.15的柱</w:t>
            </w:r>
          </w:p>
        </w:tc>
        <w:tc>
          <w:tcPr>
            <w:tcW w:w="1275" w:type="dxa"/>
            <w:shd w:val="clear" w:color="auto" w:fill="auto"/>
            <w:vAlign w:val="center"/>
          </w:tcPr>
          <w:p>
            <w:pPr>
              <w:pStyle w:val="180"/>
            </w:pPr>
            <w:r>
              <w:rPr>
                <w:rFonts w:hint="eastAsia"/>
              </w:rPr>
              <w:t>偏压</w:t>
            </w:r>
          </w:p>
        </w:tc>
        <w:tc>
          <w:tcPr>
            <w:tcW w:w="1134" w:type="dxa"/>
            <w:shd w:val="clear" w:color="auto" w:fill="auto"/>
            <w:vAlign w:val="center"/>
          </w:tcPr>
          <w:p>
            <w:pPr>
              <w:pStyle w:val="180"/>
            </w:pPr>
            <w:r>
              <w:t>0.80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20" w:type="dxa"/>
            <w:vMerge w:val="continue"/>
            <w:shd w:val="clear" w:color="auto" w:fill="auto"/>
            <w:vAlign w:val="center"/>
          </w:tcPr>
          <w:p>
            <w:pPr>
              <w:pStyle w:val="180"/>
            </w:pPr>
          </w:p>
        </w:tc>
        <w:tc>
          <w:tcPr>
            <w:tcW w:w="3098" w:type="dxa"/>
            <w:shd w:val="clear" w:color="auto" w:fill="auto"/>
            <w:vAlign w:val="center"/>
          </w:tcPr>
          <w:p>
            <w:pPr>
              <w:pStyle w:val="180"/>
            </w:pPr>
            <w:r>
              <w:rPr>
                <w:rFonts w:hint="eastAsia"/>
              </w:rPr>
              <w:t>抗震墙</w:t>
            </w:r>
          </w:p>
        </w:tc>
        <w:tc>
          <w:tcPr>
            <w:tcW w:w="1275" w:type="dxa"/>
            <w:shd w:val="clear" w:color="auto" w:fill="auto"/>
            <w:vAlign w:val="center"/>
          </w:tcPr>
          <w:p>
            <w:pPr>
              <w:pStyle w:val="180"/>
            </w:pPr>
            <w:r>
              <w:rPr>
                <w:rFonts w:hint="eastAsia"/>
              </w:rPr>
              <w:t>偏压</w:t>
            </w:r>
          </w:p>
        </w:tc>
        <w:tc>
          <w:tcPr>
            <w:tcW w:w="1134" w:type="dxa"/>
            <w:shd w:val="clear" w:color="auto" w:fill="auto"/>
            <w:vAlign w:val="center"/>
          </w:tcPr>
          <w:p>
            <w:pPr>
              <w:pStyle w:val="180"/>
            </w:pPr>
            <w:r>
              <w:t>0.85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20" w:type="dxa"/>
            <w:vMerge w:val="continue"/>
            <w:shd w:val="clear" w:color="auto" w:fill="auto"/>
            <w:vAlign w:val="center"/>
          </w:tcPr>
          <w:p>
            <w:pPr>
              <w:pStyle w:val="180"/>
            </w:pPr>
          </w:p>
        </w:tc>
        <w:tc>
          <w:tcPr>
            <w:tcW w:w="3098" w:type="dxa"/>
            <w:shd w:val="clear" w:color="auto" w:fill="auto"/>
            <w:vAlign w:val="center"/>
          </w:tcPr>
          <w:p>
            <w:pPr>
              <w:pStyle w:val="180"/>
            </w:pPr>
            <w:r>
              <w:rPr>
                <w:rFonts w:hint="eastAsia"/>
              </w:rPr>
              <w:t>各类构件</w:t>
            </w:r>
          </w:p>
        </w:tc>
        <w:tc>
          <w:tcPr>
            <w:tcW w:w="1275" w:type="dxa"/>
            <w:shd w:val="clear" w:color="auto" w:fill="auto"/>
            <w:vAlign w:val="center"/>
          </w:tcPr>
          <w:p>
            <w:pPr>
              <w:pStyle w:val="180"/>
            </w:pPr>
            <w:r>
              <w:rPr>
                <w:rFonts w:hint="eastAsia"/>
              </w:rPr>
              <w:t>受剪、偏拉</w:t>
            </w:r>
          </w:p>
        </w:tc>
        <w:tc>
          <w:tcPr>
            <w:tcW w:w="1134" w:type="dxa"/>
            <w:shd w:val="clear" w:color="auto" w:fill="auto"/>
            <w:vAlign w:val="center"/>
          </w:tcPr>
          <w:p>
            <w:pPr>
              <w:pStyle w:val="180"/>
            </w:pPr>
            <w:r>
              <w:t>0.85</w:t>
            </w:r>
          </w:p>
        </w:tc>
      </w:tr>
    </w:tbl>
    <w:p>
      <w:pPr>
        <w:adjustRightInd/>
        <w:spacing w:before="156" w:beforeLines="50" w:line="240" w:lineRule="auto"/>
        <w:rPr>
          <w:rFonts w:ascii="华文楷体" w:hAnsi="华文楷体" w:eastAsia="华文楷体" w:cs="华文楷体"/>
          <w:color w:val="FF0000"/>
          <w:szCs w:val="22"/>
        </w:rPr>
      </w:pPr>
      <w:r>
        <w:rPr>
          <w:rFonts w:hint="eastAsia" w:ascii="华文楷体" w:hAnsi="华文楷体" w:eastAsia="华文楷体" w:cs="华文楷体"/>
          <w:color w:val="FF0000"/>
          <w:szCs w:val="22"/>
        </w:rPr>
        <w:t>条文说明</w:t>
      </w:r>
      <w:r>
        <w:rPr>
          <w:rFonts w:ascii="华文楷体" w:hAnsi="华文楷体" w:eastAsia="华文楷体" w:cs="华文楷体"/>
          <w:color w:val="FF0000"/>
          <w:szCs w:val="22"/>
        </w:rPr>
        <w:t>4.4.2</w:t>
      </w:r>
      <w:r>
        <w:rPr>
          <w:rFonts w:hint="eastAsia" w:ascii="华文楷体" w:hAnsi="华文楷体" w:eastAsia="华文楷体" w:cs="华文楷体"/>
          <w:color w:val="FF0000"/>
          <w:szCs w:val="22"/>
        </w:rPr>
        <w:t>消能子结构中梁、柱、墙构件宜按重要构件设计，并应考虑罕遇地震作用效应和其他荷载作用标准值的效应，其值应小于构件极限承载力，因此不考虑承载力抗震调整系数，同时，消能部件及其连接件承载力计算亦不考虑承载力抗震调整系数。</w:t>
      </w:r>
    </w:p>
    <w:p>
      <w:pPr>
        <w:pStyle w:val="167"/>
      </w:pPr>
      <w:r>
        <w:rPr>
          <w:rFonts w:hint="eastAsia"/>
        </w:rPr>
        <w:t>当仅计算竖向地震作用时，各类结构构件承载力抗震调整系数均应采用1.0。</w:t>
      </w:r>
    </w:p>
    <w:p>
      <w:pPr>
        <w:pStyle w:val="107"/>
        <w:spacing w:before="156" w:after="156"/>
        <w:jc w:val="center"/>
      </w:pPr>
      <w:r>
        <w:rPr>
          <w:rFonts w:hint="eastAsia"/>
        </w:rPr>
        <w:t>抗震变形验算</w:t>
      </w:r>
    </w:p>
    <w:p>
      <w:pPr>
        <w:pStyle w:val="167"/>
      </w:pPr>
      <w:r>
        <w:rPr>
          <w:rFonts w:hint="eastAsia"/>
        </w:rPr>
        <w:t>表4.5.1所列各类结构应进行多遇地震作用下的抗震变形验算，其楼层内最大的弹性层间位移应符合下式要求：</w:t>
      </w:r>
    </w:p>
    <w:p>
      <w:pPr>
        <w:pStyle w:val="115"/>
      </w:pPr>
      <w:r>
        <w:tab/>
      </w:r>
      <w:r>
        <w:rPr>
          <w:rFonts w:ascii="Times New Roman" w:hAnsi="Times New Roman"/>
          <w:color w:val="000000"/>
          <w:position w:val="-10"/>
        </w:rPr>
        <w:object>
          <v:shape id="_x0000_i1150" o:spt="75" type="#_x0000_t75" style="height:18.35pt;width:53.65pt;" o:ole="t" filled="f" o:preferrelative="t" stroked="f" coordsize="21600,21600">
            <v:path/>
            <v:fill on="f" focussize="0,0"/>
            <v:stroke on="f" joinstyle="miter"/>
            <v:imagedata r:id="rId246" o:title=""/>
            <o:lock v:ext="edit" aspectratio="t"/>
            <w10:wrap type="none"/>
            <w10:anchorlock/>
          </v:shape>
          <o:OLEObject Type="Embed" ProgID="Equation.3" ShapeID="_x0000_i1150" DrawAspect="Content" ObjectID="_1468075850" r:id="rId245">
            <o:LockedField>false</o:LockedField>
          </o:OLEObject>
        </w:object>
      </w:r>
      <w:r>
        <w:rPr>
          <w:rFonts w:ascii="微软雅黑" w:hAnsi="微软雅黑" w:eastAsia="微软雅黑"/>
        </w:rPr>
        <w:tab/>
      </w:r>
      <w:r>
        <w:t>(4.5.1)</w:t>
      </w:r>
    </w:p>
    <w:p>
      <w:pPr>
        <w:pStyle w:val="58"/>
        <w:ind w:left="1890" w:leftChars="200" w:hanging="1470" w:hangingChars="700"/>
      </w:pPr>
      <w:r>
        <w:rPr>
          <w:rFonts w:hint="eastAsia"/>
        </w:rPr>
        <w:t>式中：</w:t>
      </w:r>
      <w:r>
        <w:t xml:space="preserve"> </w:t>
      </w:r>
      <w:r>
        <w:rPr>
          <w:position w:val="-10"/>
        </w:rPr>
        <w:object>
          <v:shape id="_x0000_i1151" o:spt="75" type="#_x0000_t75" style="height:18.35pt;width:19.1pt;" o:ole="t" filled="f" o:preferrelative="t" stroked="f" coordsize="21600,21600">
            <v:path/>
            <v:fill on="f" focussize="0,0"/>
            <v:stroke on="f" joinstyle="miter"/>
            <v:imagedata r:id="rId248" o:title=""/>
            <o:lock v:ext="edit" aspectratio="t"/>
            <w10:wrap type="none"/>
            <w10:anchorlock/>
          </v:shape>
          <o:OLEObject Type="Embed" ProgID="Equation.3" ShapeID="_x0000_i1151" DrawAspect="Content" ObjectID="_1468075851" r:id="rId247">
            <o:LockedField>false</o:LockedField>
          </o:OLEObject>
        </w:object>
      </w:r>
      <w:r>
        <w:rPr>
          <w:strike/>
        </w:rPr>
        <w:t xml:space="preserve">    </w:t>
      </w:r>
      <w:r>
        <w:rPr>
          <w:rFonts w:hint="eastAsia"/>
        </w:rPr>
        <w:t>多遇地震作用标准值产生的楼层内最大的弹性层间位移；计算时，除以弯曲变形为主的高层建筑外，可不扣除结构整体弯曲变形；应计入扭转变形，各作用分项系数均应采用</w:t>
      </w:r>
      <w:r>
        <w:t>1.0</w:t>
      </w:r>
      <w:r>
        <w:rPr>
          <w:rFonts w:hint="eastAsia"/>
        </w:rPr>
        <w:t>；钢筋混凝土结构构件的截面刚度可采用弹性刚度；</w:t>
      </w:r>
    </w:p>
    <w:p>
      <w:pPr>
        <w:pStyle w:val="58"/>
        <w:ind w:firstLine="1260" w:firstLineChars="600"/>
      </w:pPr>
      <w:r>
        <w:rPr>
          <w:position w:val="-10"/>
        </w:rPr>
        <w:object>
          <v:shape id="_x0000_i1152" o:spt="75" type="#_x0000_t75" style="height:18.35pt;width:18.35pt;" o:ole="t" filled="f" o:preferrelative="t" stroked="f" coordsize="21600,21600">
            <v:path/>
            <v:fill on="f" focussize="0,0"/>
            <v:stroke on="f" joinstyle="miter"/>
            <v:imagedata r:id="rId250" o:title=""/>
            <o:lock v:ext="edit" aspectratio="t"/>
            <w10:wrap type="none"/>
            <w10:anchorlock/>
          </v:shape>
          <o:OLEObject Type="Embed" ProgID="Equation.3" ShapeID="_x0000_i1152" DrawAspect="Content" ObjectID="_1468075852" r:id="rId249">
            <o:LockedField>false</o:LockedField>
          </o:OLEObject>
        </w:object>
      </w:r>
      <w:r>
        <w:rPr>
          <w:strike/>
        </w:rPr>
        <w:t xml:space="preserve">    </w:t>
      </w:r>
      <w:r>
        <w:rPr>
          <w:rFonts w:hint="eastAsia"/>
        </w:rPr>
        <w:t>弹性层间位移角限值；</w:t>
      </w:r>
    </w:p>
    <w:p>
      <w:pPr>
        <w:pStyle w:val="58"/>
        <w:ind w:firstLine="1470" w:firstLineChars="700"/>
      </w:pPr>
      <w:r>
        <w:rPr>
          <w:position w:val="-6"/>
        </w:rPr>
        <w:object>
          <v:shape id="_x0000_i1153" o:spt="75" type="#_x0000_t75" style="height:13.95pt;width:10.3pt;" o:ole="t" filled="f" o:preferrelative="t" stroked="f" coordsize="21600,21600">
            <v:path/>
            <v:fill on="f" focussize="0,0"/>
            <v:stroke on="f" joinstyle="miter"/>
            <v:imagedata r:id="rId252" o:title=""/>
            <o:lock v:ext="edit" aspectratio="t"/>
            <w10:wrap type="none"/>
            <w10:anchorlock/>
          </v:shape>
          <o:OLEObject Type="Embed" ProgID="Equation.3" ShapeID="_x0000_i1153" DrawAspect="Content" ObjectID="_1468075853" r:id="rId251">
            <o:LockedField>false</o:LockedField>
          </o:OLEObject>
        </w:object>
      </w:r>
      <w:r>
        <w:rPr>
          <w:strike/>
        </w:rPr>
        <w:t xml:space="preserve">    </w:t>
      </w:r>
      <w:r>
        <w:rPr>
          <w:rFonts w:hint="eastAsia"/>
        </w:rPr>
        <w:t>计算楼层层高。</w:t>
      </w:r>
    </w:p>
    <w:p>
      <w:pPr>
        <w:pStyle w:val="58"/>
        <w:ind w:firstLine="420"/>
      </w:pPr>
      <w:r>
        <w:rPr>
          <w:rFonts w:hint="eastAsia"/>
        </w:rPr>
        <w:t>弹性层间位移角限值，宜符合以下规定：</w:t>
      </w:r>
    </w:p>
    <w:p>
      <w:pPr>
        <w:pStyle w:val="58"/>
        <w:ind w:firstLine="420"/>
        <w:rPr>
          <w:color w:val="000000" w:themeColor="text1"/>
          <w14:textFill>
            <w14:solidFill>
              <w14:schemeClr w14:val="tx1"/>
            </w14:solidFill>
          </w14:textFill>
        </w:rPr>
      </w:pP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高度不大于</w:t>
      </w:r>
      <w:r>
        <w:rPr>
          <w:color w:val="000000" w:themeColor="text1"/>
          <w14:textFill>
            <w14:solidFill>
              <w14:schemeClr w14:val="tx1"/>
            </w14:solidFill>
          </w14:textFill>
        </w:rPr>
        <w:t>150m</w:t>
      </w:r>
      <w:r>
        <w:rPr>
          <w:rFonts w:hint="eastAsia"/>
          <w:color w:val="000000" w:themeColor="text1"/>
          <w14:textFill>
            <w14:solidFill>
              <w14:schemeClr w14:val="tx1"/>
            </w14:solidFill>
          </w14:textFill>
        </w:rPr>
        <w:t>的建筑，其弹性层间位移角限值宜按表</w:t>
      </w:r>
      <w:r>
        <w:rPr>
          <w:color w:val="000000" w:themeColor="text1"/>
          <w14:textFill>
            <w14:solidFill>
              <w14:schemeClr w14:val="tx1"/>
            </w14:solidFill>
          </w14:textFill>
        </w:rPr>
        <w:t>4.5.1</w:t>
      </w:r>
      <w:r>
        <w:rPr>
          <w:rFonts w:hint="eastAsia"/>
          <w:color w:val="000000" w:themeColor="text1"/>
          <w14:textFill>
            <w14:solidFill>
              <w14:schemeClr w14:val="tx1"/>
            </w14:solidFill>
          </w14:textFill>
        </w:rPr>
        <w:t>采用。</w:t>
      </w:r>
    </w:p>
    <w:p>
      <w:pPr>
        <w:pStyle w:val="58"/>
        <w:ind w:firstLine="420"/>
        <w:rPr>
          <w:color w:val="000000" w:themeColor="text1"/>
          <w14:textFill>
            <w14:solidFill>
              <w14:schemeClr w14:val="tx1"/>
            </w14:solidFill>
          </w14:textFill>
        </w:rPr>
      </w:pP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高度不小于</w:t>
      </w:r>
      <w:r>
        <w:rPr>
          <w:color w:val="000000" w:themeColor="text1"/>
          <w14:textFill>
            <w14:solidFill>
              <w14:schemeClr w14:val="tx1"/>
            </w14:solidFill>
          </w14:textFill>
        </w:rPr>
        <w:t>250m</w:t>
      </w:r>
      <w:r>
        <w:rPr>
          <w:rFonts w:hint="eastAsia"/>
          <w:color w:val="000000" w:themeColor="text1"/>
          <w14:textFill>
            <w14:solidFill>
              <w14:schemeClr w14:val="tx1"/>
            </w14:solidFill>
          </w14:textFill>
        </w:rPr>
        <w:t>的建筑，其弹性层间位移角限值不宜大于</w:t>
      </w:r>
      <w:r>
        <w:rPr>
          <w:color w:val="000000" w:themeColor="text1"/>
          <w14:textFill>
            <w14:solidFill>
              <w14:schemeClr w14:val="tx1"/>
            </w14:solidFill>
          </w14:textFill>
        </w:rPr>
        <w:t>1/500</w:t>
      </w:r>
      <w:r>
        <w:rPr>
          <w:rFonts w:hint="eastAsia"/>
          <w:color w:val="000000" w:themeColor="text1"/>
          <w14:textFill>
            <w14:solidFill>
              <w14:schemeClr w14:val="tx1"/>
            </w14:solidFill>
          </w14:textFill>
        </w:rPr>
        <w:t>。</w:t>
      </w:r>
    </w:p>
    <w:p>
      <w:pPr>
        <w:pStyle w:val="58"/>
        <w:ind w:firstLine="420"/>
      </w:pP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高度在</w:t>
      </w:r>
      <w:r>
        <w:rPr>
          <w:color w:val="000000" w:themeColor="text1"/>
          <w14:textFill>
            <w14:solidFill>
              <w14:schemeClr w14:val="tx1"/>
            </w14:solidFill>
          </w14:textFill>
        </w:rPr>
        <w:t>150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250m</w:t>
      </w:r>
      <w:r>
        <w:rPr>
          <w:rFonts w:hint="eastAsia"/>
          <w:color w:val="000000" w:themeColor="text1"/>
          <w14:textFill>
            <w14:solidFill>
              <w14:schemeClr w14:val="tx1"/>
            </w14:solidFill>
          </w14:textFill>
        </w:rPr>
        <w:t>之间的建筑，其弹性层间位移角限值可按本条第</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款和第</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款的</w:t>
      </w:r>
      <w:r>
        <w:rPr>
          <w:rFonts w:hint="eastAsia"/>
        </w:rPr>
        <w:t>限值线性插入取用。</w:t>
      </w:r>
    </w:p>
    <w:p>
      <w:pPr>
        <w:pStyle w:val="114"/>
        <w:numPr>
          <w:ilvl w:val="0"/>
          <w:numId w:val="0"/>
        </w:numPr>
        <w:spacing w:before="156" w:after="156"/>
      </w:pPr>
      <w:r>
        <w:rPr>
          <w:rFonts w:hint="eastAsia"/>
        </w:rPr>
        <w:t>表4.5.1  多遇地震作用下消能减震、隔震结构弹性层间位移角限值</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667"/>
        <w:gridCol w:w="7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4667" w:type="dxa"/>
            <w:tcBorders>
              <w:top w:val="single" w:color="auto" w:sz="8" w:space="0"/>
              <w:bottom w:val="single" w:color="auto" w:sz="8" w:space="0"/>
            </w:tcBorders>
            <w:shd w:val="clear" w:color="auto" w:fill="auto"/>
          </w:tcPr>
          <w:p>
            <w:pPr>
              <w:pStyle w:val="180"/>
            </w:pPr>
            <w:r>
              <w:rPr>
                <w:rFonts w:hint="eastAsia"/>
              </w:rPr>
              <w:t>结构类型</w:t>
            </w:r>
          </w:p>
        </w:tc>
        <w:tc>
          <w:tcPr>
            <w:tcW w:w="720" w:type="dxa"/>
            <w:tcBorders>
              <w:top w:val="single" w:color="auto" w:sz="8" w:space="0"/>
              <w:bottom w:val="single" w:color="auto" w:sz="8" w:space="0"/>
            </w:tcBorders>
            <w:shd w:val="clear" w:color="auto" w:fill="auto"/>
            <w:vAlign w:val="center"/>
          </w:tcPr>
          <w:p>
            <w:pPr>
              <w:snapToGrid w:val="0"/>
              <w:jc w:val="center"/>
              <w:rPr>
                <w:rFonts w:ascii="Times New Roman" w:hAnsi="Times New Roman"/>
                <w:color w:val="000000"/>
                <w:sz w:val="18"/>
              </w:rPr>
            </w:pPr>
            <w:r>
              <w:rPr>
                <w:rFonts w:ascii="Times New Roman" w:hAnsi="Times New Roman"/>
                <w:color w:val="000000"/>
                <w:sz w:val="18"/>
              </w:rPr>
              <w:t>[</w:t>
            </w:r>
            <w:r>
              <w:rPr>
                <w:rFonts w:ascii="Times New Roman" w:hAnsi="Times New Roman"/>
                <w:color w:val="000000"/>
                <w:position w:val="-10"/>
                <w:sz w:val="18"/>
              </w:rPr>
              <w:object>
                <v:shape id="_x0000_i1154" o:spt="75" type="#_x0000_t75" style="height:18.35pt;width:13.95pt;" o:ole="t" filled="f" o:preferrelative="t" stroked="f" coordsize="21600,21600">
                  <v:path/>
                  <v:fill on="f" focussize="0,0"/>
                  <v:stroke on="f" joinstyle="miter"/>
                  <v:imagedata r:id="rId254" o:title=""/>
                  <o:lock v:ext="edit" aspectratio="t"/>
                  <w10:wrap type="none"/>
                  <w10:anchorlock/>
                </v:shape>
                <o:OLEObject Type="Embed" ProgID="Equation.3" ShapeID="_x0000_i1154" DrawAspect="Content" ObjectID="_1468075854" r:id="rId253">
                  <o:LockedField>false</o:LockedField>
                </o:OLEObject>
              </w:object>
            </w:r>
            <w:r>
              <w:rPr>
                <w:rFonts w:ascii="Times New Roman" w:hAnsi="Times New Roman"/>
                <w:color w:val="000000"/>
                <w:sz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Borders>
              <w:top w:val="single" w:color="auto" w:sz="8" w:space="0"/>
            </w:tcBorders>
            <w:shd w:val="clear" w:color="auto" w:fill="auto"/>
          </w:tcPr>
          <w:p>
            <w:pPr>
              <w:pStyle w:val="180"/>
            </w:pPr>
            <w:r>
              <w:rPr>
                <w:rFonts w:hint="eastAsia"/>
              </w:rPr>
              <w:t>钢筋混凝土框架</w:t>
            </w:r>
          </w:p>
        </w:tc>
        <w:tc>
          <w:tcPr>
            <w:tcW w:w="720" w:type="dxa"/>
            <w:tcBorders>
              <w:top w:val="single" w:color="auto" w:sz="8" w:space="0"/>
            </w:tcBorders>
            <w:shd w:val="clear" w:color="auto" w:fill="auto"/>
          </w:tcPr>
          <w:p>
            <w:pPr>
              <w:pStyle w:val="180"/>
            </w:pPr>
            <w:r>
              <w:t>1/550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shd w:val="clear" w:color="auto" w:fill="auto"/>
          </w:tcPr>
          <w:p>
            <w:pPr>
              <w:pStyle w:val="180"/>
            </w:pPr>
            <w:r>
              <w:rPr>
                <w:rFonts w:hint="eastAsia"/>
              </w:rPr>
              <w:t>钢筋混凝土框架－抗震墙、框架－核心筒、板柱－抗震墙</w:t>
            </w:r>
          </w:p>
        </w:tc>
        <w:tc>
          <w:tcPr>
            <w:tcW w:w="720" w:type="dxa"/>
            <w:shd w:val="clear" w:color="auto" w:fill="auto"/>
          </w:tcPr>
          <w:p>
            <w:pPr>
              <w:pStyle w:val="180"/>
            </w:pPr>
            <w:r>
              <w:t>1/800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shd w:val="clear" w:color="auto" w:fill="auto"/>
          </w:tcPr>
          <w:p>
            <w:pPr>
              <w:pStyle w:val="180"/>
            </w:pPr>
            <w:r>
              <w:rPr>
                <w:rFonts w:hint="eastAsia"/>
              </w:rPr>
              <w:t>钢筋混凝土抗震墙、筒中筒、钢筋混凝土框支层</w:t>
            </w:r>
          </w:p>
        </w:tc>
        <w:tc>
          <w:tcPr>
            <w:tcW w:w="720" w:type="dxa"/>
            <w:shd w:val="clear" w:color="auto" w:fill="auto"/>
          </w:tcPr>
          <w:p>
            <w:pPr>
              <w:pStyle w:val="180"/>
            </w:pPr>
            <w:r>
              <w:t>1/1000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shd w:val="clear" w:color="auto" w:fill="auto"/>
          </w:tcPr>
          <w:p>
            <w:pPr>
              <w:pStyle w:val="180"/>
            </w:pPr>
            <w:r>
              <w:rPr>
                <w:rFonts w:hint="eastAsia"/>
              </w:rPr>
              <w:t>多、高层钢结构</w:t>
            </w:r>
          </w:p>
        </w:tc>
        <w:tc>
          <w:tcPr>
            <w:tcW w:w="720" w:type="dxa"/>
            <w:shd w:val="clear" w:color="auto" w:fill="auto"/>
          </w:tcPr>
          <w:p>
            <w:pPr>
              <w:pStyle w:val="180"/>
            </w:pPr>
            <w:r>
              <w:t>1/250</w:t>
            </w:r>
          </w:p>
        </w:tc>
      </w:tr>
    </w:tbl>
    <w:p>
      <w:pPr>
        <w:pStyle w:val="167"/>
      </w:pPr>
      <w:r>
        <w:rPr>
          <w:rFonts w:hint="eastAsia"/>
        </w:rPr>
        <w:t>消能减震结构、隔震结构隔震层的上部结构最大的弹塑性层间位移应满足式（4.5.2）要求。</w:t>
      </w:r>
    </w:p>
    <w:p>
      <w:pPr>
        <w:pStyle w:val="115"/>
      </w:pPr>
      <w:r>
        <w:tab/>
      </w:r>
      <w:r>
        <w:drawing>
          <wp:inline distT="0" distB="0" distL="0" distR="0">
            <wp:extent cx="713105" cy="225425"/>
            <wp:effectExtent l="0" t="0" r="0" b="0"/>
            <wp:docPr id="57" name="图片 57"/>
            <wp:cNvGraphicFramePr/>
            <a:graphic xmlns:a="http://schemas.openxmlformats.org/drawingml/2006/main">
              <a:graphicData uri="http://schemas.openxmlformats.org/drawingml/2006/picture">
                <pic:pic xmlns:pic="http://schemas.openxmlformats.org/drawingml/2006/picture">
                  <pic:nvPicPr>
                    <pic:cNvPr id="57" name="图片 57"/>
                    <pic:cNvPicPr/>
                  </pic:nvPicPr>
                  <pic:blipFill>
                    <a:blip r:embed="rId255" cstate="print">
                      <a:extLst>
                        <a:ext uri="{28A0092B-C50C-407E-A947-70E740481C1C}">
                          <a14:useLocalDpi xmlns:a14="http://schemas.microsoft.com/office/drawing/2010/main" val="0"/>
                        </a:ext>
                      </a:extLst>
                    </a:blip>
                    <a:srcRect/>
                    <a:stretch>
                      <a:fillRect/>
                    </a:stretch>
                  </pic:blipFill>
                  <pic:spPr>
                    <a:xfrm>
                      <a:off x="0" y="0"/>
                      <a:ext cx="713105" cy="225425"/>
                    </a:xfrm>
                    <a:prstGeom prst="rect">
                      <a:avLst/>
                    </a:prstGeom>
                    <a:noFill/>
                    <a:ln>
                      <a:noFill/>
                    </a:ln>
                  </pic:spPr>
                </pic:pic>
              </a:graphicData>
            </a:graphic>
          </wp:inline>
        </w:drawing>
      </w:r>
      <w:r>
        <w:rPr>
          <w:rFonts w:ascii="微软雅黑" w:hAnsi="微软雅黑" w:eastAsia="微软雅黑"/>
        </w:rPr>
        <w:tab/>
      </w:r>
      <w:r>
        <w:t>(4.5.2)</w:t>
      </w:r>
    </w:p>
    <w:p>
      <w:pPr>
        <w:pStyle w:val="58"/>
        <w:ind w:left="2100" w:leftChars="200" w:hanging="1680" w:hangingChars="800"/>
      </w:pPr>
      <w:r>
        <w:rPr>
          <w:rFonts w:hint="eastAsia"/>
        </w:rPr>
        <w:t>式中：</w:t>
      </w:r>
      <w:r>
        <w:t xml:space="preserve"> </w:t>
      </w:r>
      <w:r>
        <w:rPr>
          <w:position w:val="-14"/>
        </w:rPr>
        <w:object>
          <v:shape id="_x0000_i1155" o:spt="75" type="#_x0000_t75" style="height:18.35pt;width:19.1pt;" o:ole="t" filled="f" o:preferrelative="t" stroked="f" coordsize="21600,21600">
            <v:path/>
            <v:fill on="f" focussize="0,0"/>
            <v:stroke on="f" joinstyle="miter"/>
            <v:imagedata r:id="rId257" o:title=""/>
            <o:lock v:ext="edit" aspectratio="t"/>
            <w10:wrap type="none"/>
            <w10:anchorlock/>
          </v:shape>
          <o:OLEObject Type="Embed" ProgID="Equation.KSEE3" ShapeID="_x0000_i1155" DrawAspect="Content" ObjectID="_1468075855" r:id="rId256">
            <o:LockedField>false</o:LockedField>
          </o:OLEObject>
        </w:object>
      </w:r>
      <w:r>
        <w:t>——</w:t>
      </w:r>
      <w:r>
        <w:rPr>
          <w:rFonts w:hint="eastAsia"/>
        </w:rPr>
        <w:t>弹塑性层间位移，宜采用动力弹塑性时程分析方法；对规则建筑，也可采用静力弹塑性分析方法或等效线性化方法；</w:t>
      </w:r>
    </w:p>
    <w:p>
      <w:pPr>
        <w:pStyle w:val="58"/>
        <w:ind w:firstLine="1260" w:firstLineChars="600"/>
      </w:pPr>
      <w:r>
        <w:rPr>
          <w:position w:val="-14"/>
        </w:rPr>
        <w:drawing>
          <wp:inline distT="0" distB="0" distL="0" distR="0">
            <wp:extent cx="280035" cy="252095"/>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a:xfrm>
                      <a:off x="0" y="0"/>
                      <a:ext cx="280035" cy="252095"/>
                    </a:xfrm>
                    <a:prstGeom prst="rect">
                      <a:avLst/>
                    </a:prstGeom>
                    <a:noFill/>
                    <a:ln>
                      <a:noFill/>
                    </a:ln>
                  </pic:spPr>
                </pic:pic>
              </a:graphicData>
            </a:graphic>
          </wp:inline>
        </w:drawing>
      </w:r>
      <w:r>
        <w:t>——</w:t>
      </w:r>
      <w:r>
        <w:rPr>
          <w:rFonts w:hint="eastAsia"/>
        </w:rPr>
        <w:t>弹塑性层间位移角限值；</w:t>
      </w:r>
    </w:p>
    <w:p>
      <w:pPr>
        <w:pStyle w:val="58"/>
        <w:ind w:firstLine="1680" w:firstLineChars="800"/>
      </w:pPr>
      <w:r>
        <w:rPr>
          <w:i/>
        </w:rPr>
        <w:t>h</w:t>
      </w:r>
      <w:r>
        <w:t>——</w:t>
      </w:r>
      <w:r>
        <w:rPr>
          <w:rFonts w:hint="eastAsia"/>
        </w:rPr>
        <w:t>结构中薄弱层楼层高度。</w:t>
      </w:r>
    </w:p>
    <w:p>
      <w:pPr>
        <w:pStyle w:val="167"/>
      </w:pPr>
      <w:r>
        <w:rPr>
          <w:rFonts w:hint="eastAsia"/>
        </w:rPr>
        <w:t>消能减震结构、隔震结构隔震层的上部结构罕遇地震下最大弹塑性层间位移角限值按表4.5.3-1采用。</w:t>
      </w:r>
    </w:p>
    <w:p>
      <w:pPr>
        <w:pStyle w:val="114"/>
        <w:numPr>
          <w:ilvl w:val="0"/>
          <w:numId w:val="0"/>
        </w:numPr>
        <w:spacing w:before="156" w:after="156"/>
      </w:pPr>
      <w:r>
        <w:rPr>
          <w:rFonts w:hint="eastAsia"/>
        </w:rPr>
        <w:t>表4.5.3-1  罕遇地震下结构层间位移角限值</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3109"/>
        <w:gridCol w:w="1558"/>
        <w:gridCol w:w="1419"/>
        <w:gridCol w:w="14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3109" w:type="dxa"/>
            <w:vMerge w:val="restart"/>
            <w:tcBorders>
              <w:top w:val="single" w:color="auto" w:sz="8" w:space="0"/>
            </w:tcBorders>
            <w:shd w:val="clear" w:color="auto" w:fill="auto"/>
            <w:vAlign w:val="center"/>
          </w:tcPr>
          <w:p>
            <w:pPr>
              <w:pStyle w:val="180"/>
            </w:pPr>
            <w:r>
              <w:rPr>
                <w:rFonts w:hint="eastAsia"/>
              </w:rPr>
              <w:t>结构类型</w:t>
            </w:r>
          </w:p>
        </w:tc>
        <w:tc>
          <w:tcPr>
            <w:tcW w:w="1558" w:type="dxa"/>
            <w:tcBorders>
              <w:top w:val="single" w:color="auto" w:sz="8" w:space="0"/>
              <w:bottom w:val="single" w:color="auto" w:sz="8" w:space="0"/>
            </w:tcBorders>
            <w:shd w:val="clear" w:color="auto" w:fill="auto"/>
            <w:vAlign w:val="center"/>
          </w:tcPr>
          <w:p>
            <w:pPr>
              <w:pStyle w:val="180"/>
            </w:pPr>
            <w:r>
              <w:rPr>
                <w:rFonts w:hint="eastAsia"/>
              </w:rPr>
              <w:t xml:space="preserve">标准设防类 </w:t>
            </w:r>
          </w:p>
        </w:tc>
        <w:tc>
          <w:tcPr>
            <w:tcW w:w="1419" w:type="dxa"/>
            <w:tcBorders>
              <w:top w:val="single" w:color="auto" w:sz="8" w:space="0"/>
              <w:bottom w:val="single" w:color="auto" w:sz="8" w:space="0"/>
            </w:tcBorders>
            <w:shd w:val="clear" w:color="auto" w:fill="auto"/>
            <w:vAlign w:val="center"/>
          </w:tcPr>
          <w:p>
            <w:pPr>
              <w:pStyle w:val="180"/>
            </w:pPr>
            <w:r>
              <w:rPr>
                <w:rFonts w:hint="eastAsia"/>
              </w:rPr>
              <w:t xml:space="preserve">重点设防类 </w:t>
            </w:r>
          </w:p>
        </w:tc>
        <w:tc>
          <w:tcPr>
            <w:tcW w:w="1417" w:type="dxa"/>
            <w:tcBorders>
              <w:top w:val="single" w:color="auto" w:sz="8" w:space="0"/>
              <w:bottom w:val="single" w:color="auto" w:sz="8" w:space="0"/>
            </w:tcBorders>
            <w:shd w:val="clear" w:color="auto" w:fill="auto"/>
            <w:vAlign w:val="center"/>
          </w:tcPr>
          <w:p>
            <w:pPr>
              <w:pStyle w:val="180"/>
            </w:pPr>
            <w:r>
              <w:rPr>
                <w:rFonts w:hint="eastAsia"/>
              </w:rPr>
              <w:t xml:space="preserve">特殊设防类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09" w:type="dxa"/>
            <w:vMerge w:val="continue"/>
            <w:shd w:val="clear" w:color="auto" w:fill="auto"/>
            <w:vAlign w:val="center"/>
          </w:tcPr>
          <w:p>
            <w:pPr>
              <w:pStyle w:val="180"/>
            </w:pPr>
          </w:p>
        </w:tc>
        <w:tc>
          <w:tcPr>
            <w:tcW w:w="4394" w:type="dxa"/>
            <w:gridSpan w:val="3"/>
            <w:tcBorders>
              <w:top w:val="single" w:color="auto" w:sz="8" w:space="0"/>
            </w:tcBorders>
            <w:shd w:val="clear" w:color="auto" w:fill="auto"/>
            <w:vAlign w:val="center"/>
          </w:tcPr>
          <w:p>
            <w:pPr>
              <w:pStyle w:val="180"/>
            </w:pPr>
            <w:r>
              <w:rPr>
                <w:rFonts w:ascii="Times New Roman"/>
                <w:position w:val="-14"/>
                <w:szCs w:val="21"/>
              </w:rPr>
              <w:object>
                <v:shape id="_x0000_i1156" o:spt="75" type="#_x0000_t75" style="height:19.85pt;width:22.05pt;" o:ole="t" filled="f" o:preferrelative="t" stroked="f" coordsize="21600,21600">
                  <v:path/>
                  <v:fill on="f" focussize="0,0"/>
                  <v:stroke on="f" joinstyle="miter"/>
                  <v:imagedata r:id="rId260" o:title=""/>
                  <o:lock v:ext="edit" aspectratio="t"/>
                  <w10:wrap type="none"/>
                  <w10:anchorlock/>
                </v:shape>
                <o:OLEObject Type="Embed" ProgID="Equation.3" ShapeID="_x0000_i1156" DrawAspect="Content" ObjectID="_1468075856" r:id="rId259">
                  <o:LockedField>false</o:LockedField>
                </o:OLEObject>
              </w:objec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09" w:type="dxa"/>
            <w:shd w:val="clear" w:color="auto" w:fill="auto"/>
            <w:vAlign w:val="center"/>
          </w:tcPr>
          <w:p>
            <w:pPr>
              <w:pStyle w:val="180"/>
            </w:pPr>
            <w:r>
              <w:rPr>
                <w:rFonts w:hint="eastAsia"/>
              </w:rPr>
              <w:t>钢筋混凝土框架结构</w:t>
            </w:r>
          </w:p>
        </w:tc>
        <w:tc>
          <w:tcPr>
            <w:tcW w:w="1558" w:type="dxa"/>
            <w:shd w:val="clear" w:color="auto" w:fill="auto"/>
            <w:vAlign w:val="center"/>
          </w:tcPr>
          <w:p>
            <w:pPr>
              <w:pStyle w:val="180"/>
            </w:pPr>
            <w:r>
              <w:t>1/50</w:t>
            </w:r>
          </w:p>
        </w:tc>
        <w:tc>
          <w:tcPr>
            <w:tcW w:w="1419" w:type="dxa"/>
            <w:shd w:val="clear" w:color="auto" w:fill="auto"/>
            <w:vAlign w:val="center"/>
          </w:tcPr>
          <w:p>
            <w:pPr>
              <w:pStyle w:val="180"/>
            </w:pPr>
            <w:r>
              <w:t>1/70</w:t>
            </w:r>
          </w:p>
        </w:tc>
        <w:tc>
          <w:tcPr>
            <w:tcW w:w="1417" w:type="dxa"/>
            <w:shd w:val="clear" w:color="auto" w:fill="auto"/>
            <w:vAlign w:val="center"/>
          </w:tcPr>
          <w:p>
            <w:pPr>
              <w:pStyle w:val="180"/>
            </w:pPr>
            <w:r>
              <w:t>1/100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3109" w:type="dxa"/>
            <w:shd w:val="clear" w:color="auto" w:fill="auto"/>
            <w:vAlign w:val="center"/>
          </w:tcPr>
          <w:p>
            <w:pPr>
              <w:pStyle w:val="180"/>
            </w:pPr>
            <w:r>
              <w:rPr>
                <w:rFonts w:hint="eastAsia"/>
              </w:rPr>
              <w:t>钢筋混凝土框架-抗震墙、框架-核心筒</w:t>
            </w:r>
          </w:p>
        </w:tc>
        <w:tc>
          <w:tcPr>
            <w:tcW w:w="1558" w:type="dxa"/>
            <w:shd w:val="clear" w:color="auto" w:fill="auto"/>
            <w:vAlign w:val="center"/>
          </w:tcPr>
          <w:p>
            <w:pPr>
              <w:pStyle w:val="180"/>
            </w:pPr>
            <w:r>
              <w:t>1/100</w:t>
            </w:r>
          </w:p>
        </w:tc>
        <w:tc>
          <w:tcPr>
            <w:tcW w:w="1419" w:type="dxa"/>
            <w:shd w:val="clear" w:color="auto" w:fill="auto"/>
            <w:vAlign w:val="center"/>
          </w:tcPr>
          <w:p>
            <w:pPr>
              <w:pStyle w:val="180"/>
            </w:pPr>
            <w:r>
              <w:t>1/130</w:t>
            </w:r>
          </w:p>
        </w:tc>
        <w:tc>
          <w:tcPr>
            <w:tcW w:w="1417" w:type="dxa"/>
            <w:shd w:val="clear" w:color="auto" w:fill="auto"/>
            <w:vAlign w:val="center"/>
          </w:tcPr>
          <w:p>
            <w:pPr>
              <w:pStyle w:val="180"/>
            </w:pPr>
            <w:r>
              <w:t>1/200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09" w:type="dxa"/>
            <w:shd w:val="clear" w:color="auto" w:fill="auto"/>
            <w:vAlign w:val="center"/>
          </w:tcPr>
          <w:p>
            <w:pPr>
              <w:pStyle w:val="180"/>
            </w:pPr>
            <w:r>
              <w:rPr>
                <w:rFonts w:hint="eastAsia"/>
              </w:rPr>
              <w:t>钢筋混凝土抗震墙、板柱-抗震墙结构</w:t>
            </w:r>
          </w:p>
        </w:tc>
        <w:tc>
          <w:tcPr>
            <w:tcW w:w="1558" w:type="dxa"/>
            <w:shd w:val="clear" w:color="auto" w:fill="auto"/>
            <w:vAlign w:val="center"/>
          </w:tcPr>
          <w:p>
            <w:pPr>
              <w:pStyle w:val="180"/>
            </w:pPr>
            <w:r>
              <w:t>1/120</w:t>
            </w:r>
          </w:p>
        </w:tc>
        <w:tc>
          <w:tcPr>
            <w:tcW w:w="1419" w:type="dxa"/>
            <w:shd w:val="clear" w:color="auto" w:fill="auto"/>
            <w:vAlign w:val="center"/>
          </w:tcPr>
          <w:p>
            <w:pPr>
              <w:pStyle w:val="180"/>
            </w:pPr>
            <w:r>
              <w:t>1/150</w:t>
            </w:r>
          </w:p>
        </w:tc>
        <w:tc>
          <w:tcPr>
            <w:tcW w:w="1417" w:type="dxa"/>
            <w:shd w:val="clear" w:color="auto" w:fill="auto"/>
            <w:vAlign w:val="center"/>
          </w:tcPr>
          <w:p>
            <w:pPr>
              <w:pStyle w:val="180"/>
            </w:pPr>
            <w:r>
              <w:t>1/250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09" w:type="dxa"/>
            <w:shd w:val="clear" w:color="auto" w:fill="auto"/>
            <w:vAlign w:val="center"/>
          </w:tcPr>
          <w:p>
            <w:pPr>
              <w:pStyle w:val="180"/>
            </w:pPr>
            <w:r>
              <w:rPr>
                <w:rFonts w:hint="eastAsia"/>
              </w:rPr>
              <w:t>多、高层钢结构</w:t>
            </w:r>
          </w:p>
        </w:tc>
        <w:tc>
          <w:tcPr>
            <w:tcW w:w="1558" w:type="dxa"/>
            <w:shd w:val="clear" w:color="auto" w:fill="auto"/>
            <w:vAlign w:val="center"/>
          </w:tcPr>
          <w:p>
            <w:pPr>
              <w:pStyle w:val="180"/>
            </w:pPr>
            <w:r>
              <w:t>1/50</w:t>
            </w:r>
          </w:p>
        </w:tc>
        <w:tc>
          <w:tcPr>
            <w:tcW w:w="1419" w:type="dxa"/>
            <w:shd w:val="clear" w:color="auto" w:fill="auto"/>
            <w:vAlign w:val="center"/>
          </w:tcPr>
          <w:p>
            <w:pPr>
              <w:pStyle w:val="180"/>
            </w:pPr>
            <w:r>
              <w:t>1/60</w:t>
            </w:r>
          </w:p>
        </w:tc>
        <w:tc>
          <w:tcPr>
            <w:tcW w:w="1417" w:type="dxa"/>
            <w:shd w:val="clear" w:color="auto" w:fill="auto"/>
            <w:vAlign w:val="center"/>
          </w:tcPr>
          <w:p>
            <w:pPr>
              <w:pStyle w:val="180"/>
            </w:pPr>
            <w:r>
              <w:t>1/100</w:t>
            </w:r>
          </w:p>
        </w:tc>
      </w:tr>
    </w:tbl>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4.5.3</w:t>
      </w:r>
      <w:r>
        <w:rPr>
          <w:rFonts w:hint="eastAsia" w:ascii="华文楷体" w:hAnsi="华文楷体" w:eastAsia="华文楷体" w:cs="华文楷体"/>
          <w:color w:val="0000FF"/>
          <w:szCs w:val="22"/>
        </w:rPr>
        <w:t>现行国家标准《建筑抗震设计规范》</w:t>
      </w:r>
      <w:r>
        <w:rPr>
          <w:rFonts w:ascii="华文楷体" w:hAnsi="华文楷体" w:eastAsia="华文楷体" w:cs="华文楷体"/>
          <w:color w:val="0000FF"/>
          <w:szCs w:val="22"/>
        </w:rPr>
        <w:t>GB 50011</w:t>
      </w:r>
      <w:r>
        <w:rPr>
          <w:rFonts w:hint="eastAsia" w:ascii="华文楷体" w:hAnsi="华文楷体" w:eastAsia="华文楷体" w:cs="华文楷体"/>
          <w:color w:val="0000FF"/>
          <w:szCs w:val="22"/>
        </w:rPr>
        <w:t>将结构在地震作用时的破坏状态划分成基本完好（含完好）、轻微损坏、中等破坏、严重破坏和倒塌</w:t>
      </w:r>
      <w:r>
        <w:rPr>
          <w:rFonts w:ascii="华文楷体" w:hAnsi="华文楷体" w:eastAsia="华文楷体" w:cs="华文楷体"/>
          <w:color w:val="0000FF"/>
          <w:szCs w:val="22"/>
        </w:rPr>
        <w:t>5</w:t>
      </w:r>
      <w:r>
        <w:rPr>
          <w:rFonts w:hint="eastAsia" w:ascii="华文楷体" w:hAnsi="华文楷体" w:eastAsia="华文楷体" w:cs="华文楷体"/>
          <w:color w:val="0000FF"/>
          <w:szCs w:val="22"/>
        </w:rPr>
        <w:t>个等级，分别给出了变形参考值：</w:t>
      </w:r>
      <w:r>
        <w:rPr>
          <w:rFonts w:ascii="华文楷体" w:hAnsi="华文楷体" w:eastAsia="华文楷体" w:cs="华文楷体"/>
          <w:color w:val="0000FF"/>
          <w:szCs w:val="22"/>
        </w:rPr>
        <w:t>&lt;[</w:t>
      </w:r>
      <w:r>
        <w:rPr>
          <w:rFonts w:hint="eastAsia" w:ascii="华文楷体" w:hAnsi="华文楷体" w:eastAsia="华文楷体" w:cs="华文楷体"/>
          <w:color w:val="0000FF"/>
          <w:szCs w:val="22"/>
        </w:rPr>
        <w:t>Δ</w:t>
      </w:r>
      <w:r>
        <w:rPr>
          <w:rFonts w:ascii="华文楷体" w:hAnsi="华文楷体" w:eastAsia="华文楷体" w:cs="华文楷体"/>
          <w:color w:val="0000FF"/>
          <w:szCs w:val="22"/>
        </w:rPr>
        <w:t>ue]</w:t>
      </w:r>
      <w:r>
        <w:rPr>
          <w:rFonts w:hint="eastAsia" w:ascii="华文楷体" w:hAnsi="华文楷体" w:eastAsia="华文楷体" w:cs="华文楷体"/>
          <w:color w:val="0000FF"/>
          <w:szCs w:val="22"/>
        </w:rPr>
        <w:t>、</w:t>
      </w:r>
      <w:r>
        <w:rPr>
          <w:rFonts w:ascii="华文楷体" w:hAnsi="华文楷体" w:eastAsia="华文楷体" w:cs="华文楷体"/>
          <w:color w:val="0000FF"/>
          <w:szCs w:val="22"/>
        </w:rPr>
        <w:t>1.5</w:t>
      </w:r>
      <w:r>
        <w:rPr>
          <w:rFonts w:hint="eastAsia" w:ascii="华文楷体" w:hAnsi="华文楷体" w:eastAsia="华文楷体" w:cs="华文楷体"/>
          <w:color w:val="0000FF"/>
          <w:szCs w:val="22"/>
        </w:rPr>
        <w:t>～</w:t>
      </w:r>
      <w:r>
        <w:rPr>
          <w:rFonts w:ascii="华文楷体" w:hAnsi="华文楷体" w:eastAsia="华文楷体" w:cs="华文楷体"/>
          <w:color w:val="0000FF"/>
          <w:szCs w:val="22"/>
        </w:rPr>
        <w:t>2.0[</w:t>
      </w:r>
      <w:r>
        <w:rPr>
          <w:rFonts w:hint="eastAsia" w:ascii="华文楷体" w:hAnsi="华文楷体" w:eastAsia="华文楷体" w:cs="华文楷体"/>
          <w:color w:val="0000FF"/>
          <w:szCs w:val="22"/>
        </w:rPr>
        <w:t>Δ</w:t>
      </w:r>
      <w:r>
        <w:rPr>
          <w:rFonts w:ascii="华文楷体" w:hAnsi="华文楷体" w:eastAsia="华文楷体" w:cs="华文楷体"/>
          <w:color w:val="0000FF"/>
          <w:szCs w:val="22"/>
        </w:rPr>
        <w:t>ue]</w:t>
      </w:r>
      <w:r>
        <w:rPr>
          <w:rFonts w:hint="eastAsia" w:ascii="华文楷体" w:hAnsi="华文楷体" w:eastAsia="华文楷体" w:cs="华文楷体"/>
          <w:color w:val="0000FF"/>
          <w:szCs w:val="22"/>
        </w:rPr>
        <w:t>、</w:t>
      </w:r>
      <w:r>
        <w:rPr>
          <w:rFonts w:ascii="华文楷体" w:hAnsi="华文楷体" w:eastAsia="华文楷体" w:cs="华文楷体"/>
          <w:color w:val="0000FF"/>
          <w:szCs w:val="22"/>
        </w:rPr>
        <w:t>3.0</w:t>
      </w:r>
      <w:r>
        <w:rPr>
          <w:rFonts w:hint="eastAsia" w:ascii="华文楷体" w:hAnsi="华文楷体" w:eastAsia="华文楷体" w:cs="华文楷体"/>
          <w:color w:val="0000FF"/>
          <w:szCs w:val="22"/>
        </w:rPr>
        <w:t>～</w:t>
      </w:r>
      <w:r>
        <w:rPr>
          <w:rFonts w:ascii="华文楷体" w:hAnsi="华文楷体" w:eastAsia="华文楷体" w:cs="华文楷体"/>
          <w:color w:val="0000FF"/>
          <w:szCs w:val="22"/>
        </w:rPr>
        <w:t>4.0[</w:t>
      </w:r>
      <w:r>
        <w:rPr>
          <w:rFonts w:hint="eastAsia" w:ascii="华文楷体" w:hAnsi="华文楷体" w:eastAsia="华文楷体" w:cs="华文楷体"/>
          <w:color w:val="0000FF"/>
          <w:szCs w:val="22"/>
        </w:rPr>
        <w:t>Δ</w:t>
      </w:r>
      <w:r>
        <w:rPr>
          <w:rFonts w:ascii="华文楷体" w:hAnsi="华文楷体" w:eastAsia="华文楷体" w:cs="华文楷体"/>
          <w:color w:val="0000FF"/>
          <w:szCs w:val="22"/>
        </w:rPr>
        <w:t>ue]</w:t>
      </w:r>
      <w:r>
        <w:rPr>
          <w:rFonts w:hint="eastAsia" w:ascii="华文楷体" w:hAnsi="华文楷体" w:eastAsia="华文楷体" w:cs="华文楷体"/>
          <w:color w:val="0000FF"/>
          <w:szCs w:val="22"/>
        </w:rPr>
        <w:t>、</w:t>
      </w:r>
      <w:r>
        <w:rPr>
          <w:rFonts w:ascii="华文楷体" w:hAnsi="华文楷体" w:eastAsia="华文楷体" w:cs="华文楷体"/>
          <w:color w:val="0000FF"/>
          <w:szCs w:val="22"/>
        </w:rPr>
        <w:t>0.9[</w:t>
      </w:r>
      <w:r>
        <w:rPr>
          <w:rFonts w:hint="eastAsia" w:ascii="华文楷体" w:hAnsi="华文楷体" w:eastAsia="华文楷体" w:cs="华文楷体"/>
          <w:color w:val="0000FF"/>
          <w:szCs w:val="22"/>
        </w:rPr>
        <w:t>Δ</w:t>
      </w:r>
      <w:r>
        <w:rPr>
          <w:rFonts w:ascii="华文楷体" w:hAnsi="华文楷体" w:eastAsia="华文楷体" w:cs="华文楷体"/>
          <w:color w:val="0000FF"/>
          <w:szCs w:val="22"/>
        </w:rPr>
        <w:t>up]</w:t>
      </w:r>
      <w:r>
        <w:rPr>
          <w:rFonts w:hint="eastAsia" w:ascii="华文楷体" w:hAnsi="华文楷体" w:eastAsia="华文楷体" w:cs="华文楷体"/>
          <w:color w:val="0000FF"/>
          <w:szCs w:val="22"/>
        </w:rPr>
        <w:t>和</w:t>
      </w:r>
      <w:r>
        <w:rPr>
          <w:rFonts w:ascii="华文楷体" w:hAnsi="华文楷体" w:eastAsia="华文楷体" w:cs="华文楷体"/>
          <w:color w:val="0000FF"/>
          <w:szCs w:val="22"/>
        </w:rPr>
        <w:t>&gt;[</w:t>
      </w:r>
      <w:r>
        <w:rPr>
          <w:rFonts w:hint="eastAsia" w:ascii="华文楷体" w:hAnsi="华文楷体" w:eastAsia="华文楷体" w:cs="华文楷体"/>
          <w:color w:val="0000FF"/>
          <w:szCs w:val="22"/>
        </w:rPr>
        <w:t>Δ</w:t>
      </w:r>
      <w:r>
        <w:rPr>
          <w:rFonts w:ascii="华文楷体" w:hAnsi="华文楷体" w:eastAsia="华文楷体" w:cs="华文楷体"/>
          <w:color w:val="0000FF"/>
          <w:szCs w:val="22"/>
        </w:rPr>
        <w:t>up]</w:t>
      </w:r>
      <w:r>
        <w:rPr>
          <w:rFonts w:hint="eastAsia" w:ascii="华文楷体" w:hAnsi="华文楷体" w:eastAsia="华文楷体" w:cs="华文楷体"/>
          <w:color w:val="0000FF"/>
          <w:szCs w:val="22"/>
        </w:rPr>
        <w:t>。混凝土构件的强度验算公式是根据极限状态推导出来的，因此将“轻微损坏”分为轻微损坏和轻度损坏，前者定义为不屈服状态，变形为</w:t>
      </w:r>
      <w:r>
        <w:rPr>
          <w:rFonts w:ascii="华文楷体" w:hAnsi="华文楷体" w:eastAsia="华文楷体" w:cs="华文楷体"/>
          <w:color w:val="0000FF"/>
          <w:szCs w:val="22"/>
        </w:rPr>
        <w:t>1.1</w:t>
      </w:r>
      <w:r>
        <w:rPr>
          <w:rFonts w:hint="eastAsia" w:ascii="华文楷体" w:hAnsi="华文楷体" w:eastAsia="华文楷体" w:cs="华文楷体"/>
          <w:color w:val="0000FF"/>
          <w:szCs w:val="22"/>
        </w:rPr>
        <w:t>～</w:t>
      </w:r>
      <w:r>
        <w:rPr>
          <w:rFonts w:ascii="华文楷体" w:hAnsi="华文楷体" w:eastAsia="华文楷体" w:cs="华文楷体"/>
          <w:color w:val="0000FF"/>
          <w:szCs w:val="22"/>
        </w:rPr>
        <w:t>1.5[</w:t>
      </w:r>
      <w:r>
        <w:rPr>
          <w:rFonts w:hint="eastAsia" w:ascii="华文楷体" w:hAnsi="华文楷体" w:eastAsia="华文楷体" w:cs="华文楷体"/>
          <w:color w:val="0000FF"/>
          <w:szCs w:val="22"/>
        </w:rPr>
        <w:t>Δ</w:t>
      </w:r>
      <w:r>
        <w:rPr>
          <w:rFonts w:ascii="华文楷体" w:hAnsi="华文楷体" w:eastAsia="华文楷体" w:cs="华文楷体"/>
          <w:color w:val="0000FF"/>
          <w:szCs w:val="22"/>
        </w:rPr>
        <w:t>ue]</w:t>
      </w:r>
      <w:r>
        <w:rPr>
          <w:rFonts w:hint="eastAsia" w:ascii="华文楷体" w:hAnsi="华文楷体" w:eastAsia="华文楷体" w:cs="华文楷体"/>
          <w:color w:val="0000FF"/>
          <w:szCs w:val="22"/>
        </w:rPr>
        <w:t>，后者进入屈服状态，变形为</w:t>
      </w:r>
      <w:r>
        <w:rPr>
          <w:rFonts w:ascii="华文楷体" w:hAnsi="华文楷体" w:eastAsia="华文楷体" w:cs="华文楷体"/>
          <w:color w:val="0000FF"/>
          <w:szCs w:val="22"/>
        </w:rPr>
        <w:t>1.5</w:t>
      </w:r>
      <w:r>
        <w:rPr>
          <w:rFonts w:hint="eastAsia" w:ascii="华文楷体" w:hAnsi="华文楷体" w:eastAsia="华文楷体" w:cs="华文楷体"/>
          <w:color w:val="0000FF"/>
          <w:szCs w:val="22"/>
        </w:rPr>
        <w:t>～</w:t>
      </w:r>
      <w:r>
        <w:rPr>
          <w:rFonts w:ascii="华文楷体" w:hAnsi="华文楷体" w:eastAsia="华文楷体" w:cs="华文楷体"/>
          <w:color w:val="0000FF"/>
          <w:szCs w:val="22"/>
        </w:rPr>
        <w:t>2.0[</w:t>
      </w:r>
      <w:r>
        <w:rPr>
          <w:rFonts w:hint="eastAsia" w:ascii="华文楷体" w:hAnsi="华文楷体" w:eastAsia="华文楷体" w:cs="华文楷体"/>
          <w:color w:val="0000FF"/>
          <w:szCs w:val="22"/>
        </w:rPr>
        <w:t>Δ</w:t>
      </w:r>
      <w:r>
        <w:rPr>
          <w:rFonts w:ascii="华文楷体" w:hAnsi="华文楷体" w:eastAsia="华文楷体" w:cs="华文楷体"/>
          <w:color w:val="0000FF"/>
          <w:szCs w:val="22"/>
        </w:rPr>
        <w:t>ue]</w:t>
      </w:r>
      <w:r>
        <w:rPr>
          <w:rFonts w:hint="eastAsia" w:ascii="华文楷体" w:hAnsi="华文楷体" w:eastAsia="华文楷体" w:cs="华文楷体"/>
          <w:color w:val="0000FF"/>
          <w:szCs w:val="22"/>
        </w:rPr>
        <w:t>。其余状态下的变形指标上限值延用抗震规范给出的值，为保证连续性，下限值取前一状态的上限值。</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实现建筑结构抗震设防目标需进行结构变形和构件承载力的双控。即各个地震水准下的承载力、变形。</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完好，即所有构件保持弹性状态，各种承载力设计值（拉、压、弯、剪、压弯、拉弯、稳定）满足规范对抗震承载力的要求，层间变形满足规范多遇地震下的弹性位移限值</w:t>
      </w:r>
      <w:r>
        <w:rPr>
          <w:rFonts w:ascii="华文楷体" w:hAnsi="华文楷体" w:eastAsia="华文楷体" w:cs="华文楷体"/>
          <w:color w:val="0000FF"/>
          <w:szCs w:val="22"/>
        </w:rPr>
        <w:t>[</w:t>
      </w:r>
      <w:r>
        <w:rPr>
          <w:rFonts w:hint="eastAsia" w:ascii="华文楷体" w:hAnsi="华文楷体" w:eastAsia="华文楷体" w:cs="华文楷体"/>
          <w:color w:val="0000FF"/>
          <w:szCs w:val="22"/>
        </w:rPr>
        <w:t>Δ</w:t>
      </w:r>
      <w:r>
        <w:rPr>
          <w:rFonts w:ascii="华文楷体" w:hAnsi="华文楷体" w:eastAsia="华文楷体" w:cs="华文楷体"/>
          <w:color w:val="0000FF"/>
          <w:szCs w:val="22"/>
        </w:rPr>
        <w:t>ue]</w:t>
      </w:r>
      <w:r>
        <w:rPr>
          <w:rFonts w:hint="eastAsia" w:ascii="华文楷体" w:hAnsi="华文楷体" w:eastAsia="华文楷体" w:cs="华文楷体"/>
          <w:color w:val="0000FF"/>
          <w:szCs w:val="22"/>
        </w:rPr>
        <w:t>。</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轻微损坏，结构构件尚未达到屈服状态，按材料标准值计算的承载力大于作用标准组合的效应，但楼层变形略大于弹性位移限值</w:t>
      </w:r>
      <w:r>
        <w:rPr>
          <w:rFonts w:ascii="华文楷体" w:hAnsi="华文楷体" w:eastAsia="华文楷体" w:cs="华文楷体"/>
          <w:color w:val="0000FF"/>
          <w:szCs w:val="22"/>
        </w:rPr>
        <w:t>[</w:t>
      </w:r>
      <w:r>
        <w:rPr>
          <w:rFonts w:hint="eastAsia" w:ascii="华文楷体" w:hAnsi="华文楷体" w:eastAsia="华文楷体" w:cs="华文楷体"/>
          <w:color w:val="0000FF"/>
          <w:szCs w:val="22"/>
        </w:rPr>
        <w:t>Δ</w:t>
      </w:r>
      <w:r>
        <w:rPr>
          <w:rFonts w:ascii="华文楷体" w:hAnsi="华文楷体" w:eastAsia="华文楷体" w:cs="华文楷体"/>
          <w:color w:val="0000FF"/>
          <w:szCs w:val="22"/>
        </w:rPr>
        <w:t>ue]</w:t>
      </w:r>
      <w:r>
        <w:rPr>
          <w:rFonts w:hint="eastAsia" w:ascii="华文楷体" w:hAnsi="华文楷体" w:eastAsia="华文楷体" w:cs="华文楷体"/>
          <w:color w:val="0000FF"/>
          <w:szCs w:val="22"/>
        </w:rPr>
        <w:t>，约为（</w:t>
      </w:r>
      <w:r>
        <w:rPr>
          <w:rFonts w:ascii="华文楷体" w:hAnsi="华文楷体" w:eastAsia="华文楷体" w:cs="华文楷体"/>
          <w:color w:val="FF0000"/>
          <w:szCs w:val="22"/>
        </w:rPr>
        <w:t>1.1</w:t>
      </w:r>
      <w:r>
        <w:rPr>
          <w:rFonts w:hint="eastAsia" w:ascii="华文楷体" w:hAnsi="华文楷体" w:eastAsia="华文楷体" w:cs="华文楷体"/>
          <w:color w:val="FF0000"/>
          <w:szCs w:val="22"/>
        </w:rPr>
        <w:t>～</w:t>
      </w:r>
      <w:r>
        <w:rPr>
          <w:rFonts w:ascii="华文楷体" w:hAnsi="华文楷体" w:eastAsia="华文楷体" w:cs="华文楷体"/>
          <w:color w:val="FF0000"/>
          <w:szCs w:val="22"/>
        </w:rPr>
        <w:t>1.5</w:t>
      </w:r>
      <w:r>
        <w:rPr>
          <w:rFonts w:ascii="华文楷体" w:hAnsi="华文楷体" w:eastAsia="华文楷体" w:cs="华文楷体"/>
          <w:color w:val="0000FF"/>
          <w:szCs w:val="22"/>
        </w:rPr>
        <w:t>][</w:t>
      </w:r>
      <w:r>
        <w:rPr>
          <w:rFonts w:hint="eastAsia" w:ascii="华文楷体" w:hAnsi="华文楷体" w:eastAsia="华文楷体" w:cs="华文楷体"/>
          <w:color w:val="0000FF"/>
          <w:szCs w:val="22"/>
        </w:rPr>
        <w:t>Δ</w:t>
      </w:r>
      <w:r>
        <w:rPr>
          <w:rFonts w:ascii="华文楷体" w:hAnsi="华文楷体" w:eastAsia="华文楷体" w:cs="华文楷体"/>
          <w:color w:val="0000FF"/>
          <w:szCs w:val="22"/>
        </w:rPr>
        <w:t>ue]</w:t>
      </w:r>
      <w:r>
        <w:rPr>
          <w:rFonts w:hint="eastAsia" w:ascii="华文楷体" w:hAnsi="华文楷体" w:eastAsia="华文楷体" w:cs="华文楷体"/>
          <w:color w:val="0000FF"/>
          <w:szCs w:val="22"/>
        </w:rPr>
        <w:t>。</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轻度损坏，关键构件及普通竖向构件的按材料标准值计算的承载力大于作用标准组合的效应；部分耗能构件进入屈服阶段，但其受剪力载力按材料计算的标准值大于作用标准组合的效应。楼层变形约为（</w:t>
      </w:r>
      <w:r>
        <w:rPr>
          <w:rFonts w:ascii="华文楷体" w:hAnsi="华文楷体" w:eastAsia="华文楷体" w:cs="华文楷体"/>
          <w:color w:val="FF0000"/>
          <w:szCs w:val="22"/>
        </w:rPr>
        <w:t>1.5</w:t>
      </w:r>
      <w:r>
        <w:rPr>
          <w:rFonts w:hint="eastAsia" w:ascii="华文楷体" w:hAnsi="华文楷体" w:eastAsia="华文楷体" w:cs="华文楷体"/>
          <w:color w:val="FF0000"/>
          <w:szCs w:val="22"/>
        </w:rPr>
        <w:t>～</w:t>
      </w:r>
      <w:r>
        <w:rPr>
          <w:rFonts w:ascii="华文楷体" w:hAnsi="华文楷体" w:eastAsia="华文楷体" w:cs="华文楷体"/>
          <w:color w:val="FF0000"/>
          <w:szCs w:val="22"/>
        </w:rPr>
        <w:t>2.0</w:t>
      </w:r>
      <w:r>
        <w:rPr>
          <w:rFonts w:ascii="华文楷体" w:hAnsi="华文楷体" w:eastAsia="华文楷体" w:cs="华文楷体"/>
          <w:color w:val="0000FF"/>
          <w:szCs w:val="22"/>
        </w:rPr>
        <w:t>] [</w:t>
      </w:r>
      <w:r>
        <w:rPr>
          <w:rFonts w:hint="eastAsia" w:ascii="华文楷体" w:hAnsi="华文楷体" w:eastAsia="华文楷体" w:cs="华文楷体"/>
          <w:color w:val="0000FF"/>
          <w:szCs w:val="22"/>
        </w:rPr>
        <w:t>Δ</w:t>
      </w:r>
      <w:r>
        <w:rPr>
          <w:rFonts w:ascii="华文楷体" w:hAnsi="华文楷体" w:eastAsia="华文楷体" w:cs="华文楷体"/>
          <w:color w:val="0000FF"/>
          <w:szCs w:val="22"/>
        </w:rPr>
        <w:t>ue]</w:t>
      </w:r>
      <w:r>
        <w:rPr>
          <w:rFonts w:hint="eastAsia" w:ascii="华文楷体" w:hAnsi="华文楷体" w:eastAsia="华文楷体" w:cs="华文楷体"/>
          <w:color w:val="0000FF"/>
          <w:szCs w:val="22"/>
        </w:rPr>
        <w:t>。</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中等破坏，结构构件出明显的塑性变形，但控制在一般加固即恢复使用的范围。弹塑性楼层变形约为（</w:t>
      </w:r>
      <w:r>
        <w:rPr>
          <w:rFonts w:ascii="华文楷体" w:hAnsi="华文楷体" w:eastAsia="华文楷体" w:cs="华文楷体"/>
          <w:color w:val="FF0000"/>
          <w:szCs w:val="22"/>
        </w:rPr>
        <w:t>2.0</w:t>
      </w:r>
      <w:r>
        <w:rPr>
          <w:rFonts w:hint="eastAsia" w:ascii="华文楷体" w:hAnsi="华文楷体" w:eastAsia="华文楷体" w:cs="华文楷体"/>
          <w:color w:val="FF0000"/>
          <w:szCs w:val="22"/>
        </w:rPr>
        <w:t>～</w:t>
      </w:r>
      <w:r>
        <w:rPr>
          <w:rFonts w:ascii="华文楷体" w:hAnsi="华文楷体" w:eastAsia="华文楷体" w:cs="华文楷体"/>
          <w:color w:val="FF0000"/>
          <w:szCs w:val="22"/>
        </w:rPr>
        <w:t>4.0</w:t>
      </w:r>
      <w:r>
        <w:rPr>
          <w:rFonts w:ascii="华文楷体" w:hAnsi="华文楷体" w:eastAsia="华文楷体" w:cs="华文楷体"/>
          <w:color w:val="0000FF"/>
          <w:szCs w:val="22"/>
        </w:rPr>
        <w:t>][</w:t>
      </w:r>
      <w:r>
        <w:rPr>
          <w:rFonts w:hint="eastAsia" w:ascii="华文楷体" w:hAnsi="华文楷体" w:eastAsia="华文楷体" w:cs="华文楷体"/>
          <w:color w:val="0000FF"/>
          <w:szCs w:val="22"/>
        </w:rPr>
        <w:t>Δ</w:t>
      </w:r>
      <w:r>
        <w:rPr>
          <w:rFonts w:ascii="华文楷体" w:hAnsi="华文楷体" w:eastAsia="华文楷体" w:cs="华文楷体"/>
          <w:color w:val="0000FF"/>
          <w:szCs w:val="22"/>
        </w:rPr>
        <w:t>ue]</w:t>
      </w:r>
      <w:r>
        <w:rPr>
          <w:rFonts w:hint="eastAsia" w:ascii="华文楷体" w:hAnsi="华文楷体" w:eastAsia="华文楷体" w:cs="华文楷体"/>
          <w:color w:val="0000FF"/>
          <w:szCs w:val="22"/>
        </w:rPr>
        <w:t>。</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不严重破坏，结构关建的竖向构件出现明显的塑性变形，部分水平构件可能失效需要更换，经过大修加固后可恢复使用。</w:t>
      </w:r>
    </w:p>
    <w:p>
      <w:pPr>
        <w:adjustRightInd/>
        <w:spacing w:line="240" w:lineRule="auto"/>
        <w:jc w:val="center"/>
        <w:rPr>
          <w:rFonts w:ascii="华文楷体" w:hAnsi="华文楷体" w:eastAsia="华文楷体" w:cs="华文楷体"/>
          <w:color w:val="0000FF"/>
          <w:szCs w:val="22"/>
        </w:rPr>
      </w:pPr>
      <w:r>
        <w:rPr>
          <w:rFonts w:hint="eastAsia" w:ascii="华文楷体" w:hAnsi="华文楷体" w:eastAsia="华文楷体" w:cs="华文楷体"/>
          <w:color w:val="0000FF"/>
          <w:szCs w:val="22"/>
        </w:rPr>
        <w:t>表</w:t>
      </w:r>
      <w:r>
        <w:rPr>
          <w:rFonts w:ascii="华文楷体" w:hAnsi="华文楷体" w:eastAsia="华文楷体" w:cs="华文楷体"/>
          <w:color w:val="0000FF"/>
          <w:szCs w:val="22"/>
        </w:rPr>
        <w:t xml:space="preserve">4.5.3-1 </w:t>
      </w:r>
      <w:r>
        <w:rPr>
          <w:rFonts w:hint="eastAsia" w:ascii="华文楷体" w:hAnsi="华文楷体" w:eastAsia="华文楷体" w:cs="华文楷体"/>
          <w:color w:val="0000FF"/>
          <w:szCs w:val="22"/>
        </w:rPr>
        <w:t>结构竖向构件对应于不同破坏状态的最大层间位移角控制目标</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7"/>
        <w:gridCol w:w="1111"/>
        <w:gridCol w:w="1331"/>
        <w:gridCol w:w="1459"/>
        <w:gridCol w:w="1460"/>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7" w:type="dxa"/>
            <w:vAlign w:val="center"/>
          </w:tcPr>
          <w:p>
            <w:pPr>
              <w:adjustRightInd/>
              <w:spacing w:line="240" w:lineRule="auto"/>
              <w:jc w:val="center"/>
              <w:rPr>
                <w:rFonts w:ascii="华文楷体" w:hAnsi="华文楷体" w:eastAsia="华文楷体" w:cs="华文楷体"/>
                <w:color w:val="0000FF"/>
                <w:sz w:val="18"/>
                <w:szCs w:val="18"/>
              </w:rPr>
            </w:pPr>
            <w:r>
              <w:rPr>
                <w:rFonts w:hint="eastAsia" w:ascii="华文楷体" w:hAnsi="华文楷体" w:eastAsia="华文楷体" w:cs="华文楷体"/>
                <w:color w:val="0000FF"/>
                <w:sz w:val="18"/>
                <w:szCs w:val="18"/>
              </w:rPr>
              <w:t>结构类型</w:t>
            </w:r>
          </w:p>
        </w:tc>
        <w:tc>
          <w:tcPr>
            <w:tcW w:w="1111" w:type="dxa"/>
            <w:vAlign w:val="center"/>
          </w:tcPr>
          <w:p>
            <w:pPr>
              <w:adjustRightInd/>
              <w:spacing w:line="240" w:lineRule="auto"/>
              <w:jc w:val="center"/>
              <w:rPr>
                <w:rFonts w:ascii="华文楷体" w:hAnsi="华文楷体" w:eastAsia="华文楷体" w:cs="华文楷体"/>
                <w:color w:val="0000FF"/>
                <w:sz w:val="18"/>
                <w:szCs w:val="18"/>
              </w:rPr>
            </w:pPr>
            <w:r>
              <w:rPr>
                <w:rFonts w:hint="eastAsia" w:ascii="华文楷体" w:hAnsi="华文楷体" w:eastAsia="华文楷体" w:cs="华文楷体"/>
                <w:color w:val="0000FF"/>
                <w:sz w:val="18"/>
                <w:szCs w:val="18"/>
              </w:rPr>
              <w:t>完好</w:t>
            </w:r>
          </w:p>
        </w:tc>
        <w:tc>
          <w:tcPr>
            <w:tcW w:w="1331" w:type="dxa"/>
            <w:vAlign w:val="center"/>
          </w:tcPr>
          <w:p>
            <w:pPr>
              <w:adjustRightInd/>
              <w:spacing w:line="240" w:lineRule="auto"/>
              <w:jc w:val="center"/>
              <w:rPr>
                <w:rFonts w:ascii="华文楷体" w:hAnsi="华文楷体" w:eastAsia="华文楷体" w:cs="华文楷体"/>
                <w:color w:val="0000FF"/>
                <w:sz w:val="18"/>
                <w:szCs w:val="18"/>
              </w:rPr>
            </w:pPr>
            <w:r>
              <w:rPr>
                <w:rFonts w:hint="eastAsia" w:ascii="华文楷体" w:hAnsi="华文楷体" w:eastAsia="华文楷体" w:cs="华文楷体"/>
                <w:color w:val="0000FF"/>
                <w:sz w:val="18"/>
                <w:szCs w:val="18"/>
              </w:rPr>
              <w:t>轻微损坏</w:t>
            </w:r>
          </w:p>
        </w:tc>
        <w:tc>
          <w:tcPr>
            <w:tcW w:w="1459" w:type="dxa"/>
            <w:vAlign w:val="center"/>
          </w:tcPr>
          <w:p>
            <w:pPr>
              <w:adjustRightInd/>
              <w:spacing w:line="240" w:lineRule="auto"/>
              <w:jc w:val="center"/>
              <w:rPr>
                <w:rFonts w:ascii="华文楷体" w:hAnsi="华文楷体" w:eastAsia="华文楷体" w:cs="华文楷体"/>
                <w:color w:val="0000FF"/>
                <w:sz w:val="18"/>
                <w:szCs w:val="18"/>
              </w:rPr>
            </w:pPr>
            <w:r>
              <w:rPr>
                <w:rFonts w:hint="eastAsia" w:ascii="华文楷体" w:hAnsi="华文楷体" w:eastAsia="华文楷体" w:cs="华文楷体"/>
                <w:color w:val="0000FF"/>
                <w:sz w:val="18"/>
                <w:szCs w:val="18"/>
              </w:rPr>
              <w:t>轻度损坏</w:t>
            </w:r>
          </w:p>
        </w:tc>
        <w:tc>
          <w:tcPr>
            <w:tcW w:w="1460" w:type="dxa"/>
            <w:vAlign w:val="center"/>
          </w:tcPr>
          <w:p>
            <w:pPr>
              <w:adjustRightInd/>
              <w:spacing w:line="240" w:lineRule="auto"/>
              <w:jc w:val="center"/>
              <w:rPr>
                <w:rFonts w:ascii="华文楷体" w:hAnsi="华文楷体" w:eastAsia="华文楷体" w:cs="华文楷体"/>
                <w:color w:val="0000FF"/>
                <w:sz w:val="18"/>
                <w:szCs w:val="18"/>
              </w:rPr>
            </w:pPr>
            <w:r>
              <w:rPr>
                <w:rFonts w:hint="eastAsia" w:ascii="华文楷体" w:hAnsi="华文楷体" w:eastAsia="华文楷体" w:cs="华文楷体"/>
                <w:color w:val="0000FF"/>
                <w:sz w:val="18"/>
                <w:szCs w:val="18"/>
              </w:rPr>
              <w:t>中等破坏</w:t>
            </w:r>
          </w:p>
        </w:tc>
        <w:tc>
          <w:tcPr>
            <w:tcW w:w="1433" w:type="dxa"/>
            <w:vAlign w:val="center"/>
          </w:tcPr>
          <w:p>
            <w:pPr>
              <w:adjustRightInd/>
              <w:spacing w:line="240" w:lineRule="auto"/>
              <w:jc w:val="center"/>
              <w:rPr>
                <w:rFonts w:ascii="华文楷体" w:hAnsi="华文楷体" w:eastAsia="华文楷体" w:cs="华文楷体"/>
                <w:color w:val="0000FF"/>
                <w:sz w:val="18"/>
                <w:szCs w:val="18"/>
              </w:rPr>
            </w:pPr>
            <w:r>
              <w:rPr>
                <w:rFonts w:hint="eastAsia" w:ascii="华文楷体" w:hAnsi="华文楷体" w:eastAsia="华文楷体" w:cs="华文楷体"/>
                <w:color w:val="0000FF"/>
                <w:sz w:val="18"/>
                <w:szCs w:val="18"/>
              </w:rPr>
              <w:t>不严重破坏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7" w:type="dxa"/>
            <w:vAlign w:val="center"/>
          </w:tcPr>
          <w:p>
            <w:pPr>
              <w:adjustRightInd/>
              <w:spacing w:line="240" w:lineRule="auto"/>
              <w:jc w:val="center"/>
              <w:rPr>
                <w:rFonts w:ascii="华文楷体" w:hAnsi="华文楷体" w:eastAsia="华文楷体" w:cs="华文楷体"/>
                <w:color w:val="0000FF"/>
                <w:sz w:val="18"/>
                <w:szCs w:val="18"/>
              </w:rPr>
            </w:pPr>
            <w:r>
              <w:rPr>
                <w:rFonts w:hint="eastAsia" w:ascii="华文楷体" w:hAnsi="华文楷体" w:eastAsia="华文楷体" w:cs="华文楷体"/>
                <w:color w:val="0000FF"/>
                <w:sz w:val="18"/>
                <w:szCs w:val="18"/>
              </w:rPr>
              <w:t>钢筋混凝土结构</w:t>
            </w:r>
          </w:p>
        </w:tc>
        <w:tc>
          <w:tcPr>
            <w:tcW w:w="1111"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1/550</w:t>
            </w:r>
          </w:p>
        </w:tc>
        <w:tc>
          <w:tcPr>
            <w:tcW w:w="1331"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1/350</w:t>
            </w:r>
          </w:p>
        </w:tc>
        <w:tc>
          <w:tcPr>
            <w:tcW w:w="1459"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1/250</w:t>
            </w:r>
          </w:p>
        </w:tc>
        <w:tc>
          <w:tcPr>
            <w:tcW w:w="1460"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1/120</w:t>
            </w:r>
          </w:p>
        </w:tc>
        <w:tc>
          <w:tcPr>
            <w:tcW w:w="1433"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7" w:type="dxa"/>
            <w:vAlign w:val="center"/>
          </w:tcPr>
          <w:p>
            <w:pPr>
              <w:adjustRightInd/>
              <w:spacing w:line="240" w:lineRule="auto"/>
              <w:jc w:val="center"/>
              <w:rPr>
                <w:rFonts w:ascii="华文楷体" w:hAnsi="华文楷体" w:eastAsia="华文楷体" w:cs="华文楷体"/>
                <w:color w:val="0000FF"/>
                <w:sz w:val="18"/>
                <w:szCs w:val="18"/>
              </w:rPr>
            </w:pPr>
            <w:r>
              <w:rPr>
                <w:rFonts w:hint="eastAsia" w:ascii="华文楷体" w:hAnsi="华文楷体" w:eastAsia="华文楷体" w:cs="华文楷体"/>
                <w:color w:val="0000FF"/>
                <w:sz w:val="18"/>
                <w:szCs w:val="18"/>
              </w:rPr>
              <w:t>钢筋混凝土抗震墙、筒中筒</w:t>
            </w:r>
          </w:p>
        </w:tc>
        <w:tc>
          <w:tcPr>
            <w:tcW w:w="1111"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1/1000</w:t>
            </w:r>
          </w:p>
        </w:tc>
        <w:tc>
          <w:tcPr>
            <w:tcW w:w="1331"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1/650</w:t>
            </w:r>
          </w:p>
        </w:tc>
        <w:tc>
          <w:tcPr>
            <w:tcW w:w="1459"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1/500</w:t>
            </w:r>
          </w:p>
        </w:tc>
        <w:tc>
          <w:tcPr>
            <w:tcW w:w="1460"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1/250</w:t>
            </w:r>
          </w:p>
        </w:tc>
        <w:tc>
          <w:tcPr>
            <w:tcW w:w="1433"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7" w:type="dxa"/>
            <w:vAlign w:val="center"/>
          </w:tcPr>
          <w:p>
            <w:pPr>
              <w:adjustRightInd/>
              <w:spacing w:line="240" w:lineRule="auto"/>
              <w:jc w:val="center"/>
              <w:rPr>
                <w:rFonts w:ascii="华文楷体" w:hAnsi="华文楷体" w:eastAsia="华文楷体" w:cs="华文楷体"/>
                <w:color w:val="0000FF"/>
                <w:sz w:val="18"/>
                <w:szCs w:val="18"/>
              </w:rPr>
            </w:pPr>
            <w:r>
              <w:rPr>
                <w:rFonts w:hint="eastAsia" w:ascii="华文楷体" w:hAnsi="华文楷体" w:eastAsia="华文楷体" w:cs="华文楷体"/>
                <w:color w:val="0000FF"/>
                <w:sz w:val="18"/>
                <w:szCs w:val="18"/>
              </w:rPr>
              <w:t>钢筋混凝土框架</w:t>
            </w:r>
            <w:r>
              <w:rPr>
                <w:rFonts w:ascii="华文楷体" w:hAnsi="华文楷体" w:eastAsia="华文楷体" w:cs="华文楷体"/>
                <w:color w:val="0000FF"/>
                <w:sz w:val="18"/>
                <w:szCs w:val="18"/>
              </w:rPr>
              <w:t>-</w:t>
            </w:r>
            <w:r>
              <w:rPr>
                <w:rFonts w:hint="eastAsia" w:ascii="华文楷体" w:hAnsi="华文楷体" w:eastAsia="华文楷体" w:cs="华文楷体"/>
                <w:color w:val="0000FF"/>
                <w:sz w:val="18"/>
                <w:szCs w:val="18"/>
              </w:rPr>
              <w:t>抗震墙、板柱</w:t>
            </w:r>
            <w:r>
              <w:rPr>
                <w:rFonts w:ascii="华文楷体" w:hAnsi="华文楷体" w:eastAsia="华文楷体" w:cs="华文楷体"/>
                <w:color w:val="0000FF"/>
                <w:sz w:val="18"/>
                <w:szCs w:val="18"/>
              </w:rPr>
              <w:t>-</w:t>
            </w:r>
            <w:r>
              <w:rPr>
                <w:rFonts w:hint="eastAsia" w:ascii="华文楷体" w:hAnsi="华文楷体" w:eastAsia="华文楷体" w:cs="华文楷体"/>
                <w:color w:val="0000FF"/>
                <w:sz w:val="18"/>
                <w:szCs w:val="18"/>
              </w:rPr>
              <w:t>抗震墙、框架</w:t>
            </w:r>
            <w:r>
              <w:rPr>
                <w:rFonts w:ascii="华文楷体" w:hAnsi="华文楷体" w:eastAsia="华文楷体" w:cs="华文楷体"/>
                <w:color w:val="0000FF"/>
                <w:sz w:val="18"/>
                <w:szCs w:val="18"/>
              </w:rPr>
              <w:t>-</w:t>
            </w:r>
            <w:r>
              <w:rPr>
                <w:rFonts w:hint="eastAsia" w:ascii="华文楷体" w:hAnsi="华文楷体" w:eastAsia="华文楷体" w:cs="华文楷体"/>
                <w:color w:val="0000FF"/>
                <w:sz w:val="18"/>
                <w:szCs w:val="18"/>
              </w:rPr>
              <w:t>核心筒</w:t>
            </w:r>
          </w:p>
        </w:tc>
        <w:tc>
          <w:tcPr>
            <w:tcW w:w="1111"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1/800</w:t>
            </w:r>
          </w:p>
        </w:tc>
        <w:tc>
          <w:tcPr>
            <w:tcW w:w="1331"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1/530</w:t>
            </w:r>
          </w:p>
        </w:tc>
        <w:tc>
          <w:tcPr>
            <w:tcW w:w="1459"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1/400</w:t>
            </w:r>
          </w:p>
        </w:tc>
        <w:tc>
          <w:tcPr>
            <w:tcW w:w="1460"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1/200</w:t>
            </w:r>
          </w:p>
        </w:tc>
        <w:tc>
          <w:tcPr>
            <w:tcW w:w="1433"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7" w:type="dxa"/>
            <w:vAlign w:val="center"/>
          </w:tcPr>
          <w:p>
            <w:pPr>
              <w:adjustRightInd/>
              <w:spacing w:line="240" w:lineRule="auto"/>
              <w:jc w:val="center"/>
              <w:rPr>
                <w:rFonts w:ascii="华文楷体" w:hAnsi="华文楷体" w:eastAsia="华文楷体" w:cs="华文楷体"/>
                <w:color w:val="0000FF"/>
                <w:sz w:val="18"/>
                <w:szCs w:val="18"/>
              </w:rPr>
            </w:pPr>
            <w:r>
              <w:rPr>
                <w:rFonts w:hint="eastAsia" w:ascii="华文楷体" w:hAnsi="华文楷体" w:eastAsia="华文楷体" w:cs="华文楷体"/>
                <w:color w:val="0000FF"/>
                <w:sz w:val="18"/>
                <w:szCs w:val="18"/>
              </w:rPr>
              <w:t>钢结构</w:t>
            </w:r>
          </w:p>
        </w:tc>
        <w:tc>
          <w:tcPr>
            <w:tcW w:w="1111"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1/300</w:t>
            </w:r>
          </w:p>
        </w:tc>
        <w:tc>
          <w:tcPr>
            <w:tcW w:w="1331"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1/200</w:t>
            </w:r>
          </w:p>
        </w:tc>
        <w:tc>
          <w:tcPr>
            <w:tcW w:w="1459"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1/150</w:t>
            </w:r>
          </w:p>
        </w:tc>
        <w:tc>
          <w:tcPr>
            <w:tcW w:w="1460"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1/100</w:t>
            </w:r>
          </w:p>
        </w:tc>
        <w:tc>
          <w:tcPr>
            <w:tcW w:w="1433"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7" w:type="dxa"/>
            <w:vAlign w:val="center"/>
          </w:tcPr>
          <w:p>
            <w:pPr>
              <w:adjustRightInd/>
              <w:spacing w:line="240" w:lineRule="auto"/>
              <w:jc w:val="center"/>
              <w:rPr>
                <w:rFonts w:ascii="华文楷体" w:hAnsi="华文楷体" w:eastAsia="华文楷体" w:cs="华文楷体"/>
                <w:color w:val="0000FF"/>
                <w:sz w:val="18"/>
                <w:szCs w:val="18"/>
              </w:rPr>
            </w:pPr>
            <w:r>
              <w:rPr>
                <w:rFonts w:hint="eastAsia" w:ascii="华文楷体" w:hAnsi="华文楷体" w:eastAsia="华文楷体" w:cs="华文楷体"/>
                <w:color w:val="0000FF"/>
                <w:sz w:val="18"/>
                <w:szCs w:val="18"/>
              </w:rPr>
              <w:t>钢框架</w:t>
            </w:r>
            <w:r>
              <w:rPr>
                <w:rFonts w:ascii="华文楷体" w:hAnsi="华文楷体" w:eastAsia="华文楷体" w:cs="华文楷体"/>
                <w:color w:val="0000FF"/>
                <w:sz w:val="18"/>
                <w:szCs w:val="18"/>
              </w:rPr>
              <w:t>-</w:t>
            </w:r>
            <w:r>
              <w:rPr>
                <w:rFonts w:hint="eastAsia" w:ascii="华文楷体" w:hAnsi="华文楷体" w:eastAsia="华文楷体" w:cs="华文楷体"/>
                <w:color w:val="0000FF"/>
                <w:sz w:val="18"/>
                <w:szCs w:val="18"/>
              </w:rPr>
              <w:t>钢筋混凝土内筒、型钢混凝土框架</w:t>
            </w:r>
            <w:r>
              <w:rPr>
                <w:rFonts w:ascii="华文楷体" w:hAnsi="华文楷体" w:eastAsia="华文楷体" w:cs="华文楷体"/>
                <w:color w:val="0000FF"/>
                <w:sz w:val="18"/>
                <w:szCs w:val="18"/>
              </w:rPr>
              <w:t>-</w:t>
            </w:r>
            <w:r>
              <w:rPr>
                <w:rFonts w:hint="eastAsia" w:ascii="华文楷体" w:hAnsi="华文楷体" w:eastAsia="华文楷体" w:cs="华文楷体"/>
                <w:color w:val="0000FF"/>
                <w:sz w:val="18"/>
                <w:szCs w:val="18"/>
              </w:rPr>
              <w:t>钢筋混凝土内筒</w:t>
            </w:r>
          </w:p>
        </w:tc>
        <w:tc>
          <w:tcPr>
            <w:tcW w:w="1111"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1/800</w:t>
            </w:r>
          </w:p>
        </w:tc>
        <w:tc>
          <w:tcPr>
            <w:tcW w:w="1331"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1/530</w:t>
            </w:r>
          </w:p>
        </w:tc>
        <w:tc>
          <w:tcPr>
            <w:tcW w:w="1459"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1/400</w:t>
            </w:r>
          </w:p>
        </w:tc>
        <w:tc>
          <w:tcPr>
            <w:tcW w:w="1460"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1/200</w:t>
            </w:r>
          </w:p>
        </w:tc>
        <w:tc>
          <w:tcPr>
            <w:tcW w:w="1433" w:type="dxa"/>
            <w:vAlign w:val="center"/>
          </w:tcPr>
          <w:p>
            <w:pPr>
              <w:adjustRightInd/>
              <w:spacing w:line="240" w:lineRule="auto"/>
              <w:jc w:val="center"/>
              <w:rPr>
                <w:rFonts w:ascii="华文楷体" w:hAnsi="华文楷体" w:eastAsia="华文楷体" w:cs="华文楷体"/>
                <w:color w:val="0000FF"/>
                <w:sz w:val="18"/>
                <w:szCs w:val="18"/>
              </w:rPr>
            </w:pPr>
            <w:r>
              <w:rPr>
                <w:rFonts w:ascii="华文楷体" w:hAnsi="华文楷体" w:eastAsia="华文楷体" w:cs="华文楷体"/>
                <w:color w:val="0000FF"/>
                <w:sz w:val="18"/>
                <w:szCs w:val="18"/>
              </w:rPr>
              <w:t>1/110</w:t>
            </w:r>
          </w:p>
        </w:tc>
      </w:tr>
    </w:tbl>
    <w:p>
      <w:pPr>
        <w:pStyle w:val="58"/>
        <w:ind w:firstLine="0" w:firstLineChars="0"/>
        <w:rPr>
          <w:color w:val="FF0000"/>
        </w:rPr>
      </w:pPr>
      <w:r>
        <w:rPr>
          <w:rFonts w:hint="eastAsia" w:ascii="华文楷体" w:hAnsi="华文楷体" w:eastAsia="华文楷体" w:cs="华文楷体"/>
          <w:color w:val="FF0000"/>
          <w:kern w:val="2"/>
          <w:szCs w:val="22"/>
        </w:rPr>
        <w:t>因此本标准对标准设防类结构采用防止倒塌的层间位移控制限值；对重点设防类结构采用不严重破坏的层间位移控制限值；对特殊设防类结构采用中等破坏的层间位移控制限值。</w:t>
      </w:r>
    </w:p>
    <w:p>
      <w:pPr>
        <w:widowControl/>
        <w:adjustRightInd/>
        <w:spacing w:line="240" w:lineRule="auto"/>
        <w:jc w:val="left"/>
        <w:rPr>
          <w:rFonts w:ascii="宋体" w:hAnsi="Times New Roman"/>
          <w:kern w:val="0"/>
          <w:szCs w:val="20"/>
        </w:rPr>
      </w:pPr>
      <w:r>
        <w:br w:type="page"/>
      </w:r>
    </w:p>
    <w:p>
      <w:pPr>
        <w:pStyle w:val="106"/>
        <w:spacing w:before="312" w:after="312"/>
        <w:jc w:val="center"/>
      </w:pPr>
      <w:bookmarkStart w:id="45" w:name="_Toc92414095"/>
      <w:r>
        <w:rPr>
          <w:rFonts w:hint="eastAsia"/>
        </w:rPr>
        <w:t>性能化设计</w:t>
      </w:r>
      <w:bookmarkEnd w:id="45"/>
    </w:p>
    <w:p>
      <w:pPr>
        <w:pStyle w:val="107"/>
        <w:spacing w:before="156" w:after="156"/>
        <w:jc w:val="center"/>
      </w:pPr>
      <w:r>
        <w:rPr>
          <w:rFonts w:hint="eastAsia"/>
        </w:rPr>
        <w:t>基本设计方法</w:t>
      </w:r>
    </w:p>
    <w:p>
      <w:pPr>
        <w:pStyle w:val="167"/>
      </w:pPr>
      <w:r>
        <w:rPr>
          <w:rFonts w:hint="eastAsia"/>
        </w:rPr>
        <w:t>消能减震结构、隔震结构进行抗震性能化设计时，应结合建筑实际需求选择性能水准和性能目标，并采取满足预期的抗震性能目标的措施。</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5.1.1</w:t>
      </w:r>
      <w:r>
        <w:rPr>
          <w:rFonts w:hint="eastAsia" w:ascii="华文楷体" w:hAnsi="华文楷体" w:eastAsia="华文楷体" w:cs="华文楷体"/>
          <w:color w:val="0000FF"/>
          <w:szCs w:val="22"/>
        </w:rPr>
        <w:t>消能减震结构、隔震结构抗震设计性能目标的选用，需综合考虑抗震设防类别、设防烈度、场地条件、结构的特殊性、建造费用、震后损失和修复难易程度等因素。</w:t>
      </w:r>
    </w:p>
    <w:p>
      <w:pPr>
        <w:pStyle w:val="167"/>
      </w:pPr>
      <w:r>
        <w:rPr>
          <w:rFonts w:hint="eastAsia"/>
        </w:rPr>
        <w:t>结构抗震性能目标分为 A、B、C、D 四个等级，结构抗震性能分为 1、2、3、4、5五个水准（表5.1.2），每个性能目标均与一组在指定地震水准下的结构性能水准相对应。</w:t>
      </w:r>
    </w:p>
    <w:p>
      <w:pPr>
        <w:pStyle w:val="114"/>
        <w:numPr>
          <w:ilvl w:val="0"/>
          <w:numId w:val="0"/>
        </w:numPr>
        <w:spacing w:before="156" w:after="156"/>
      </w:pPr>
      <w:r>
        <w:rPr>
          <w:rFonts w:hint="eastAsia"/>
        </w:rPr>
        <w:t>表5.1.2 结构抗震性能目标</w:t>
      </w: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111"/>
        <w:gridCol w:w="1775"/>
        <w:gridCol w:w="1830"/>
        <w:gridCol w:w="1830"/>
        <w:gridCol w:w="18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126" w:type="pct"/>
            <w:vMerge w:val="restart"/>
            <w:tcBorders>
              <w:top w:val="single" w:color="auto" w:sz="8" w:space="0"/>
            </w:tcBorders>
            <w:shd w:val="clear" w:color="auto" w:fill="auto"/>
            <w:vAlign w:val="center"/>
          </w:tcPr>
          <w:p>
            <w:pPr>
              <w:pStyle w:val="180"/>
            </w:pPr>
            <w:r>
              <w:rPr>
                <w:rFonts w:hint="eastAsia"/>
              </w:rPr>
              <w:t>地震水准</w:t>
            </w:r>
          </w:p>
        </w:tc>
        <w:tc>
          <w:tcPr>
            <w:tcW w:w="3874" w:type="pct"/>
            <w:gridSpan w:val="4"/>
            <w:tcBorders>
              <w:top w:val="single" w:color="auto" w:sz="8" w:space="0"/>
              <w:bottom w:val="single" w:color="auto" w:sz="8" w:space="0"/>
            </w:tcBorders>
            <w:shd w:val="clear" w:color="auto" w:fill="auto"/>
            <w:vAlign w:val="center"/>
          </w:tcPr>
          <w:p>
            <w:pPr>
              <w:pStyle w:val="180"/>
            </w:pPr>
            <w:r>
              <w:rPr>
                <w:rFonts w:hint="eastAsia"/>
              </w:rPr>
              <w:t>性能目标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6" w:type="pct"/>
            <w:vMerge w:val="continue"/>
            <w:shd w:val="clear" w:color="auto" w:fill="auto"/>
            <w:vAlign w:val="center"/>
          </w:tcPr>
          <w:p>
            <w:pPr>
              <w:pStyle w:val="180"/>
            </w:pPr>
          </w:p>
        </w:tc>
        <w:tc>
          <w:tcPr>
            <w:tcW w:w="947" w:type="pct"/>
            <w:tcBorders>
              <w:top w:val="single" w:color="auto" w:sz="8" w:space="0"/>
            </w:tcBorders>
            <w:shd w:val="clear" w:color="auto" w:fill="auto"/>
            <w:vAlign w:val="center"/>
          </w:tcPr>
          <w:p>
            <w:pPr>
              <w:pStyle w:val="180"/>
            </w:pPr>
            <w:r>
              <w:t>A</w:t>
            </w:r>
          </w:p>
        </w:tc>
        <w:tc>
          <w:tcPr>
            <w:tcW w:w="976" w:type="pct"/>
            <w:tcBorders>
              <w:top w:val="single" w:color="auto" w:sz="8" w:space="0"/>
            </w:tcBorders>
            <w:shd w:val="clear" w:color="auto" w:fill="auto"/>
            <w:vAlign w:val="center"/>
          </w:tcPr>
          <w:p>
            <w:pPr>
              <w:pStyle w:val="180"/>
            </w:pPr>
            <w:r>
              <w:t>B</w:t>
            </w:r>
          </w:p>
        </w:tc>
        <w:tc>
          <w:tcPr>
            <w:tcW w:w="976" w:type="pct"/>
            <w:tcBorders>
              <w:top w:val="single" w:color="auto" w:sz="8" w:space="0"/>
            </w:tcBorders>
            <w:shd w:val="clear" w:color="auto" w:fill="auto"/>
            <w:vAlign w:val="center"/>
          </w:tcPr>
          <w:p>
            <w:pPr>
              <w:pStyle w:val="180"/>
            </w:pPr>
            <w:r>
              <w:t>C</w:t>
            </w:r>
          </w:p>
        </w:tc>
        <w:tc>
          <w:tcPr>
            <w:tcW w:w="976" w:type="pct"/>
            <w:tcBorders>
              <w:top w:val="single" w:color="auto" w:sz="8" w:space="0"/>
            </w:tcBorders>
            <w:shd w:val="clear" w:color="auto" w:fill="auto"/>
            <w:vAlign w:val="center"/>
          </w:tcPr>
          <w:p>
            <w:pPr>
              <w:pStyle w:val="180"/>
            </w:pPr>
            <w: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6" w:type="pct"/>
            <w:shd w:val="clear" w:color="auto" w:fill="auto"/>
            <w:vAlign w:val="center"/>
          </w:tcPr>
          <w:p>
            <w:pPr>
              <w:pStyle w:val="180"/>
            </w:pPr>
            <w:r>
              <w:rPr>
                <w:rFonts w:hint="eastAsia"/>
              </w:rPr>
              <w:t xml:space="preserve">多遇地震 </w:t>
            </w:r>
          </w:p>
        </w:tc>
        <w:tc>
          <w:tcPr>
            <w:tcW w:w="947" w:type="pct"/>
            <w:shd w:val="clear" w:color="auto" w:fill="auto"/>
            <w:vAlign w:val="center"/>
          </w:tcPr>
          <w:p>
            <w:pPr>
              <w:pStyle w:val="180"/>
            </w:pPr>
            <w:r>
              <w:t>1</w:t>
            </w:r>
          </w:p>
        </w:tc>
        <w:tc>
          <w:tcPr>
            <w:tcW w:w="976" w:type="pct"/>
            <w:shd w:val="clear" w:color="auto" w:fill="auto"/>
            <w:vAlign w:val="center"/>
          </w:tcPr>
          <w:p>
            <w:pPr>
              <w:pStyle w:val="180"/>
            </w:pPr>
            <w:r>
              <w:t>1</w:t>
            </w:r>
          </w:p>
        </w:tc>
        <w:tc>
          <w:tcPr>
            <w:tcW w:w="976" w:type="pct"/>
            <w:shd w:val="clear" w:color="auto" w:fill="auto"/>
            <w:vAlign w:val="center"/>
          </w:tcPr>
          <w:p>
            <w:pPr>
              <w:pStyle w:val="180"/>
            </w:pPr>
            <w:r>
              <w:t>1</w:t>
            </w:r>
          </w:p>
        </w:tc>
        <w:tc>
          <w:tcPr>
            <w:tcW w:w="976" w:type="pct"/>
            <w:shd w:val="clear" w:color="auto" w:fill="auto"/>
            <w:vAlign w:val="center"/>
          </w:tcPr>
          <w:p>
            <w:pPr>
              <w:pStyle w:val="180"/>
            </w:pPr>
            <w: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6" w:type="pct"/>
            <w:shd w:val="clear" w:color="auto" w:fill="auto"/>
            <w:vAlign w:val="center"/>
          </w:tcPr>
          <w:p>
            <w:pPr>
              <w:pStyle w:val="180"/>
            </w:pPr>
            <w:r>
              <w:rPr>
                <w:rFonts w:hint="eastAsia"/>
              </w:rPr>
              <w:t>设防地震</w:t>
            </w:r>
          </w:p>
        </w:tc>
        <w:tc>
          <w:tcPr>
            <w:tcW w:w="947" w:type="pct"/>
            <w:shd w:val="clear" w:color="auto" w:fill="auto"/>
            <w:vAlign w:val="center"/>
          </w:tcPr>
          <w:p>
            <w:pPr>
              <w:pStyle w:val="180"/>
            </w:pPr>
            <w:r>
              <w:t>1</w:t>
            </w:r>
          </w:p>
        </w:tc>
        <w:tc>
          <w:tcPr>
            <w:tcW w:w="976" w:type="pct"/>
            <w:shd w:val="clear" w:color="auto" w:fill="auto"/>
            <w:vAlign w:val="center"/>
          </w:tcPr>
          <w:p>
            <w:pPr>
              <w:pStyle w:val="180"/>
            </w:pPr>
            <w:r>
              <w:t>2</w:t>
            </w:r>
          </w:p>
        </w:tc>
        <w:tc>
          <w:tcPr>
            <w:tcW w:w="976" w:type="pct"/>
            <w:shd w:val="clear" w:color="auto" w:fill="auto"/>
            <w:vAlign w:val="center"/>
          </w:tcPr>
          <w:p>
            <w:pPr>
              <w:pStyle w:val="180"/>
            </w:pPr>
            <w:r>
              <w:t>3</w:t>
            </w:r>
          </w:p>
        </w:tc>
        <w:tc>
          <w:tcPr>
            <w:tcW w:w="976" w:type="pct"/>
            <w:shd w:val="clear" w:color="auto" w:fill="auto"/>
            <w:vAlign w:val="center"/>
          </w:tcPr>
          <w:p>
            <w:pPr>
              <w:pStyle w:val="180"/>
            </w:pPr>
            <w: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6" w:type="pct"/>
            <w:tcBorders>
              <w:bottom w:val="single" w:color="auto" w:sz="8" w:space="0"/>
            </w:tcBorders>
            <w:shd w:val="clear" w:color="auto" w:fill="auto"/>
            <w:vAlign w:val="center"/>
          </w:tcPr>
          <w:p>
            <w:pPr>
              <w:pStyle w:val="180"/>
            </w:pPr>
            <w:r>
              <w:rPr>
                <w:rFonts w:hint="eastAsia"/>
              </w:rPr>
              <w:t>罕遇地震</w:t>
            </w:r>
          </w:p>
        </w:tc>
        <w:tc>
          <w:tcPr>
            <w:tcW w:w="947" w:type="pct"/>
            <w:tcBorders>
              <w:bottom w:val="single" w:color="auto" w:sz="8" w:space="0"/>
            </w:tcBorders>
            <w:shd w:val="clear" w:color="auto" w:fill="auto"/>
            <w:vAlign w:val="center"/>
          </w:tcPr>
          <w:p>
            <w:pPr>
              <w:pStyle w:val="180"/>
            </w:pPr>
            <w:r>
              <w:t>2</w:t>
            </w:r>
          </w:p>
        </w:tc>
        <w:tc>
          <w:tcPr>
            <w:tcW w:w="976" w:type="pct"/>
            <w:tcBorders>
              <w:bottom w:val="single" w:color="auto" w:sz="8" w:space="0"/>
            </w:tcBorders>
            <w:shd w:val="clear" w:color="auto" w:fill="auto"/>
            <w:vAlign w:val="center"/>
          </w:tcPr>
          <w:p>
            <w:pPr>
              <w:pStyle w:val="180"/>
            </w:pPr>
            <w:r>
              <w:t>3</w:t>
            </w:r>
          </w:p>
        </w:tc>
        <w:tc>
          <w:tcPr>
            <w:tcW w:w="976" w:type="pct"/>
            <w:tcBorders>
              <w:bottom w:val="single" w:color="auto" w:sz="8" w:space="0"/>
            </w:tcBorders>
            <w:shd w:val="clear" w:color="auto" w:fill="auto"/>
            <w:vAlign w:val="center"/>
          </w:tcPr>
          <w:p>
            <w:pPr>
              <w:pStyle w:val="180"/>
            </w:pPr>
            <w:r>
              <w:t>4</w:t>
            </w:r>
          </w:p>
        </w:tc>
        <w:tc>
          <w:tcPr>
            <w:tcW w:w="976" w:type="pct"/>
            <w:tcBorders>
              <w:bottom w:val="single" w:color="auto" w:sz="8" w:space="0"/>
            </w:tcBorders>
            <w:shd w:val="clear" w:color="auto" w:fill="auto"/>
            <w:vAlign w:val="center"/>
          </w:tcPr>
          <w:p>
            <w:pPr>
              <w:pStyle w:val="180"/>
            </w:pPr>
            <w:r>
              <w:t>5</w:t>
            </w:r>
          </w:p>
        </w:tc>
      </w:tr>
    </w:tbl>
    <w:p>
      <w:pPr>
        <w:pStyle w:val="167"/>
      </w:pPr>
      <w:r>
        <w:rPr>
          <w:rFonts w:hint="eastAsia"/>
        </w:rPr>
        <w:t>结构抗震性能水准可按下表进行宏观判别。</w:t>
      </w:r>
    </w:p>
    <w:p>
      <w:pPr>
        <w:pStyle w:val="114"/>
        <w:numPr>
          <w:ilvl w:val="0"/>
          <w:numId w:val="0"/>
        </w:numPr>
        <w:spacing w:before="156" w:after="156"/>
      </w:pPr>
      <w:r>
        <w:rPr>
          <w:rFonts w:hint="eastAsia"/>
        </w:rPr>
        <w:t>表5.1.3 各性能水准结构预期的震后性能状态</w:t>
      </w: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65"/>
        <w:gridCol w:w="1440"/>
        <w:gridCol w:w="1507"/>
        <w:gridCol w:w="1676"/>
        <w:gridCol w:w="1509"/>
        <w:gridCol w:w="21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568" w:type="pct"/>
            <w:vMerge w:val="restart"/>
            <w:tcBorders>
              <w:top w:val="single" w:color="auto" w:sz="8" w:space="0"/>
            </w:tcBorders>
            <w:shd w:val="clear" w:color="auto" w:fill="auto"/>
            <w:vAlign w:val="center"/>
          </w:tcPr>
          <w:p>
            <w:pPr>
              <w:pStyle w:val="180"/>
            </w:pPr>
            <w:r>
              <w:rPr>
                <w:rFonts w:hint="eastAsia"/>
              </w:rPr>
              <w:t>性能水准</w:t>
            </w:r>
          </w:p>
        </w:tc>
        <w:tc>
          <w:tcPr>
            <w:tcW w:w="768" w:type="pct"/>
            <w:vMerge w:val="restart"/>
            <w:tcBorders>
              <w:top w:val="single" w:color="auto" w:sz="8" w:space="0"/>
            </w:tcBorders>
            <w:shd w:val="clear" w:color="auto" w:fill="auto"/>
            <w:vAlign w:val="center"/>
          </w:tcPr>
          <w:p>
            <w:pPr>
              <w:pStyle w:val="180"/>
            </w:pPr>
            <w:r>
              <w:rPr>
                <w:rFonts w:hint="eastAsia"/>
              </w:rPr>
              <w:t>宏观损坏程度</w:t>
            </w:r>
          </w:p>
        </w:tc>
        <w:tc>
          <w:tcPr>
            <w:tcW w:w="2503" w:type="pct"/>
            <w:gridSpan w:val="3"/>
            <w:tcBorders>
              <w:top w:val="single" w:color="auto" w:sz="8" w:space="0"/>
              <w:bottom w:val="single" w:color="auto" w:sz="8" w:space="0"/>
            </w:tcBorders>
            <w:shd w:val="clear" w:color="auto" w:fill="auto"/>
            <w:vAlign w:val="center"/>
          </w:tcPr>
          <w:p>
            <w:pPr>
              <w:pStyle w:val="180"/>
            </w:pPr>
            <w:r>
              <w:rPr>
                <w:rFonts w:hint="eastAsia"/>
              </w:rPr>
              <w:t>损坏部位</w:t>
            </w:r>
          </w:p>
        </w:tc>
        <w:tc>
          <w:tcPr>
            <w:tcW w:w="1162" w:type="pct"/>
            <w:vMerge w:val="restart"/>
            <w:tcBorders>
              <w:top w:val="single" w:color="auto" w:sz="8" w:space="0"/>
            </w:tcBorders>
            <w:shd w:val="clear" w:color="auto" w:fill="auto"/>
            <w:vAlign w:val="center"/>
          </w:tcPr>
          <w:p>
            <w:pPr>
              <w:pStyle w:val="180"/>
            </w:pPr>
            <w:r>
              <w:rPr>
                <w:rFonts w:hint="eastAsia"/>
              </w:rPr>
              <w:t>继续使用可能性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68" w:type="pct"/>
            <w:vMerge w:val="continue"/>
            <w:shd w:val="clear" w:color="auto" w:fill="auto"/>
            <w:vAlign w:val="center"/>
          </w:tcPr>
          <w:p>
            <w:pPr>
              <w:pStyle w:val="180"/>
            </w:pPr>
          </w:p>
        </w:tc>
        <w:tc>
          <w:tcPr>
            <w:tcW w:w="768" w:type="pct"/>
            <w:vMerge w:val="continue"/>
            <w:shd w:val="clear" w:color="auto" w:fill="auto"/>
            <w:vAlign w:val="center"/>
          </w:tcPr>
          <w:p>
            <w:pPr>
              <w:pStyle w:val="180"/>
            </w:pPr>
          </w:p>
        </w:tc>
        <w:tc>
          <w:tcPr>
            <w:tcW w:w="804" w:type="pct"/>
            <w:tcBorders>
              <w:top w:val="single" w:color="auto" w:sz="8" w:space="0"/>
            </w:tcBorders>
            <w:shd w:val="clear" w:color="auto" w:fill="auto"/>
            <w:vAlign w:val="center"/>
          </w:tcPr>
          <w:p>
            <w:pPr>
              <w:pStyle w:val="180"/>
            </w:pPr>
            <w:r>
              <w:rPr>
                <w:rFonts w:hint="eastAsia"/>
              </w:rPr>
              <w:t>关键构件</w:t>
            </w:r>
          </w:p>
        </w:tc>
        <w:tc>
          <w:tcPr>
            <w:tcW w:w="894" w:type="pct"/>
            <w:tcBorders>
              <w:top w:val="single" w:color="auto" w:sz="8" w:space="0"/>
            </w:tcBorders>
            <w:shd w:val="clear" w:color="auto" w:fill="auto"/>
            <w:vAlign w:val="center"/>
          </w:tcPr>
          <w:p>
            <w:pPr>
              <w:pStyle w:val="180"/>
            </w:pPr>
            <w:r>
              <w:rPr>
                <w:rFonts w:hint="eastAsia"/>
              </w:rPr>
              <w:t>普通竖向构件及重要水平构件</w:t>
            </w:r>
          </w:p>
        </w:tc>
        <w:tc>
          <w:tcPr>
            <w:tcW w:w="805" w:type="pct"/>
            <w:tcBorders>
              <w:top w:val="single" w:color="auto" w:sz="8" w:space="0"/>
            </w:tcBorders>
            <w:shd w:val="clear" w:color="auto" w:fill="auto"/>
            <w:vAlign w:val="center"/>
          </w:tcPr>
          <w:p>
            <w:pPr>
              <w:pStyle w:val="180"/>
            </w:pPr>
            <w:r>
              <w:rPr>
                <w:rFonts w:hint="eastAsia"/>
              </w:rPr>
              <w:t>普通水平构件</w:t>
            </w:r>
          </w:p>
        </w:tc>
        <w:tc>
          <w:tcPr>
            <w:tcW w:w="1162" w:type="pct"/>
            <w:vMerge w:val="continue"/>
            <w:shd w:val="clear" w:color="auto" w:fill="auto"/>
            <w:vAlign w:val="center"/>
          </w:tcPr>
          <w:p>
            <w:pPr>
              <w:pStyle w:val="1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68" w:type="pct"/>
            <w:shd w:val="clear" w:color="auto" w:fill="auto"/>
            <w:vAlign w:val="center"/>
          </w:tcPr>
          <w:p>
            <w:pPr>
              <w:pStyle w:val="180"/>
            </w:pPr>
            <w:r>
              <w:rPr>
                <w:rFonts w:hint="eastAsia"/>
              </w:rPr>
              <w:t>1</w:t>
            </w:r>
          </w:p>
        </w:tc>
        <w:tc>
          <w:tcPr>
            <w:tcW w:w="768" w:type="pct"/>
            <w:shd w:val="clear" w:color="auto" w:fill="auto"/>
            <w:vAlign w:val="center"/>
          </w:tcPr>
          <w:p>
            <w:pPr>
              <w:pStyle w:val="180"/>
            </w:pPr>
            <w:r>
              <w:rPr>
                <w:rFonts w:hint="eastAsia"/>
              </w:rPr>
              <w:t>基本完好（含完好）</w:t>
            </w:r>
          </w:p>
        </w:tc>
        <w:tc>
          <w:tcPr>
            <w:tcW w:w="804" w:type="pct"/>
            <w:shd w:val="clear" w:color="auto" w:fill="auto"/>
            <w:vAlign w:val="center"/>
          </w:tcPr>
          <w:p>
            <w:pPr>
              <w:pStyle w:val="180"/>
            </w:pPr>
            <w:r>
              <w:rPr>
                <w:rFonts w:hint="eastAsia"/>
              </w:rPr>
              <w:t>无损坏</w:t>
            </w:r>
          </w:p>
        </w:tc>
        <w:tc>
          <w:tcPr>
            <w:tcW w:w="894" w:type="pct"/>
            <w:shd w:val="clear" w:color="auto" w:fill="auto"/>
            <w:vAlign w:val="center"/>
          </w:tcPr>
          <w:p>
            <w:pPr>
              <w:pStyle w:val="180"/>
            </w:pPr>
            <w:r>
              <w:rPr>
                <w:rFonts w:hint="eastAsia"/>
              </w:rPr>
              <w:t>无损坏</w:t>
            </w:r>
          </w:p>
        </w:tc>
        <w:tc>
          <w:tcPr>
            <w:tcW w:w="805" w:type="pct"/>
            <w:shd w:val="clear" w:color="auto" w:fill="auto"/>
            <w:vAlign w:val="center"/>
          </w:tcPr>
          <w:p>
            <w:pPr>
              <w:pStyle w:val="180"/>
            </w:pPr>
            <w:r>
              <w:rPr>
                <w:rFonts w:hint="eastAsia"/>
              </w:rPr>
              <w:t>无损坏</w:t>
            </w:r>
          </w:p>
        </w:tc>
        <w:tc>
          <w:tcPr>
            <w:tcW w:w="1162" w:type="pct"/>
            <w:shd w:val="clear" w:color="auto" w:fill="auto"/>
            <w:vAlign w:val="center"/>
          </w:tcPr>
          <w:p>
            <w:pPr>
              <w:pStyle w:val="180"/>
            </w:pPr>
            <w:r>
              <w:rPr>
                <w:rFonts w:hint="eastAsia"/>
              </w:rPr>
              <w:t>不需修理即可继续使用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68" w:type="pct"/>
            <w:shd w:val="clear" w:color="auto" w:fill="auto"/>
            <w:vAlign w:val="center"/>
          </w:tcPr>
          <w:p>
            <w:pPr>
              <w:pStyle w:val="180"/>
            </w:pPr>
            <w:r>
              <w:rPr>
                <w:rFonts w:hint="eastAsia"/>
              </w:rPr>
              <w:t>2</w:t>
            </w:r>
          </w:p>
        </w:tc>
        <w:tc>
          <w:tcPr>
            <w:tcW w:w="768" w:type="pct"/>
            <w:shd w:val="clear" w:color="auto" w:fill="auto"/>
            <w:vAlign w:val="center"/>
          </w:tcPr>
          <w:p>
            <w:pPr>
              <w:pStyle w:val="180"/>
            </w:pPr>
            <w:r>
              <w:rPr>
                <w:rFonts w:hint="eastAsia"/>
              </w:rPr>
              <w:t>轻微损坏</w:t>
            </w:r>
          </w:p>
        </w:tc>
        <w:tc>
          <w:tcPr>
            <w:tcW w:w="804" w:type="pct"/>
            <w:shd w:val="clear" w:color="auto" w:fill="auto"/>
            <w:vAlign w:val="center"/>
          </w:tcPr>
          <w:p>
            <w:pPr>
              <w:pStyle w:val="180"/>
            </w:pPr>
            <w:r>
              <w:rPr>
                <w:rFonts w:hint="eastAsia"/>
              </w:rPr>
              <w:t>无损坏</w:t>
            </w:r>
          </w:p>
        </w:tc>
        <w:tc>
          <w:tcPr>
            <w:tcW w:w="894" w:type="pct"/>
            <w:shd w:val="clear" w:color="auto" w:fill="auto"/>
            <w:vAlign w:val="center"/>
          </w:tcPr>
          <w:p>
            <w:pPr>
              <w:pStyle w:val="180"/>
            </w:pPr>
            <w:r>
              <w:rPr>
                <w:rFonts w:hint="eastAsia"/>
              </w:rPr>
              <w:t>无损坏</w:t>
            </w:r>
          </w:p>
        </w:tc>
        <w:tc>
          <w:tcPr>
            <w:tcW w:w="805" w:type="pct"/>
            <w:shd w:val="clear" w:color="auto" w:fill="auto"/>
            <w:vAlign w:val="center"/>
          </w:tcPr>
          <w:p>
            <w:pPr>
              <w:pStyle w:val="180"/>
            </w:pPr>
            <w:r>
              <w:rPr>
                <w:rFonts w:hint="eastAsia"/>
              </w:rPr>
              <w:t>轻微损坏</w:t>
            </w:r>
          </w:p>
        </w:tc>
        <w:tc>
          <w:tcPr>
            <w:tcW w:w="1162" w:type="pct"/>
            <w:shd w:val="clear" w:color="auto" w:fill="auto"/>
            <w:vAlign w:val="center"/>
          </w:tcPr>
          <w:p>
            <w:pPr>
              <w:pStyle w:val="180"/>
            </w:pPr>
            <w:r>
              <w:rPr>
                <w:rFonts w:hint="eastAsia"/>
              </w:rPr>
              <w:t>不需修理即可继续使用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68" w:type="pct"/>
            <w:shd w:val="clear" w:color="auto" w:fill="auto"/>
            <w:vAlign w:val="center"/>
          </w:tcPr>
          <w:p>
            <w:pPr>
              <w:pStyle w:val="180"/>
            </w:pPr>
            <w:r>
              <w:rPr>
                <w:rFonts w:hint="eastAsia"/>
              </w:rPr>
              <w:t>3</w:t>
            </w:r>
          </w:p>
        </w:tc>
        <w:tc>
          <w:tcPr>
            <w:tcW w:w="768" w:type="pct"/>
            <w:shd w:val="clear" w:color="auto" w:fill="auto"/>
            <w:vAlign w:val="center"/>
          </w:tcPr>
          <w:p>
            <w:pPr>
              <w:pStyle w:val="180"/>
            </w:pPr>
            <w:r>
              <w:rPr>
                <w:rFonts w:hint="eastAsia"/>
              </w:rPr>
              <w:t>轻度损坏</w:t>
            </w:r>
          </w:p>
        </w:tc>
        <w:tc>
          <w:tcPr>
            <w:tcW w:w="804" w:type="pct"/>
            <w:shd w:val="clear" w:color="auto" w:fill="auto"/>
            <w:vAlign w:val="center"/>
          </w:tcPr>
          <w:p>
            <w:pPr>
              <w:pStyle w:val="180"/>
            </w:pPr>
            <w:r>
              <w:rPr>
                <w:rFonts w:hint="eastAsia"/>
              </w:rPr>
              <w:t>无损坏</w:t>
            </w:r>
          </w:p>
        </w:tc>
        <w:tc>
          <w:tcPr>
            <w:tcW w:w="894" w:type="pct"/>
            <w:shd w:val="clear" w:color="auto" w:fill="auto"/>
            <w:vAlign w:val="center"/>
          </w:tcPr>
          <w:p>
            <w:pPr>
              <w:pStyle w:val="180"/>
            </w:pPr>
            <w:r>
              <w:rPr>
                <w:rFonts w:hint="eastAsia"/>
              </w:rPr>
              <w:t>轻微损坏</w:t>
            </w:r>
          </w:p>
        </w:tc>
        <w:tc>
          <w:tcPr>
            <w:tcW w:w="805" w:type="pct"/>
            <w:shd w:val="clear" w:color="auto" w:fill="auto"/>
            <w:vAlign w:val="center"/>
          </w:tcPr>
          <w:p>
            <w:pPr>
              <w:pStyle w:val="180"/>
            </w:pPr>
            <w:r>
              <w:rPr>
                <w:rFonts w:hint="eastAsia"/>
              </w:rPr>
              <w:t>轻度损坏</w:t>
            </w:r>
          </w:p>
        </w:tc>
        <w:tc>
          <w:tcPr>
            <w:tcW w:w="1162" w:type="pct"/>
            <w:shd w:val="clear" w:color="auto" w:fill="auto"/>
            <w:vAlign w:val="center"/>
          </w:tcPr>
          <w:p>
            <w:pPr>
              <w:pStyle w:val="180"/>
            </w:pPr>
            <w:r>
              <w:rPr>
                <w:rFonts w:hint="eastAsia"/>
              </w:rPr>
              <w:t>一般修理后可继续使用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68" w:type="pct"/>
            <w:shd w:val="clear" w:color="auto" w:fill="auto"/>
            <w:vAlign w:val="center"/>
          </w:tcPr>
          <w:p>
            <w:pPr>
              <w:pStyle w:val="180"/>
            </w:pPr>
            <w:r>
              <w:rPr>
                <w:rFonts w:hint="eastAsia"/>
              </w:rPr>
              <w:t>4</w:t>
            </w:r>
          </w:p>
        </w:tc>
        <w:tc>
          <w:tcPr>
            <w:tcW w:w="768" w:type="pct"/>
            <w:shd w:val="clear" w:color="auto" w:fill="auto"/>
            <w:vAlign w:val="center"/>
          </w:tcPr>
          <w:p>
            <w:pPr>
              <w:pStyle w:val="180"/>
            </w:pPr>
            <w:r>
              <w:rPr>
                <w:rFonts w:hint="eastAsia"/>
              </w:rPr>
              <w:t>中度损坏</w:t>
            </w:r>
          </w:p>
        </w:tc>
        <w:tc>
          <w:tcPr>
            <w:tcW w:w="804" w:type="pct"/>
            <w:shd w:val="clear" w:color="auto" w:fill="auto"/>
            <w:vAlign w:val="center"/>
          </w:tcPr>
          <w:p>
            <w:pPr>
              <w:pStyle w:val="180"/>
            </w:pPr>
            <w:r>
              <w:rPr>
                <w:rFonts w:hint="eastAsia"/>
              </w:rPr>
              <w:t>轻微损坏</w:t>
            </w:r>
          </w:p>
        </w:tc>
        <w:tc>
          <w:tcPr>
            <w:tcW w:w="894" w:type="pct"/>
            <w:shd w:val="clear" w:color="auto" w:fill="auto"/>
            <w:vAlign w:val="center"/>
          </w:tcPr>
          <w:p>
            <w:pPr>
              <w:pStyle w:val="180"/>
            </w:pPr>
            <w:r>
              <w:rPr>
                <w:rFonts w:hint="eastAsia"/>
              </w:rPr>
              <w:t>轻度损坏</w:t>
            </w:r>
          </w:p>
        </w:tc>
        <w:tc>
          <w:tcPr>
            <w:tcW w:w="805" w:type="pct"/>
            <w:shd w:val="clear" w:color="auto" w:fill="auto"/>
            <w:vAlign w:val="center"/>
          </w:tcPr>
          <w:p>
            <w:pPr>
              <w:pStyle w:val="180"/>
            </w:pPr>
            <w:r>
              <w:rPr>
                <w:rFonts w:hint="eastAsia"/>
              </w:rPr>
              <w:t>中度损坏</w:t>
            </w:r>
          </w:p>
        </w:tc>
        <w:tc>
          <w:tcPr>
            <w:tcW w:w="1162" w:type="pct"/>
            <w:shd w:val="clear" w:color="auto" w:fill="auto"/>
            <w:vAlign w:val="center"/>
          </w:tcPr>
          <w:p>
            <w:pPr>
              <w:pStyle w:val="180"/>
            </w:pPr>
            <w:r>
              <w:rPr>
                <w:rFonts w:hint="eastAsia"/>
              </w:rPr>
              <w:t>修复后可继续使用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68" w:type="pct"/>
            <w:shd w:val="clear" w:color="auto" w:fill="auto"/>
            <w:vAlign w:val="center"/>
          </w:tcPr>
          <w:p>
            <w:pPr>
              <w:pStyle w:val="180"/>
            </w:pPr>
            <w:r>
              <w:rPr>
                <w:rFonts w:hint="eastAsia"/>
              </w:rPr>
              <w:t>5</w:t>
            </w:r>
          </w:p>
        </w:tc>
        <w:tc>
          <w:tcPr>
            <w:tcW w:w="768" w:type="pct"/>
            <w:shd w:val="clear" w:color="auto" w:fill="auto"/>
            <w:vAlign w:val="center"/>
          </w:tcPr>
          <w:p>
            <w:pPr>
              <w:pStyle w:val="180"/>
            </w:pPr>
            <w:r>
              <w:rPr>
                <w:rFonts w:hint="eastAsia"/>
              </w:rPr>
              <w:t>比较严重损坏</w:t>
            </w:r>
          </w:p>
        </w:tc>
        <w:tc>
          <w:tcPr>
            <w:tcW w:w="804" w:type="pct"/>
            <w:shd w:val="clear" w:color="auto" w:fill="auto"/>
            <w:vAlign w:val="center"/>
          </w:tcPr>
          <w:p>
            <w:pPr>
              <w:pStyle w:val="180"/>
            </w:pPr>
            <w:r>
              <w:rPr>
                <w:rFonts w:hint="eastAsia"/>
              </w:rPr>
              <w:t>轻度损坏</w:t>
            </w:r>
          </w:p>
        </w:tc>
        <w:tc>
          <w:tcPr>
            <w:tcW w:w="894" w:type="pct"/>
            <w:shd w:val="clear" w:color="auto" w:fill="auto"/>
            <w:vAlign w:val="center"/>
          </w:tcPr>
          <w:p>
            <w:pPr>
              <w:pStyle w:val="180"/>
            </w:pPr>
            <w:r>
              <w:rPr>
                <w:rFonts w:hint="eastAsia"/>
              </w:rPr>
              <w:t>中度损坏</w:t>
            </w:r>
          </w:p>
        </w:tc>
        <w:tc>
          <w:tcPr>
            <w:tcW w:w="805" w:type="pct"/>
            <w:shd w:val="clear" w:color="auto" w:fill="auto"/>
            <w:vAlign w:val="center"/>
          </w:tcPr>
          <w:p>
            <w:pPr>
              <w:pStyle w:val="180"/>
            </w:pPr>
            <w:r>
              <w:rPr>
                <w:rFonts w:hint="eastAsia"/>
              </w:rPr>
              <w:t>比较严重损坏</w:t>
            </w:r>
          </w:p>
        </w:tc>
        <w:tc>
          <w:tcPr>
            <w:tcW w:w="1162" w:type="pct"/>
            <w:shd w:val="clear" w:color="auto" w:fill="auto"/>
            <w:vAlign w:val="center"/>
          </w:tcPr>
          <w:p>
            <w:pPr>
              <w:pStyle w:val="180"/>
            </w:pPr>
            <w:r>
              <w:rPr>
                <w:rFonts w:hint="eastAsia"/>
              </w:rPr>
              <w:t>需排险加固</w:t>
            </w:r>
          </w:p>
        </w:tc>
      </w:tr>
    </w:tbl>
    <w:p>
      <w:pPr>
        <w:pStyle w:val="167"/>
      </w:pPr>
      <w:r>
        <w:rPr>
          <w:rFonts w:hint="eastAsia"/>
        </w:rPr>
        <w:t>不同抗震性能水准的结构承载力验算应符合下列规定：</w:t>
      </w:r>
    </w:p>
    <w:p>
      <w:pPr>
        <w:pStyle w:val="58"/>
        <w:ind w:firstLine="420"/>
      </w:pPr>
      <w:r>
        <w:rPr>
          <w:rFonts w:hint="eastAsia" w:ascii="黑体" w:hAnsi="黑体" w:eastAsia="黑体"/>
        </w:rPr>
        <w:t>1</w:t>
      </w:r>
      <w:r>
        <w:rPr>
          <w:rFonts w:hint="eastAsia"/>
        </w:rPr>
        <w:t xml:space="preserve"> </w:t>
      </w:r>
      <w:r>
        <w:t xml:space="preserve"> </w:t>
      </w:r>
      <w:r>
        <w:rPr>
          <w:rFonts w:hint="eastAsia"/>
        </w:rPr>
        <w:t>第1性能水准的结构，应满足弹性设计要求，结构构件的抗震承载力应符合下式规定：</w:t>
      </w:r>
    </w:p>
    <w:p>
      <w:pPr>
        <w:pStyle w:val="115"/>
      </w:pPr>
      <w:r>
        <w:tab/>
      </w:r>
      <w:r>
        <w:rPr>
          <w:position w:val="-12"/>
        </w:rPr>
        <w:object>
          <v:shape id="_x0000_i1157" o:spt="75" type="#_x0000_t75" style="height:19.1pt;width:163.1pt;" o:ole="t" filled="f" o:preferrelative="t" stroked="f" coordsize="21600,21600">
            <v:path/>
            <v:fill on="f" focussize="0,0"/>
            <v:stroke on="f" joinstyle="miter"/>
            <v:imagedata r:id="rId262" o:title=""/>
            <o:lock v:ext="edit" aspectratio="t"/>
            <w10:wrap type="none"/>
            <w10:anchorlock/>
          </v:shape>
          <o:OLEObject Type="Embed" ProgID="Equation.KSEE3" ShapeID="_x0000_i1157" DrawAspect="Content" ObjectID="_1468075857" r:id="rId261">
            <o:LockedField>false</o:LockedField>
          </o:OLEObject>
        </w:object>
      </w:r>
      <w:r>
        <w:rPr>
          <w:rFonts w:ascii="微软雅黑" w:hAnsi="微软雅黑" w:eastAsia="微软雅黑"/>
        </w:rPr>
        <w:tab/>
      </w:r>
      <w:r>
        <w:t>(5.1.4-1)</w:t>
      </w:r>
    </w:p>
    <w:p>
      <w:pPr>
        <w:pStyle w:val="58"/>
        <w:ind w:firstLine="420"/>
      </w:pPr>
      <w:r>
        <w:rPr>
          <w:rFonts w:hint="eastAsia" w:ascii="黑体" w:hAnsi="黑体" w:eastAsia="黑体"/>
        </w:rPr>
        <w:t>2</w:t>
      </w:r>
      <w:r>
        <w:rPr>
          <w:rFonts w:ascii="黑体" w:hAnsi="黑体" w:eastAsia="黑体"/>
        </w:rPr>
        <w:t xml:space="preserve"> </w:t>
      </w:r>
      <w:r>
        <w:rPr>
          <w:rFonts w:hint="eastAsia"/>
        </w:rPr>
        <w:t xml:space="preserve"> 第 2 性能水准的结构，关键构件抗震承载力应符合式（5.1.4-1）的规定；普通竖向构件及重要水平构件的受剪承载力应符合式（5.1.4-1）的规定，其正截面承载力应符合式（5.1.4-2）、（5.1.4-3）的规定；普通水平构件的受剪承载力应符合式（5.1.4-2）的规定，其正截面承载力应符合式（5.1.4- 4）的规定：</w:t>
      </w:r>
    </w:p>
    <w:p>
      <w:pPr>
        <w:pStyle w:val="115"/>
      </w:pPr>
      <w:r>
        <w:tab/>
      </w:r>
      <w:r>
        <w:rPr>
          <w:position w:val="-12"/>
        </w:rPr>
        <w:object>
          <v:shape id="_x0000_i1158" o:spt="75" type="#_x0000_t75" style="height:19.1pt;width:121.2pt;" o:ole="t" filled="f" o:preferrelative="t" stroked="f" coordsize="21600,21600">
            <v:path/>
            <v:fill on="f" focussize="0,0"/>
            <v:stroke on="f" joinstyle="miter"/>
            <v:imagedata r:id="rId264" o:title=""/>
            <o:lock v:ext="edit" aspectratio="t"/>
            <w10:wrap type="none"/>
            <w10:anchorlock/>
          </v:shape>
          <o:OLEObject Type="Embed" ProgID="Equation.KSEE3" ShapeID="_x0000_i1158" DrawAspect="Content" ObjectID="_1468075858" r:id="rId263">
            <o:LockedField>false</o:LockedField>
          </o:OLEObject>
        </w:object>
      </w:r>
      <w:r>
        <w:rPr>
          <w:rFonts w:ascii="微软雅黑" w:hAnsi="微软雅黑" w:eastAsia="微软雅黑"/>
        </w:rPr>
        <w:tab/>
      </w:r>
      <w:r>
        <w:t>(5.1.4-2)</w:t>
      </w:r>
    </w:p>
    <w:p>
      <w:pPr>
        <w:pStyle w:val="115"/>
      </w:pPr>
      <w:r>
        <w:tab/>
      </w:r>
      <w:r>
        <w:rPr>
          <w:position w:val="-12"/>
        </w:rPr>
        <w:object>
          <v:shape id="_x0000_i1159" o:spt="75" type="#_x0000_t75" style="height:19.1pt;width:121.2pt;" o:ole="t" filled="f" o:preferrelative="t" stroked="f" coordsize="21600,21600">
            <v:path/>
            <v:fill on="f" focussize="0,0"/>
            <v:stroke on="f" joinstyle="miter"/>
            <v:imagedata r:id="rId266" o:title=""/>
            <o:lock v:ext="edit" aspectratio="t"/>
            <w10:wrap type="none"/>
            <w10:anchorlock/>
          </v:shape>
          <o:OLEObject Type="Embed" ProgID="Equation.KSEE3" ShapeID="_x0000_i1159" DrawAspect="Content" ObjectID="_1468075859" r:id="rId265">
            <o:LockedField>false</o:LockedField>
          </o:OLEObject>
        </w:object>
      </w:r>
      <w:r>
        <w:rPr>
          <w:rFonts w:ascii="微软雅黑" w:hAnsi="微软雅黑" w:eastAsia="微软雅黑"/>
        </w:rPr>
        <w:tab/>
      </w:r>
      <w:r>
        <w:t>(5.1.4-3)</w:t>
      </w:r>
    </w:p>
    <w:p>
      <w:pPr>
        <w:pStyle w:val="115"/>
      </w:pPr>
      <w:r>
        <w:tab/>
      </w:r>
      <w:r>
        <w:rPr>
          <w:position w:val="-12"/>
        </w:rPr>
        <w:object>
          <v:shape id="_x0000_i1160" o:spt="75" type="#_x0000_t75" style="height:19.1pt;width:121.2pt;" o:ole="t" filled="f" o:preferrelative="t" stroked="f" coordsize="21600,21600">
            <v:path/>
            <v:fill on="f" focussize="0,0"/>
            <v:stroke on="f" joinstyle="miter"/>
            <v:imagedata r:id="rId268" o:title=""/>
            <o:lock v:ext="edit" aspectratio="t"/>
            <w10:wrap type="none"/>
            <w10:anchorlock/>
          </v:shape>
          <o:OLEObject Type="Embed" ProgID="Equation.KSEE3" ShapeID="_x0000_i1160" DrawAspect="Content" ObjectID="_1468075860" r:id="rId267">
            <o:LockedField>false</o:LockedField>
          </o:OLEObject>
        </w:object>
      </w:r>
      <w:r>
        <w:rPr>
          <w:rFonts w:ascii="微软雅黑" w:hAnsi="微软雅黑" w:eastAsia="微软雅黑"/>
        </w:rPr>
        <w:tab/>
      </w:r>
      <w:r>
        <w:t>(5.1.4-4)</w:t>
      </w:r>
    </w:p>
    <w:p>
      <w:pPr>
        <w:pStyle w:val="58"/>
        <w:ind w:firstLine="420"/>
      </w:pPr>
      <w:r>
        <w:rPr>
          <w:rFonts w:ascii="黑体" w:hAnsi="黑体" w:eastAsia="黑体"/>
        </w:rPr>
        <w:t>3</w:t>
      </w:r>
      <w:r>
        <w:rPr>
          <w:rFonts w:ascii="Times New Roman" w:eastAsiaTheme="minorEastAsia"/>
        </w:rPr>
        <w:t xml:space="preserve"> </w:t>
      </w:r>
      <w:r>
        <w:rPr>
          <w:rFonts w:hint="eastAsia"/>
        </w:rPr>
        <w:t>第</w:t>
      </w:r>
      <w:r>
        <w:t xml:space="preserve"> 3</w:t>
      </w:r>
      <w:r>
        <w:rPr>
          <w:rFonts w:hint="eastAsia"/>
        </w:rPr>
        <w:t>性能水准的结构，弹塑性状态。关键构件、普通竖向构件及重要水平构件的受剪承载力应符合本标准式（</w:t>
      </w:r>
      <w:r>
        <w:t>5.1.4-1</w:t>
      </w:r>
      <w:r>
        <w:rPr>
          <w:rFonts w:hint="eastAsia"/>
        </w:rPr>
        <w:t>）的规定，其正截面承载力应符合本标准式（</w:t>
      </w:r>
      <w:r>
        <w:t>5.1.4-2)</w:t>
      </w:r>
      <w:r>
        <w:rPr>
          <w:rFonts w:hint="eastAsia"/>
        </w:rPr>
        <w:t>、</w:t>
      </w:r>
      <w:r>
        <w:t>(5.1.4-3</w:t>
      </w:r>
      <w:r>
        <w:rPr>
          <w:rFonts w:hint="eastAsia"/>
        </w:rPr>
        <w:t>）的规定；部分普通水平构件进入屈服阶段，但其受剪承载力应符合本标准式（</w:t>
      </w:r>
      <w:r>
        <w:t>5.1.4-2</w:t>
      </w:r>
      <w:r>
        <w:rPr>
          <w:rFonts w:hint="eastAsia"/>
        </w:rPr>
        <w:t>）的规定；</w:t>
      </w:r>
      <w:r>
        <w:t xml:space="preserve"> </w:t>
      </w:r>
      <w:r>
        <w:rPr>
          <w:rFonts w:hint="eastAsia"/>
        </w:rPr>
        <w:t>结构薄弱部位的层间位移角应符合本标准的相关规定。</w:t>
      </w:r>
    </w:p>
    <w:p>
      <w:pPr>
        <w:pStyle w:val="58"/>
        <w:ind w:firstLine="401"/>
        <w:rPr>
          <w:rFonts w:asciiTheme="minorHAnsi" w:hAnsiTheme="minorHAnsi" w:eastAsiaTheme="minorEastAsia"/>
          <w:spacing w:val="-3"/>
          <w:w w:val="99"/>
          <w:szCs w:val="22"/>
        </w:rPr>
      </w:pPr>
      <w:r>
        <w:rPr>
          <w:rFonts w:ascii="黑体" w:hAnsi="黑体" w:eastAsia="黑体"/>
          <w:spacing w:val="-3"/>
          <w:w w:val="99"/>
          <w:szCs w:val="22"/>
        </w:rPr>
        <w:t>4</w:t>
      </w:r>
      <w:r>
        <w:rPr>
          <w:rFonts w:asciiTheme="minorHAnsi" w:hAnsiTheme="minorHAnsi" w:eastAsiaTheme="minorEastAsia"/>
          <w:spacing w:val="-3"/>
          <w:w w:val="99"/>
          <w:szCs w:val="22"/>
        </w:rPr>
        <w:t xml:space="preserve"> </w:t>
      </w:r>
      <w:r>
        <w:rPr>
          <w:rFonts w:hint="eastAsia"/>
        </w:rPr>
        <w:t>第</w:t>
      </w:r>
      <w:r>
        <w:t xml:space="preserve"> 4 </w:t>
      </w:r>
      <w:r>
        <w:rPr>
          <w:rFonts w:hint="eastAsia"/>
        </w:rPr>
        <w:t>性能水准的结构，弹塑性状态。关键构件的抗震承载力</w:t>
      </w:r>
      <w:bookmarkStart w:id="46" w:name="_Hlk86764203"/>
      <w:r>
        <w:rPr>
          <w:rFonts w:hint="eastAsia"/>
        </w:rPr>
        <w:t>应符合本标准式（</w:t>
      </w:r>
      <w:r>
        <w:t>5.1.4-2</w:t>
      </w:r>
      <w:r>
        <w:rPr>
          <w:rFonts w:hint="eastAsia"/>
        </w:rPr>
        <w:t>）、（</w:t>
      </w:r>
      <w:r>
        <w:t>5.1.4-3</w:t>
      </w:r>
      <w:r>
        <w:rPr>
          <w:rFonts w:hint="eastAsia"/>
        </w:rPr>
        <w:t>）的规定</w:t>
      </w:r>
      <w:bookmarkEnd w:id="46"/>
      <w:r>
        <w:rPr>
          <w:rFonts w:hint="eastAsia"/>
        </w:rPr>
        <w:t>；普通竖向构件及重要水平构件的</w:t>
      </w:r>
      <w:bookmarkStart w:id="47" w:name="_Hlk86764076"/>
      <w:r>
        <w:rPr>
          <w:rFonts w:hint="eastAsia"/>
        </w:rPr>
        <w:t>受剪承载力</w:t>
      </w:r>
      <w:bookmarkEnd w:id="47"/>
      <w:r>
        <w:rPr>
          <w:rFonts w:hint="eastAsia"/>
        </w:rPr>
        <w:t>应符合本标准式（</w:t>
      </w:r>
      <w:r>
        <w:t>5.1.4-2</w:t>
      </w:r>
      <w:r>
        <w:rPr>
          <w:rFonts w:hint="eastAsia"/>
        </w:rPr>
        <w:t>）、（</w:t>
      </w:r>
      <w:r>
        <w:t>5.6.4-3</w:t>
      </w:r>
      <w:r>
        <w:rPr>
          <w:rFonts w:hint="eastAsia"/>
        </w:rPr>
        <w:t>）的规定；较多的普通水平构件进入屈服阶段；结构薄弱部位的层间位移角应符合本标准</w:t>
      </w:r>
      <w:r>
        <w:t xml:space="preserve"> </w:t>
      </w:r>
      <w:r>
        <w:rPr>
          <w:rFonts w:hint="eastAsia"/>
        </w:rPr>
        <w:t>的相关规定。</w:t>
      </w:r>
    </w:p>
    <w:p>
      <w:pPr>
        <w:pStyle w:val="58"/>
        <w:ind w:firstLine="401"/>
      </w:pPr>
      <w:r>
        <w:rPr>
          <w:rFonts w:ascii="黑体" w:hAnsi="黑体" w:eastAsia="黑体"/>
          <w:spacing w:val="-3"/>
          <w:w w:val="99"/>
          <w:szCs w:val="22"/>
        </w:rPr>
        <w:t>5</w:t>
      </w:r>
      <w:r>
        <w:rPr>
          <w:rFonts w:asciiTheme="minorHAnsi" w:hAnsiTheme="minorHAnsi" w:eastAsiaTheme="minorEastAsia"/>
          <w:spacing w:val="-3"/>
          <w:w w:val="99"/>
          <w:szCs w:val="22"/>
        </w:rPr>
        <w:t xml:space="preserve"> </w:t>
      </w:r>
      <w:r>
        <w:rPr>
          <w:rFonts w:hint="eastAsia"/>
        </w:rPr>
        <w:t>第</w:t>
      </w:r>
      <w:r>
        <w:t xml:space="preserve"> 5 </w:t>
      </w:r>
      <w:r>
        <w:rPr>
          <w:rFonts w:hint="eastAsia"/>
        </w:rPr>
        <w:t>性能水准的结构</w:t>
      </w:r>
      <w:r>
        <w:t>,</w:t>
      </w:r>
      <w:r>
        <w:rPr>
          <w:rFonts w:hint="eastAsia"/>
        </w:rPr>
        <w:t>弹塑性状态。关键构件受剪承载力应符合本标准式（</w:t>
      </w:r>
      <w:r>
        <w:t>5.1.4-2</w:t>
      </w:r>
      <w:r>
        <w:rPr>
          <w:rFonts w:hint="eastAsia"/>
        </w:rPr>
        <w:t>）、（</w:t>
      </w:r>
      <w:r>
        <w:t>5.1.4-3</w:t>
      </w:r>
      <w:r>
        <w:rPr>
          <w:rFonts w:hint="eastAsia"/>
        </w:rPr>
        <w:t>）的规定；较多的竖向构件进入屈服阶段，但同一楼层的竖向构件不宜全部屈服；允许部分普通水平构件发生比较严重的破坏。</w:t>
      </w:r>
    </w:p>
    <w:p>
      <w:pPr>
        <w:pStyle w:val="167"/>
      </w:pPr>
      <w:r>
        <w:rPr>
          <w:rFonts w:hint="eastAsia"/>
        </w:rPr>
        <w:t>不同抗震性能水准的结构层间位移角应满足表5.1.5的限值要求。</w:t>
      </w:r>
    </w:p>
    <w:p>
      <w:pPr>
        <w:pStyle w:val="114"/>
        <w:numPr>
          <w:ilvl w:val="0"/>
          <w:numId w:val="0"/>
        </w:numPr>
        <w:spacing w:before="156" w:after="156"/>
      </w:pPr>
      <w:r>
        <w:rPr>
          <w:rFonts w:hint="eastAsia"/>
        </w:rPr>
        <w:t>表5.1.5 结构竖向构件对应于不同性能水准的最大层间位移角限值</w:t>
      </w: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3649"/>
        <w:gridCol w:w="1204"/>
        <w:gridCol w:w="1159"/>
        <w:gridCol w:w="1086"/>
        <w:gridCol w:w="1084"/>
        <w:gridCol w:w="11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947" w:type="pct"/>
            <w:tcBorders>
              <w:top w:val="single" w:color="auto" w:sz="8" w:space="0"/>
              <w:bottom w:val="single" w:color="auto" w:sz="8" w:space="0"/>
            </w:tcBorders>
            <w:shd w:val="clear" w:color="auto" w:fill="auto"/>
            <w:vAlign w:val="center"/>
          </w:tcPr>
          <w:p>
            <w:pPr>
              <w:pStyle w:val="180"/>
            </w:pPr>
            <w:r>
              <w:rPr>
                <w:rFonts w:hint="eastAsia"/>
              </w:rPr>
              <w:t>结构类型</w:t>
            </w:r>
          </w:p>
        </w:tc>
        <w:tc>
          <w:tcPr>
            <w:tcW w:w="642" w:type="pct"/>
            <w:tcBorders>
              <w:top w:val="single" w:color="auto" w:sz="8" w:space="0"/>
              <w:bottom w:val="single" w:color="auto" w:sz="8" w:space="0"/>
            </w:tcBorders>
            <w:shd w:val="clear" w:color="auto" w:fill="auto"/>
            <w:vAlign w:val="center"/>
          </w:tcPr>
          <w:p>
            <w:pPr>
              <w:pStyle w:val="180"/>
            </w:pPr>
            <w:r>
              <w:rPr>
                <w:rFonts w:hint="eastAsia"/>
              </w:rPr>
              <w:t>1</w:t>
            </w:r>
          </w:p>
        </w:tc>
        <w:tc>
          <w:tcPr>
            <w:tcW w:w="618" w:type="pct"/>
            <w:tcBorders>
              <w:top w:val="single" w:color="auto" w:sz="8" w:space="0"/>
              <w:bottom w:val="single" w:color="auto" w:sz="8" w:space="0"/>
            </w:tcBorders>
            <w:shd w:val="clear" w:color="auto" w:fill="auto"/>
            <w:vAlign w:val="center"/>
          </w:tcPr>
          <w:p>
            <w:pPr>
              <w:pStyle w:val="180"/>
            </w:pPr>
            <w:r>
              <w:rPr>
                <w:rFonts w:hint="eastAsia"/>
              </w:rPr>
              <w:t>2</w:t>
            </w:r>
          </w:p>
        </w:tc>
        <w:tc>
          <w:tcPr>
            <w:tcW w:w="579" w:type="pct"/>
            <w:tcBorders>
              <w:top w:val="single" w:color="auto" w:sz="8" w:space="0"/>
              <w:bottom w:val="single" w:color="auto" w:sz="8" w:space="0"/>
            </w:tcBorders>
            <w:shd w:val="clear" w:color="auto" w:fill="auto"/>
            <w:vAlign w:val="center"/>
          </w:tcPr>
          <w:p>
            <w:pPr>
              <w:pStyle w:val="180"/>
            </w:pPr>
            <w:r>
              <w:rPr>
                <w:rFonts w:hint="eastAsia"/>
              </w:rPr>
              <w:t>3</w:t>
            </w:r>
          </w:p>
        </w:tc>
        <w:tc>
          <w:tcPr>
            <w:tcW w:w="578" w:type="pct"/>
            <w:tcBorders>
              <w:top w:val="single" w:color="auto" w:sz="8" w:space="0"/>
              <w:bottom w:val="single" w:color="auto" w:sz="8" w:space="0"/>
            </w:tcBorders>
            <w:shd w:val="clear" w:color="auto" w:fill="auto"/>
            <w:vAlign w:val="center"/>
          </w:tcPr>
          <w:p>
            <w:pPr>
              <w:pStyle w:val="180"/>
            </w:pPr>
            <w:r>
              <w:rPr>
                <w:rFonts w:hint="eastAsia"/>
              </w:rPr>
              <w:t>4</w:t>
            </w:r>
          </w:p>
        </w:tc>
        <w:tc>
          <w:tcPr>
            <w:tcW w:w="636" w:type="pct"/>
            <w:tcBorders>
              <w:top w:val="single" w:color="auto" w:sz="8" w:space="0"/>
              <w:bottom w:val="single" w:color="auto" w:sz="8" w:space="0"/>
            </w:tcBorders>
            <w:shd w:val="clear" w:color="auto" w:fill="auto"/>
            <w:vAlign w:val="center"/>
          </w:tcPr>
          <w:p>
            <w:pPr>
              <w:pStyle w:val="180"/>
            </w:pPr>
            <w:r>
              <w:rPr>
                <w:rFonts w:hint="eastAsia"/>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947" w:type="pct"/>
            <w:tcBorders>
              <w:top w:val="single" w:color="auto" w:sz="8" w:space="0"/>
            </w:tcBorders>
            <w:shd w:val="clear" w:color="auto" w:fill="auto"/>
            <w:vAlign w:val="center"/>
          </w:tcPr>
          <w:p>
            <w:pPr>
              <w:pStyle w:val="180"/>
            </w:pPr>
            <w:r>
              <w:rPr>
                <w:rFonts w:hint="eastAsia"/>
              </w:rPr>
              <w:t>钢筋混凝土框架结构</w:t>
            </w:r>
          </w:p>
        </w:tc>
        <w:tc>
          <w:tcPr>
            <w:tcW w:w="642" w:type="pct"/>
            <w:tcBorders>
              <w:top w:val="single" w:color="auto" w:sz="8" w:space="0"/>
            </w:tcBorders>
            <w:shd w:val="clear" w:color="auto" w:fill="auto"/>
            <w:vAlign w:val="center"/>
          </w:tcPr>
          <w:p>
            <w:pPr>
              <w:pStyle w:val="180"/>
            </w:pPr>
            <w:r>
              <w:rPr>
                <w:rFonts w:hint="eastAsia"/>
              </w:rPr>
              <w:t>1/550</w:t>
            </w:r>
          </w:p>
        </w:tc>
        <w:tc>
          <w:tcPr>
            <w:tcW w:w="618" w:type="pct"/>
            <w:tcBorders>
              <w:top w:val="single" w:color="auto" w:sz="8" w:space="0"/>
            </w:tcBorders>
            <w:shd w:val="clear" w:color="auto" w:fill="auto"/>
            <w:vAlign w:val="center"/>
          </w:tcPr>
          <w:p>
            <w:pPr>
              <w:pStyle w:val="180"/>
            </w:pPr>
            <w:r>
              <w:rPr>
                <w:rFonts w:hint="eastAsia"/>
              </w:rPr>
              <w:t>1/350</w:t>
            </w:r>
          </w:p>
        </w:tc>
        <w:tc>
          <w:tcPr>
            <w:tcW w:w="579" w:type="pct"/>
            <w:tcBorders>
              <w:top w:val="single" w:color="auto" w:sz="8" w:space="0"/>
            </w:tcBorders>
            <w:shd w:val="clear" w:color="auto" w:fill="auto"/>
            <w:vAlign w:val="center"/>
          </w:tcPr>
          <w:p>
            <w:pPr>
              <w:pStyle w:val="180"/>
            </w:pPr>
            <w:r>
              <w:rPr>
                <w:rFonts w:hint="eastAsia"/>
              </w:rPr>
              <w:t>1/250</w:t>
            </w:r>
          </w:p>
        </w:tc>
        <w:tc>
          <w:tcPr>
            <w:tcW w:w="578" w:type="pct"/>
            <w:tcBorders>
              <w:top w:val="single" w:color="auto" w:sz="8" w:space="0"/>
            </w:tcBorders>
            <w:shd w:val="clear" w:color="auto" w:fill="auto"/>
            <w:vAlign w:val="center"/>
          </w:tcPr>
          <w:p>
            <w:pPr>
              <w:pStyle w:val="180"/>
            </w:pPr>
            <w:r>
              <w:rPr>
                <w:rFonts w:hint="eastAsia"/>
              </w:rPr>
              <w:t>1/120</w:t>
            </w:r>
          </w:p>
        </w:tc>
        <w:tc>
          <w:tcPr>
            <w:tcW w:w="636" w:type="pct"/>
            <w:tcBorders>
              <w:top w:val="single" w:color="auto" w:sz="8" w:space="0"/>
            </w:tcBorders>
            <w:shd w:val="clear" w:color="auto" w:fill="auto"/>
            <w:vAlign w:val="center"/>
          </w:tcPr>
          <w:p>
            <w:pPr>
              <w:pStyle w:val="180"/>
            </w:pPr>
            <w:r>
              <w:rPr>
                <w:rFonts w:hint="eastAsia"/>
              </w:rPr>
              <w:t>1/70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947" w:type="pct"/>
            <w:shd w:val="clear" w:color="auto" w:fill="auto"/>
            <w:vAlign w:val="center"/>
          </w:tcPr>
          <w:p>
            <w:pPr>
              <w:pStyle w:val="180"/>
            </w:pPr>
            <w:r>
              <w:rPr>
                <w:rFonts w:hint="eastAsia"/>
              </w:rPr>
              <w:t>钢筋混凝土抗震墙、筒中筒</w:t>
            </w:r>
          </w:p>
        </w:tc>
        <w:tc>
          <w:tcPr>
            <w:tcW w:w="642" w:type="pct"/>
            <w:shd w:val="clear" w:color="auto" w:fill="auto"/>
            <w:vAlign w:val="center"/>
          </w:tcPr>
          <w:p>
            <w:pPr>
              <w:pStyle w:val="180"/>
            </w:pPr>
            <w:r>
              <w:rPr>
                <w:rFonts w:hint="eastAsia"/>
              </w:rPr>
              <w:t>1/1000</w:t>
            </w:r>
          </w:p>
        </w:tc>
        <w:tc>
          <w:tcPr>
            <w:tcW w:w="618" w:type="pct"/>
            <w:shd w:val="clear" w:color="auto" w:fill="auto"/>
            <w:vAlign w:val="center"/>
          </w:tcPr>
          <w:p>
            <w:pPr>
              <w:pStyle w:val="180"/>
            </w:pPr>
            <w:r>
              <w:rPr>
                <w:rFonts w:hint="eastAsia"/>
              </w:rPr>
              <w:t>1/650</w:t>
            </w:r>
          </w:p>
        </w:tc>
        <w:tc>
          <w:tcPr>
            <w:tcW w:w="579" w:type="pct"/>
            <w:shd w:val="clear" w:color="auto" w:fill="auto"/>
            <w:vAlign w:val="center"/>
          </w:tcPr>
          <w:p>
            <w:pPr>
              <w:pStyle w:val="180"/>
            </w:pPr>
            <w:r>
              <w:rPr>
                <w:rFonts w:hint="eastAsia"/>
              </w:rPr>
              <w:t>1/500</w:t>
            </w:r>
          </w:p>
        </w:tc>
        <w:tc>
          <w:tcPr>
            <w:tcW w:w="578" w:type="pct"/>
            <w:shd w:val="clear" w:color="auto" w:fill="auto"/>
            <w:vAlign w:val="center"/>
          </w:tcPr>
          <w:p>
            <w:pPr>
              <w:pStyle w:val="180"/>
            </w:pPr>
            <w:r>
              <w:rPr>
                <w:rFonts w:hint="eastAsia"/>
              </w:rPr>
              <w:t>1/250</w:t>
            </w:r>
          </w:p>
        </w:tc>
        <w:tc>
          <w:tcPr>
            <w:tcW w:w="636" w:type="pct"/>
            <w:shd w:val="clear" w:color="auto" w:fill="auto"/>
            <w:vAlign w:val="center"/>
          </w:tcPr>
          <w:p>
            <w:pPr>
              <w:pStyle w:val="180"/>
            </w:pPr>
            <w:r>
              <w:rPr>
                <w:rFonts w:hint="eastAsia"/>
              </w:rPr>
              <w:t>1/150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947" w:type="pct"/>
            <w:shd w:val="clear" w:color="auto" w:fill="auto"/>
            <w:vAlign w:val="center"/>
          </w:tcPr>
          <w:p>
            <w:pPr>
              <w:pStyle w:val="180"/>
            </w:pPr>
            <w:r>
              <w:rPr>
                <w:rFonts w:hint="eastAsia"/>
              </w:rPr>
              <w:t>钢筋混凝土框架-抗震墙、板柱-抗震墙、框架-核心筒</w:t>
            </w:r>
          </w:p>
        </w:tc>
        <w:tc>
          <w:tcPr>
            <w:tcW w:w="642" w:type="pct"/>
            <w:shd w:val="clear" w:color="auto" w:fill="auto"/>
            <w:vAlign w:val="center"/>
          </w:tcPr>
          <w:p>
            <w:pPr>
              <w:pStyle w:val="180"/>
            </w:pPr>
            <w:r>
              <w:rPr>
                <w:rFonts w:hint="eastAsia"/>
              </w:rPr>
              <w:t>1/800</w:t>
            </w:r>
          </w:p>
        </w:tc>
        <w:tc>
          <w:tcPr>
            <w:tcW w:w="618" w:type="pct"/>
            <w:shd w:val="clear" w:color="auto" w:fill="auto"/>
            <w:vAlign w:val="center"/>
          </w:tcPr>
          <w:p>
            <w:pPr>
              <w:pStyle w:val="180"/>
            </w:pPr>
            <w:r>
              <w:rPr>
                <w:rFonts w:hint="eastAsia"/>
              </w:rPr>
              <w:t>1/530</w:t>
            </w:r>
          </w:p>
        </w:tc>
        <w:tc>
          <w:tcPr>
            <w:tcW w:w="579" w:type="pct"/>
            <w:shd w:val="clear" w:color="auto" w:fill="auto"/>
            <w:vAlign w:val="center"/>
          </w:tcPr>
          <w:p>
            <w:pPr>
              <w:pStyle w:val="180"/>
            </w:pPr>
            <w:r>
              <w:rPr>
                <w:rFonts w:hint="eastAsia"/>
              </w:rPr>
              <w:t>1/400</w:t>
            </w:r>
          </w:p>
        </w:tc>
        <w:tc>
          <w:tcPr>
            <w:tcW w:w="578" w:type="pct"/>
            <w:shd w:val="clear" w:color="auto" w:fill="auto"/>
            <w:vAlign w:val="center"/>
          </w:tcPr>
          <w:p>
            <w:pPr>
              <w:pStyle w:val="180"/>
            </w:pPr>
            <w:r>
              <w:rPr>
                <w:rFonts w:hint="eastAsia"/>
              </w:rPr>
              <w:t>1/200</w:t>
            </w:r>
          </w:p>
        </w:tc>
        <w:tc>
          <w:tcPr>
            <w:tcW w:w="636" w:type="pct"/>
            <w:shd w:val="clear" w:color="auto" w:fill="auto"/>
            <w:vAlign w:val="center"/>
          </w:tcPr>
          <w:p>
            <w:pPr>
              <w:pStyle w:val="180"/>
            </w:pPr>
            <w:r>
              <w:rPr>
                <w:rFonts w:hint="eastAsia"/>
              </w:rPr>
              <w:t>1/130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947" w:type="pct"/>
            <w:shd w:val="clear" w:color="auto" w:fill="auto"/>
            <w:vAlign w:val="center"/>
          </w:tcPr>
          <w:p>
            <w:pPr>
              <w:pStyle w:val="180"/>
            </w:pPr>
            <w:r>
              <w:rPr>
                <w:rFonts w:hint="eastAsia"/>
              </w:rPr>
              <w:t>钢结构框架</w:t>
            </w:r>
          </w:p>
        </w:tc>
        <w:tc>
          <w:tcPr>
            <w:tcW w:w="642" w:type="pct"/>
            <w:shd w:val="clear" w:color="auto" w:fill="auto"/>
            <w:vAlign w:val="center"/>
          </w:tcPr>
          <w:p>
            <w:pPr>
              <w:pStyle w:val="180"/>
            </w:pPr>
            <w:r>
              <w:rPr>
                <w:rFonts w:hint="eastAsia"/>
              </w:rPr>
              <w:t>1/300</w:t>
            </w:r>
          </w:p>
        </w:tc>
        <w:tc>
          <w:tcPr>
            <w:tcW w:w="618" w:type="pct"/>
            <w:shd w:val="clear" w:color="auto" w:fill="auto"/>
            <w:vAlign w:val="center"/>
          </w:tcPr>
          <w:p>
            <w:pPr>
              <w:pStyle w:val="180"/>
            </w:pPr>
            <w:r>
              <w:rPr>
                <w:rFonts w:hint="eastAsia"/>
              </w:rPr>
              <w:t>1/200</w:t>
            </w:r>
          </w:p>
        </w:tc>
        <w:tc>
          <w:tcPr>
            <w:tcW w:w="579" w:type="pct"/>
            <w:shd w:val="clear" w:color="auto" w:fill="auto"/>
            <w:vAlign w:val="center"/>
          </w:tcPr>
          <w:p>
            <w:pPr>
              <w:pStyle w:val="180"/>
            </w:pPr>
            <w:r>
              <w:rPr>
                <w:rFonts w:hint="eastAsia"/>
              </w:rPr>
              <w:t>1/150</w:t>
            </w:r>
          </w:p>
        </w:tc>
        <w:tc>
          <w:tcPr>
            <w:tcW w:w="578" w:type="pct"/>
            <w:shd w:val="clear" w:color="auto" w:fill="auto"/>
            <w:vAlign w:val="center"/>
          </w:tcPr>
          <w:p>
            <w:pPr>
              <w:pStyle w:val="180"/>
            </w:pPr>
            <w:r>
              <w:rPr>
                <w:rFonts w:hint="eastAsia"/>
              </w:rPr>
              <w:t>1/100</w:t>
            </w:r>
          </w:p>
        </w:tc>
        <w:tc>
          <w:tcPr>
            <w:tcW w:w="636" w:type="pct"/>
            <w:shd w:val="clear" w:color="auto" w:fill="auto"/>
            <w:vAlign w:val="center"/>
          </w:tcPr>
          <w:p>
            <w:pPr>
              <w:pStyle w:val="180"/>
            </w:pPr>
            <w:r>
              <w:rPr>
                <w:rFonts w:hint="eastAsia"/>
              </w:rPr>
              <w:t>1/60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947" w:type="pct"/>
            <w:shd w:val="clear" w:color="auto" w:fill="auto"/>
            <w:vAlign w:val="center"/>
          </w:tcPr>
          <w:p>
            <w:pPr>
              <w:pStyle w:val="180"/>
            </w:pPr>
            <w:r>
              <w:rPr>
                <w:rFonts w:hint="eastAsia"/>
              </w:rPr>
              <w:t>钢框架-钢筋混凝土内筒、型钢混凝土框架-钢筋混凝土内筒</w:t>
            </w:r>
          </w:p>
        </w:tc>
        <w:tc>
          <w:tcPr>
            <w:tcW w:w="642" w:type="pct"/>
            <w:shd w:val="clear" w:color="auto" w:fill="auto"/>
            <w:vAlign w:val="center"/>
          </w:tcPr>
          <w:p>
            <w:pPr>
              <w:pStyle w:val="180"/>
            </w:pPr>
            <w:r>
              <w:rPr>
                <w:rFonts w:hint="eastAsia"/>
              </w:rPr>
              <w:t>1/800</w:t>
            </w:r>
          </w:p>
        </w:tc>
        <w:tc>
          <w:tcPr>
            <w:tcW w:w="618" w:type="pct"/>
            <w:shd w:val="clear" w:color="auto" w:fill="auto"/>
            <w:vAlign w:val="center"/>
          </w:tcPr>
          <w:p>
            <w:pPr>
              <w:pStyle w:val="180"/>
            </w:pPr>
            <w:r>
              <w:rPr>
                <w:rFonts w:hint="eastAsia"/>
              </w:rPr>
              <w:t>1/530</w:t>
            </w:r>
          </w:p>
        </w:tc>
        <w:tc>
          <w:tcPr>
            <w:tcW w:w="579" w:type="pct"/>
            <w:shd w:val="clear" w:color="auto" w:fill="auto"/>
            <w:vAlign w:val="center"/>
          </w:tcPr>
          <w:p>
            <w:pPr>
              <w:pStyle w:val="180"/>
            </w:pPr>
            <w:r>
              <w:rPr>
                <w:rFonts w:hint="eastAsia"/>
              </w:rPr>
              <w:t>1/400</w:t>
            </w:r>
          </w:p>
        </w:tc>
        <w:tc>
          <w:tcPr>
            <w:tcW w:w="578" w:type="pct"/>
            <w:shd w:val="clear" w:color="auto" w:fill="auto"/>
            <w:vAlign w:val="center"/>
          </w:tcPr>
          <w:p>
            <w:pPr>
              <w:pStyle w:val="180"/>
            </w:pPr>
            <w:r>
              <w:rPr>
                <w:rFonts w:hint="eastAsia"/>
              </w:rPr>
              <w:t>1/200</w:t>
            </w:r>
          </w:p>
        </w:tc>
        <w:tc>
          <w:tcPr>
            <w:tcW w:w="636" w:type="pct"/>
            <w:shd w:val="clear" w:color="auto" w:fill="auto"/>
            <w:vAlign w:val="center"/>
          </w:tcPr>
          <w:p>
            <w:pPr>
              <w:pStyle w:val="180"/>
            </w:pPr>
            <w:r>
              <w:rPr>
                <w:rFonts w:hint="eastAsia"/>
              </w:rPr>
              <w:t>1/130</w:t>
            </w:r>
          </w:p>
        </w:tc>
      </w:tr>
    </w:tbl>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5.1.2~2.1.5</w:t>
      </w:r>
      <w:r>
        <w:rPr>
          <w:rFonts w:hint="eastAsia" w:ascii="华文楷体" w:hAnsi="华文楷体" w:eastAsia="华文楷体" w:cs="华文楷体"/>
          <w:color w:val="0000FF"/>
          <w:szCs w:val="22"/>
        </w:rPr>
        <w:t>同条文说明</w:t>
      </w:r>
      <w:r>
        <w:rPr>
          <w:rFonts w:ascii="华文楷体" w:hAnsi="华文楷体" w:eastAsia="华文楷体" w:cs="华文楷体"/>
          <w:color w:val="0000FF"/>
          <w:szCs w:val="22"/>
        </w:rPr>
        <w:t>4.5.3</w:t>
      </w:r>
      <w:r>
        <w:rPr>
          <w:rFonts w:hint="eastAsia" w:ascii="华文楷体" w:hAnsi="华文楷体" w:eastAsia="华文楷体" w:cs="华文楷体"/>
          <w:color w:val="0000FF"/>
          <w:szCs w:val="22"/>
        </w:rPr>
        <w:t>。</w:t>
      </w:r>
    </w:p>
    <w:p>
      <w:pPr>
        <w:pStyle w:val="107"/>
        <w:spacing w:before="156" w:after="156"/>
        <w:jc w:val="center"/>
      </w:pPr>
      <w:r>
        <w:rPr>
          <w:rFonts w:hint="eastAsia"/>
        </w:rPr>
        <w:t>设防烈度地震正常使用建筑的性能目标及设计</w:t>
      </w:r>
    </w:p>
    <w:p>
      <w:pPr>
        <w:pStyle w:val="167"/>
      </w:pPr>
      <w:r>
        <w:rPr>
          <w:rFonts w:hint="eastAsia"/>
        </w:rPr>
        <w:t>位于设防烈度8度及以上地区、地震重点监视区防御的新建学校（人员密集）、幼儿园、医院、养老机构、儿童福利机构、应急避难场所、消防指挥中心应急指挥中心和广播电视的建筑应按设防烈度地震时正常使用要求进行抗震设计。</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5.2.1</w:t>
      </w:r>
      <w:r>
        <w:rPr>
          <w:rFonts w:hint="eastAsia" w:ascii="华文楷体" w:hAnsi="华文楷体" w:eastAsia="华文楷体" w:cs="华文楷体"/>
          <w:color w:val="0000FF"/>
          <w:szCs w:val="22"/>
        </w:rPr>
        <w:t>依据《建设工程抗震管理条例》第二章第十六条规定。</w:t>
      </w:r>
    </w:p>
    <w:p>
      <w:pPr>
        <w:pStyle w:val="167"/>
      </w:pPr>
      <w:r>
        <w:rPr>
          <w:rFonts w:hint="eastAsia"/>
        </w:rPr>
        <w:t>设防烈度地震下正常使用的建筑抗震设防性能目标不应低于B级。</w:t>
      </w:r>
    </w:p>
    <w:p>
      <w:pPr>
        <w:adjustRightInd/>
        <w:spacing w:line="240" w:lineRule="auto"/>
        <w:rPr>
          <w:rFonts w:ascii="Times New Roman" w:hAnsi="Times New Roman"/>
          <w:b/>
          <w:bCs/>
          <w:color w:val="FF0000"/>
        </w:rPr>
      </w:pPr>
      <w:r>
        <w:rPr>
          <w:rFonts w:hint="eastAsia" w:ascii="华文楷体" w:hAnsi="华文楷体" w:eastAsia="华文楷体" w:cs="华文楷体"/>
          <w:color w:val="FF0000"/>
          <w:szCs w:val="22"/>
        </w:rPr>
        <w:t>条文说明</w:t>
      </w:r>
      <w:r>
        <w:rPr>
          <w:rFonts w:ascii="华文楷体" w:hAnsi="华文楷体" w:eastAsia="华文楷体" w:cs="华文楷体"/>
          <w:color w:val="FF0000"/>
          <w:szCs w:val="22"/>
        </w:rPr>
        <w:t>5.2.2</w:t>
      </w:r>
      <w:r>
        <w:rPr>
          <w:rFonts w:hint="eastAsia" w:ascii="华文楷体" w:hAnsi="华文楷体" w:eastAsia="华文楷体" w:cs="华文楷体"/>
          <w:color w:val="FF0000"/>
          <w:szCs w:val="22"/>
        </w:rPr>
        <w:t>以主要结构构件和位移相关性非结构构件的地震易损性为基础，通过限制设防地震和罕遇地震作用下结构的层间变形，控制上述构件在一定保证率条件下处于轻微损伤和中度损坏的状态，从而确保建筑震后正常使用建筑的性能目标。即其抗震设防性能目标为“中震基本不坏，大震可修”。</w:t>
      </w:r>
    </w:p>
    <w:p>
      <w:pPr>
        <w:pStyle w:val="167"/>
      </w:pPr>
      <w:r>
        <w:rPr>
          <w:rFonts w:hint="eastAsia"/>
        </w:rPr>
        <w:t>采用消能减震设计时应符合以下规定：</w:t>
      </w:r>
    </w:p>
    <w:p>
      <w:pPr>
        <w:pStyle w:val="58"/>
        <w:ind w:firstLine="420"/>
      </w:pPr>
      <w:r>
        <w:rPr>
          <w:rFonts w:hint="eastAsia"/>
        </w:rPr>
        <w:t>1 按多遇地震设计，地震作用适当放大；</w:t>
      </w:r>
    </w:p>
    <w:p>
      <w:pPr>
        <w:pStyle w:val="58"/>
        <w:ind w:firstLine="420"/>
      </w:pPr>
      <w:r>
        <w:rPr>
          <w:rFonts w:hint="eastAsia"/>
        </w:rPr>
        <w:t>2 进行静力弹塑性分析验算或弹塑性时程分析；</w:t>
      </w:r>
    </w:p>
    <w:p>
      <w:pPr>
        <w:pStyle w:val="58"/>
        <w:ind w:firstLine="420"/>
      </w:pPr>
      <w:r>
        <w:rPr>
          <w:rFonts w:hint="eastAsia"/>
        </w:rPr>
        <w:t>3 设防烈度下的结构构件的性能水准和层间变形，应满足表5.1.3和表5.1.5性能水准2的要求。</w:t>
      </w:r>
    </w:p>
    <w:p>
      <w:pPr>
        <w:pStyle w:val="167"/>
      </w:pPr>
      <w:r>
        <w:rPr>
          <w:rFonts w:hint="eastAsia"/>
        </w:rPr>
        <w:t>采用隔震设计时可按现行国家标准《建筑隔震设计标准》GB/T 51408执行；或按本规程规定的方法进行设计，并符合以下规定：</w:t>
      </w:r>
    </w:p>
    <w:p>
      <w:pPr>
        <w:pStyle w:val="58"/>
        <w:ind w:firstLine="420"/>
      </w:pPr>
      <w:r>
        <w:rPr>
          <w:rFonts w:hint="eastAsia"/>
        </w:rPr>
        <w:t>1 按多遇地震设计，地震作用适当放大；</w:t>
      </w:r>
    </w:p>
    <w:p>
      <w:pPr>
        <w:pStyle w:val="58"/>
        <w:ind w:firstLine="420"/>
      </w:pPr>
      <w:r>
        <w:rPr>
          <w:rFonts w:hint="eastAsia"/>
        </w:rPr>
        <w:t>2 进行静力弹塑性分析验算或弹塑性时程分析分析；</w:t>
      </w:r>
    </w:p>
    <w:p>
      <w:pPr>
        <w:pStyle w:val="58"/>
        <w:ind w:firstLine="420"/>
      </w:pPr>
      <w:r>
        <w:rPr>
          <w:rFonts w:hint="eastAsia"/>
        </w:rPr>
        <w:t>3 设防烈度下的结构构件的性能水准和层间变形，应满足表5.1.3和表5.1.5性能水准2的要求。</w:t>
      </w:r>
    </w:p>
    <w:p>
      <w:pPr>
        <w:adjustRightInd/>
        <w:spacing w:line="240" w:lineRule="auto"/>
        <w:rPr>
          <w:rFonts w:ascii="华文楷体" w:hAnsi="华文楷体" w:eastAsia="华文楷体" w:cs="华文楷体"/>
          <w:color w:val="FF0000"/>
          <w:szCs w:val="22"/>
        </w:rPr>
      </w:pPr>
      <w:r>
        <w:rPr>
          <w:rFonts w:hint="eastAsia" w:ascii="华文楷体" w:hAnsi="华文楷体" w:eastAsia="华文楷体" w:cs="华文楷体"/>
          <w:color w:val="FF0000"/>
          <w:szCs w:val="22"/>
        </w:rPr>
        <w:t>条文说明</w:t>
      </w:r>
      <w:r>
        <w:rPr>
          <w:rFonts w:ascii="华文楷体" w:hAnsi="华文楷体" w:eastAsia="华文楷体" w:cs="华文楷体"/>
          <w:color w:val="FF0000"/>
          <w:szCs w:val="22"/>
        </w:rPr>
        <w:t xml:space="preserve">5.2.3~5.2.4 </w:t>
      </w:r>
      <w:r>
        <w:rPr>
          <w:rFonts w:hint="eastAsia" w:ascii="华文楷体" w:hAnsi="华文楷体" w:eastAsia="华文楷体" w:cs="华文楷体"/>
          <w:color w:val="FF0000"/>
          <w:szCs w:val="22"/>
        </w:rPr>
        <w:t>消能减震、隔震建筑在设防烈度地震下正常使用时，结构损伤状态宏观表现为轻微损伤，即中震不屈服。按此性能状态进行结构抗震设计时，内力调整系数取</w:t>
      </w:r>
      <w:r>
        <w:rPr>
          <w:rFonts w:ascii="华文楷体" w:hAnsi="华文楷体" w:eastAsia="华文楷体" w:cs="华文楷体"/>
          <w:color w:val="FF0000"/>
          <w:szCs w:val="22"/>
        </w:rPr>
        <w:t>1.0</w:t>
      </w:r>
      <w:r>
        <w:rPr>
          <w:rFonts w:hint="eastAsia" w:ascii="华文楷体" w:hAnsi="华文楷体" w:eastAsia="华文楷体" w:cs="华文楷体"/>
          <w:color w:val="FF0000"/>
          <w:szCs w:val="22"/>
        </w:rPr>
        <w:t>、荷载分项系数和材料分项系数取</w:t>
      </w:r>
      <w:r>
        <w:rPr>
          <w:rFonts w:ascii="华文楷体" w:hAnsi="华文楷体" w:eastAsia="华文楷体" w:cs="华文楷体"/>
          <w:color w:val="FF0000"/>
          <w:szCs w:val="22"/>
        </w:rPr>
        <w:t>1.0</w:t>
      </w:r>
      <w:r>
        <w:rPr>
          <w:rFonts w:hint="eastAsia" w:ascii="华文楷体" w:hAnsi="华文楷体" w:eastAsia="华文楷体" w:cs="华文楷体"/>
          <w:color w:val="FF0000"/>
          <w:szCs w:val="22"/>
        </w:rPr>
        <w:t>，中震弹性设计时荷载分项系数和材料分项系数按现行国家标准《建筑抗震设计规范》</w:t>
      </w:r>
      <w:r>
        <w:rPr>
          <w:rFonts w:ascii="华文楷体" w:hAnsi="华文楷体" w:eastAsia="华文楷体" w:cs="华文楷体"/>
          <w:color w:val="FF0000"/>
          <w:szCs w:val="22"/>
        </w:rPr>
        <w:t>GB50011</w:t>
      </w:r>
      <w:r>
        <w:rPr>
          <w:rFonts w:hint="eastAsia" w:ascii="华文楷体" w:hAnsi="华文楷体" w:eastAsia="华文楷体" w:cs="华文楷体"/>
          <w:color w:val="FF0000"/>
          <w:szCs w:val="22"/>
        </w:rPr>
        <w:t>取值。</w:t>
      </w:r>
    </w:p>
    <w:p>
      <w:pPr>
        <w:adjustRightInd/>
        <w:spacing w:line="240" w:lineRule="auto"/>
        <w:rPr>
          <w:rFonts w:ascii="华文楷体" w:hAnsi="华文楷体" w:eastAsia="华文楷体" w:cs="华文楷体"/>
          <w:color w:val="FF0000"/>
          <w:szCs w:val="22"/>
        </w:rPr>
      </w:pPr>
      <w:r>
        <w:rPr>
          <w:rFonts w:hint="eastAsia" w:ascii="华文楷体" w:hAnsi="华文楷体" w:eastAsia="华文楷体" w:cs="华文楷体"/>
          <w:color w:val="FF0000"/>
          <w:szCs w:val="22"/>
        </w:rPr>
        <w:t>多遇地震设计时需要内力调整，调整后的小震设计的结构内力设计值甚至超过了中震设计的构件内力设计值。一级与特一级框架柱与剪力墙小震设计与中震设计的结构内力方法倍数对比见下表</w:t>
      </w:r>
      <w:r>
        <w:rPr>
          <w:rFonts w:ascii="华文楷体" w:hAnsi="华文楷体" w:eastAsia="华文楷体" w:cs="华文楷体"/>
          <w:color w:val="FF0000"/>
          <w:szCs w:val="22"/>
        </w:rPr>
        <w:t>5.2.4</w:t>
      </w:r>
      <w:r>
        <w:rPr>
          <w:rFonts w:hint="eastAsia" w:ascii="华文楷体" w:hAnsi="华文楷体" w:eastAsia="华文楷体" w:cs="华文楷体"/>
          <w:color w:val="FF0000"/>
          <w:szCs w:val="22"/>
        </w:rPr>
        <w:t>：</w:t>
      </w:r>
    </w:p>
    <w:p>
      <w:pPr>
        <w:adjustRightInd/>
        <w:spacing w:line="240" w:lineRule="auto"/>
        <w:jc w:val="center"/>
        <w:rPr>
          <w:rFonts w:ascii="华文楷体" w:hAnsi="华文楷体" w:eastAsia="华文楷体" w:cs="华文楷体"/>
          <w:color w:val="FF0000"/>
          <w:szCs w:val="22"/>
        </w:rPr>
      </w:pPr>
      <w:r>
        <w:rPr>
          <w:rFonts w:hint="eastAsia" w:ascii="华文楷体" w:hAnsi="华文楷体" w:eastAsia="华文楷体" w:cs="华文楷体"/>
          <w:color w:val="FF0000"/>
          <w:szCs w:val="22"/>
        </w:rPr>
        <w:t>表</w:t>
      </w:r>
      <w:r>
        <w:rPr>
          <w:rFonts w:ascii="华文楷体" w:hAnsi="华文楷体" w:eastAsia="华文楷体" w:cs="华文楷体"/>
          <w:color w:val="FF0000"/>
          <w:szCs w:val="22"/>
        </w:rPr>
        <w:t xml:space="preserve">5.2.4 </w:t>
      </w:r>
      <w:r>
        <w:rPr>
          <w:rFonts w:hint="eastAsia" w:ascii="华文楷体" w:hAnsi="华文楷体" w:eastAsia="华文楷体" w:cs="华文楷体"/>
          <w:color w:val="FF0000"/>
          <w:szCs w:val="22"/>
        </w:rPr>
        <w:t>框架柱（剪力墙）小震与中震设计放大倍数对比表</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56"/>
        <w:gridCol w:w="1556"/>
        <w:gridCol w:w="1555"/>
        <w:gridCol w:w="1555"/>
        <w:gridCol w:w="1556"/>
        <w:gridCol w:w="15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556" w:type="dxa"/>
            <w:tcBorders>
              <w:top w:val="single" w:color="auto" w:sz="8" w:space="0"/>
              <w:bottom w:val="single" w:color="auto" w:sz="8" w:space="0"/>
            </w:tcBorders>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抗震等级</w:t>
            </w:r>
          </w:p>
        </w:tc>
        <w:tc>
          <w:tcPr>
            <w:tcW w:w="1556" w:type="dxa"/>
            <w:tcBorders>
              <w:top w:val="single" w:color="auto" w:sz="8" w:space="0"/>
              <w:bottom w:val="single" w:color="auto" w:sz="8" w:space="0"/>
            </w:tcBorders>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调整位置</w:t>
            </w:r>
          </w:p>
        </w:tc>
        <w:tc>
          <w:tcPr>
            <w:tcW w:w="1555" w:type="dxa"/>
            <w:tcBorders>
              <w:top w:val="single" w:color="auto" w:sz="8" w:space="0"/>
              <w:bottom w:val="single" w:color="auto" w:sz="8" w:space="0"/>
            </w:tcBorders>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调整项目</w:t>
            </w:r>
          </w:p>
        </w:tc>
        <w:tc>
          <w:tcPr>
            <w:tcW w:w="1555" w:type="dxa"/>
            <w:tcBorders>
              <w:top w:val="single" w:color="auto" w:sz="8" w:space="0"/>
              <w:bottom w:val="single" w:color="auto" w:sz="8" w:space="0"/>
            </w:tcBorders>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小震弹性</w:t>
            </w:r>
          </w:p>
        </w:tc>
        <w:tc>
          <w:tcPr>
            <w:tcW w:w="1556" w:type="dxa"/>
            <w:tcBorders>
              <w:top w:val="single" w:color="auto" w:sz="8" w:space="0"/>
              <w:bottom w:val="single" w:color="auto" w:sz="8" w:space="0"/>
            </w:tcBorders>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中震不屈服</w:t>
            </w:r>
          </w:p>
        </w:tc>
        <w:tc>
          <w:tcPr>
            <w:tcW w:w="1556" w:type="dxa"/>
            <w:tcBorders>
              <w:top w:val="single" w:color="auto" w:sz="8" w:space="0"/>
              <w:bottom w:val="single" w:color="auto" w:sz="8" w:space="0"/>
            </w:tcBorders>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中震弹性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restart"/>
            <w:tcBorders>
              <w:top w:val="single" w:color="auto" w:sz="8" w:space="0"/>
            </w:tcBorders>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一级</w:t>
            </w:r>
          </w:p>
        </w:tc>
        <w:tc>
          <w:tcPr>
            <w:tcW w:w="1556" w:type="dxa"/>
            <w:vMerge w:val="restart"/>
            <w:tcBorders>
              <w:top w:val="single" w:color="auto" w:sz="8" w:space="0"/>
            </w:tcBorders>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一般层</w:t>
            </w:r>
          </w:p>
        </w:tc>
        <w:tc>
          <w:tcPr>
            <w:tcW w:w="1555" w:type="dxa"/>
            <w:tcBorders>
              <w:top w:val="single" w:color="auto" w:sz="8" w:space="0"/>
            </w:tcBorders>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弯矩</w:t>
            </w:r>
          </w:p>
        </w:tc>
        <w:tc>
          <w:tcPr>
            <w:tcW w:w="1555" w:type="dxa"/>
            <w:tcBorders>
              <w:top w:val="single" w:color="auto" w:sz="8" w:space="0"/>
            </w:tcBorders>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1</w:t>
            </w:r>
            <w:r>
              <w:rPr>
                <w:rFonts w:ascii="华文楷体" w:hAnsi="华文楷体" w:eastAsia="华文楷体" w:cs="华文楷体"/>
                <w:color w:val="FF0000"/>
                <w:kern w:val="2"/>
                <w:sz w:val="21"/>
                <w:szCs w:val="22"/>
              </w:rPr>
              <w:t>.82</w:t>
            </w:r>
            <w:r>
              <w:rPr>
                <w:rFonts w:hint="eastAsia" w:ascii="华文楷体" w:hAnsi="华文楷体" w:eastAsia="华文楷体" w:cs="华文楷体"/>
                <w:color w:val="FF0000"/>
                <w:kern w:val="2"/>
                <w:sz w:val="21"/>
                <w:szCs w:val="22"/>
              </w:rPr>
              <w:t>（1</w:t>
            </w:r>
            <w:r>
              <w:rPr>
                <w:rFonts w:ascii="华文楷体" w:hAnsi="华文楷体" w:eastAsia="华文楷体" w:cs="华文楷体"/>
                <w:color w:val="FF0000"/>
                <w:kern w:val="2"/>
                <w:sz w:val="21"/>
                <w:szCs w:val="22"/>
              </w:rPr>
              <w:t>.56</w:t>
            </w:r>
            <w:r>
              <w:rPr>
                <w:rFonts w:hint="eastAsia" w:ascii="华文楷体" w:hAnsi="华文楷体" w:eastAsia="华文楷体" w:cs="华文楷体"/>
                <w:color w:val="FF0000"/>
                <w:kern w:val="2"/>
                <w:sz w:val="21"/>
                <w:szCs w:val="22"/>
              </w:rPr>
              <w:t>）</w:t>
            </w:r>
          </w:p>
        </w:tc>
        <w:tc>
          <w:tcPr>
            <w:tcW w:w="1556" w:type="dxa"/>
            <w:vMerge w:val="restart"/>
            <w:tcBorders>
              <w:top w:val="single" w:color="auto" w:sz="8" w:space="0"/>
            </w:tcBorders>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1</w:t>
            </w:r>
            <w:r>
              <w:rPr>
                <w:rFonts w:ascii="华文楷体" w:hAnsi="华文楷体" w:eastAsia="华文楷体" w:cs="华文楷体"/>
                <w:color w:val="FF0000"/>
                <w:kern w:val="2"/>
                <w:sz w:val="21"/>
                <w:szCs w:val="22"/>
              </w:rPr>
              <w:t>.92</w:t>
            </w:r>
          </w:p>
        </w:tc>
        <w:tc>
          <w:tcPr>
            <w:tcW w:w="1556" w:type="dxa"/>
            <w:vMerge w:val="restart"/>
            <w:tcBorders>
              <w:top w:val="single" w:color="auto" w:sz="8" w:space="0"/>
            </w:tcBorders>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2</w:t>
            </w:r>
            <w:r>
              <w:rPr>
                <w:rFonts w:ascii="华文楷体" w:hAnsi="华文楷体" w:eastAsia="华文楷体" w:cs="华文楷体"/>
                <w:color w:val="FF0000"/>
                <w:kern w:val="2"/>
                <w:sz w:val="21"/>
                <w:szCs w:val="22"/>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shd w:val="clear" w:color="auto" w:fill="auto"/>
            <w:vAlign w:val="center"/>
          </w:tcPr>
          <w:p>
            <w:pPr>
              <w:pStyle w:val="180"/>
              <w:rPr>
                <w:rFonts w:ascii="华文楷体" w:hAnsi="华文楷体" w:eastAsia="华文楷体" w:cs="华文楷体"/>
                <w:color w:val="FF0000"/>
                <w:kern w:val="2"/>
                <w:sz w:val="21"/>
                <w:szCs w:val="22"/>
              </w:rPr>
            </w:pPr>
          </w:p>
        </w:tc>
        <w:tc>
          <w:tcPr>
            <w:tcW w:w="1556" w:type="dxa"/>
            <w:vMerge w:val="continue"/>
            <w:shd w:val="clear" w:color="auto" w:fill="auto"/>
            <w:vAlign w:val="center"/>
          </w:tcPr>
          <w:p>
            <w:pPr>
              <w:pStyle w:val="180"/>
              <w:rPr>
                <w:rFonts w:ascii="华文楷体" w:hAnsi="华文楷体" w:eastAsia="华文楷体" w:cs="华文楷体"/>
                <w:color w:val="FF0000"/>
                <w:kern w:val="2"/>
                <w:sz w:val="21"/>
                <w:szCs w:val="22"/>
              </w:rPr>
            </w:pPr>
          </w:p>
        </w:tc>
        <w:tc>
          <w:tcPr>
            <w:tcW w:w="1555" w:type="dxa"/>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剪力</w:t>
            </w:r>
          </w:p>
        </w:tc>
        <w:tc>
          <w:tcPr>
            <w:tcW w:w="1555" w:type="dxa"/>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2</w:t>
            </w:r>
            <w:r>
              <w:rPr>
                <w:rFonts w:ascii="华文楷体" w:hAnsi="华文楷体" w:eastAsia="华文楷体" w:cs="华文楷体"/>
                <w:color w:val="FF0000"/>
                <w:kern w:val="2"/>
                <w:sz w:val="21"/>
                <w:szCs w:val="22"/>
              </w:rPr>
              <w:t>.55</w:t>
            </w:r>
            <w:r>
              <w:rPr>
                <w:rFonts w:hint="eastAsia" w:ascii="华文楷体" w:hAnsi="华文楷体" w:eastAsia="华文楷体" w:cs="华文楷体"/>
                <w:color w:val="FF0000"/>
                <w:kern w:val="2"/>
                <w:sz w:val="21"/>
                <w:szCs w:val="22"/>
              </w:rPr>
              <w:t>（</w:t>
            </w:r>
            <w:r>
              <w:rPr>
                <w:rFonts w:ascii="华文楷体" w:hAnsi="华文楷体" w:eastAsia="华文楷体" w:cs="华文楷体"/>
                <w:color w:val="FF0000"/>
                <w:kern w:val="2"/>
                <w:sz w:val="21"/>
                <w:szCs w:val="22"/>
              </w:rPr>
              <w:t>1.30</w:t>
            </w:r>
            <w:r>
              <w:rPr>
                <w:rFonts w:hint="eastAsia" w:ascii="华文楷体" w:hAnsi="华文楷体" w:eastAsia="华文楷体" w:cs="华文楷体"/>
                <w:color w:val="FF0000"/>
                <w:kern w:val="2"/>
                <w:sz w:val="21"/>
                <w:szCs w:val="22"/>
              </w:rPr>
              <w:t>）</w:t>
            </w:r>
          </w:p>
        </w:tc>
        <w:tc>
          <w:tcPr>
            <w:tcW w:w="1556" w:type="dxa"/>
            <w:vMerge w:val="continue"/>
            <w:shd w:val="clear" w:color="auto" w:fill="auto"/>
            <w:vAlign w:val="center"/>
          </w:tcPr>
          <w:p>
            <w:pPr>
              <w:pStyle w:val="180"/>
              <w:rPr>
                <w:color w:val="FF0000"/>
              </w:rPr>
            </w:pPr>
          </w:p>
        </w:tc>
        <w:tc>
          <w:tcPr>
            <w:tcW w:w="1556" w:type="dxa"/>
            <w:vMerge w:val="continue"/>
            <w:shd w:val="clear" w:color="auto" w:fill="auto"/>
            <w:vAlign w:val="center"/>
          </w:tcPr>
          <w:p>
            <w:pPr>
              <w:pStyle w:val="180"/>
              <w:rPr>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shd w:val="clear" w:color="auto" w:fill="auto"/>
            <w:vAlign w:val="center"/>
          </w:tcPr>
          <w:p>
            <w:pPr>
              <w:pStyle w:val="180"/>
              <w:rPr>
                <w:rFonts w:ascii="华文楷体" w:hAnsi="华文楷体" w:eastAsia="华文楷体" w:cs="华文楷体"/>
                <w:color w:val="FF0000"/>
                <w:kern w:val="2"/>
                <w:sz w:val="21"/>
                <w:szCs w:val="22"/>
              </w:rPr>
            </w:pPr>
          </w:p>
        </w:tc>
        <w:tc>
          <w:tcPr>
            <w:tcW w:w="1556" w:type="dxa"/>
            <w:vMerge w:val="restart"/>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底层</w:t>
            </w:r>
          </w:p>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（底部加强区）</w:t>
            </w:r>
          </w:p>
        </w:tc>
        <w:tc>
          <w:tcPr>
            <w:tcW w:w="1555" w:type="dxa"/>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弯矩</w:t>
            </w:r>
          </w:p>
        </w:tc>
        <w:tc>
          <w:tcPr>
            <w:tcW w:w="1555" w:type="dxa"/>
            <w:shd w:val="clear" w:color="auto" w:fill="auto"/>
            <w:vAlign w:val="center"/>
          </w:tcPr>
          <w:p>
            <w:pPr>
              <w:pStyle w:val="180"/>
              <w:rPr>
                <w:rFonts w:ascii="华文楷体" w:hAnsi="华文楷体" w:eastAsia="华文楷体" w:cs="华文楷体"/>
                <w:color w:val="FF0000"/>
                <w:kern w:val="2"/>
                <w:sz w:val="21"/>
                <w:szCs w:val="22"/>
              </w:rPr>
            </w:pPr>
            <w:r>
              <w:rPr>
                <w:rFonts w:ascii="华文楷体" w:hAnsi="华文楷体" w:eastAsia="华文楷体" w:cs="华文楷体"/>
                <w:color w:val="FF0000"/>
                <w:kern w:val="2"/>
                <w:sz w:val="21"/>
                <w:szCs w:val="22"/>
              </w:rPr>
              <w:t>1.92</w:t>
            </w:r>
            <w:r>
              <w:rPr>
                <w:rFonts w:hint="eastAsia" w:ascii="华文楷体" w:hAnsi="华文楷体" w:eastAsia="华文楷体" w:cs="华文楷体"/>
                <w:color w:val="FF0000"/>
                <w:kern w:val="2"/>
                <w:sz w:val="21"/>
                <w:szCs w:val="22"/>
              </w:rPr>
              <w:t>（</w:t>
            </w:r>
            <w:r>
              <w:rPr>
                <w:rFonts w:ascii="华文楷体" w:hAnsi="华文楷体" w:eastAsia="华文楷体" w:cs="华文楷体"/>
                <w:color w:val="FF0000"/>
                <w:kern w:val="2"/>
                <w:sz w:val="21"/>
                <w:szCs w:val="22"/>
              </w:rPr>
              <w:t>1.30</w:t>
            </w:r>
            <w:r>
              <w:rPr>
                <w:rFonts w:hint="eastAsia" w:ascii="华文楷体" w:hAnsi="华文楷体" w:eastAsia="华文楷体" w:cs="华文楷体"/>
                <w:color w:val="FF0000"/>
                <w:kern w:val="2"/>
                <w:sz w:val="21"/>
                <w:szCs w:val="22"/>
              </w:rPr>
              <w:t>）</w:t>
            </w:r>
          </w:p>
        </w:tc>
        <w:tc>
          <w:tcPr>
            <w:tcW w:w="1556" w:type="dxa"/>
            <w:vMerge w:val="continue"/>
            <w:shd w:val="clear" w:color="auto" w:fill="auto"/>
            <w:vAlign w:val="center"/>
          </w:tcPr>
          <w:p>
            <w:pPr>
              <w:pStyle w:val="180"/>
              <w:rPr>
                <w:color w:val="FF0000"/>
              </w:rPr>
            </w:pPr>
          </w:p>
        </w:tc>
        <w:tc>
          <w:tcPr>
            <w:tcW w:w="1556" w:type="dxa"/>
            <w:vMerge w:val="continue"/>
            <w:shd w:val="clear" w:color="auto" w:fill="auto"/>
            <w:vAlign w:val="center"/>
          </w:tcPr>
          <w:p>
            <w:pPr>
              <w:pStyle w:val="180"/>
              <w:rPr>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shd w:val="clear" w:color="auto" w:fill="auto"/>
            <w:vAlign w:val="center"/>
          </w:tcPr>
          <w:p>
            <w:pPr>
              <w:pStyle w:val="180"/>
              <w:rPr>
                <w:rFonts w:ascii="华文楷体" w:hAnsi="华文楷体" w:eastAsia="华文楷体" w:cs="华文楷体"/>
                <w:color w:val="FF0000"/>
                <w:kern w:val="2"/>
                <w:sz w:val="21"/>
                <w:szCs w:val="22"/>
              </w:rPr>
            </w:pPr>
          </w:p>
        </w:tc>
        <w:tc>
          <w:tcPr>
            <w:tcW w:w="1556" w:type="dxa"/>
            <w:vMerge w:val="continue"/>
            <w:shd w:val="clear" w:color="auto" w:fill="auto"/>
            <w:vAlign w:val="center"/>
          </w:tcPr>
          <w:p>
            <w:pPr>
              <w:pStyle w:val="180"/>
              <w:rPr>
                <w:rFonts w:ascii="华文楷体" w:hAnsi="华文楷体" w:eastAsia="华文楷体" w:cs="华文楷体"/>
                <w:color w:val="FF0000"/>
                <w:kern w:val="2"/>
                <w:sz w:val="21"/>
                <w:szCs w:val="22"/>
              </w:rPr>
            </w:pPr>
          </w:p>
        </w:tc>
        <w:tc>
          <w:tcPr>
            <w:tcW w:w="1555" w:type="dxa"/>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剪力</w:t>
            </w:r>
          </w:p>
        </w:tc>
        <w:tc>
          <w:tcPr>
            <w:tcW w:w="1555" w:type="dxa"/>
            <w:shd w:val="clear" w:color="auto" w:fill="auto"/>
            <w:vAlign w:val="center"/>
          </w:tcPr>
          <w:p>
            <w:pPr>
              <w:pStyle w:val="180"/>
              <w:rPr>
                <w:rFonts w:ascii="华文楷体" w:hAnsi="华文楷体" w:eastAsia="华文楷体" w:cs="华文楷体"/>
                <w:color w:val="FF0000"/>
                <w:kern w:val="2"/>
                <w:sz w:val="21"/>
                <w:szCs w:val="22"/>
              </w:rPr>
            </w:pPr>
            <w:r>
              <w:rPr>
                <w:rFonts w:ascii="华文楷体" w:hAnsi="华文楷体" w:eastAsia="华文楷体" w:cs="华文楷体"/>
                <w:color w:val="FF0000"/>
                <w:kern w:val="2"/>
                <w:sz w:val="21"/>
                <w:szCs w:val="22"/>
              </w:rPr>
              <w:t>2.73</w:t>
            </w:r>
            <w:r>
              <w:rPr>
                <w:rFonts w:hint="eastAsia" w:ascii="华文楷体" w:hAnsi="华文楷体" w:eastAsia="华文楷体" w:cs="华文楷体"/>
                <w:color w:val="FF0000"/>
                <w:kern w:val="2"/>
                <w:sz w:val="21"/>
                <w:szCs w:val="22"/>
              </w:rPr>
              <w:t>（</w:t>
            </w:r>
            <w:r>
              <w:rPr>
                <w:rFonts w:ascii="华文楷体" w:hAnsi="华文楷体" w:eastAsia="华文楷体" w:cs="华文楷体"/>
                <w:color w:val="FF0000"/>
                <w:kern w:val="2"/>
                <w:sz w:val="21"/>
                <w:szCs w:val="22"/>
              </w:rPr>
              <w:t>2.08</w:t>
            </w:r>
            <w:r>
              <w:rPr>
                <w:rFonts w:hint="eastAsia" w:ascii="华文楷体" w:hAnsi="华文楷体" w:eastAsia="华文楷体" w:cs="华文楷体"/>
                <w:color w:val="FF0000"/>
                <w:kern w:val="2"/>
                <w:sz w:val="21"/>
                <w:szCs w:val="22"/>
              </w:rPr>
              <w:t>）</w:t>
            </w:r>
          </w:p>
        </w:tc>
        <w:tc>
          <w:tcPr>
            <w:tcW w:w="1556" w:type="dxa"/>
            <w:vMerge w:val="continue"/>
            <w:shd w:val="clear" w:color="auto" w:fill="auto"/>
            <w:vAlign w:val="center"/>
          </w:tcPr>
          <w:p>
            <w:pPr>
              <w:pStyle w:val="180"/>
              <w:rPr>
                <w:color w:val="FF0000"/>
              </w:rPr>
            </w:pPr>
          </w:p>
        </w:tc>
        <w:tc>
          <w:tcPr>
            <w:tcW w:w="1556" w:type="dxa"/>
            <w:vMerge w:val="continue"/>
            <w:shd w:val="clear" w:color="auto" w:fill="auto"/>
            <w:vAlign w:val="center"/>
          </w:tcPr>
          <w:p>
            <w:pPr>
              <w:pStyle w:val="180"/>
              <w:rPr>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restart"/>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特一级</w:t>
            </w:r>
          </w:p>
        </w:tc>
        <w:tc>
          <w:tcPr>
            <w:tcW w:w="1556" w:type="dxa"/>
            <w:vMerge w:val="restart"/>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一般层</w:t>
            </w:r>
          </w:p>
        </w:tc>
        <w:tc>
          <w:tcPr>
            <w:tcW w:w="1555" w:type="dxa"/>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弯矩</w:t>
            </w:r>
          </w:p>
        </w:tc>
        <w:tc>
          <w:tcPr>
            <w:tcW w:w="1555" w:type="dxa"/>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2</w:t>
            </w:r>
            <w:r>
              <w:rPr>
                <w:rFonts w:ascii="华文楷体" w:hAnsi="华文楷体" w:eastAsia="华文楷体" w:cs="华文楷体"/>
                <w:color w:val="FF0000"/>
                <w:kern w:val="2"/>
                <w:sz w:val="21"/>
                <w:szCs w:val="22"/>
              </w:rPr>
              <w:t>.18</w:t>
            </w:r>
            <w:r>
              <w:rPr>
                <w:rFonts w:hint="eastAsia" w:ascii="华文楷体" w:hAnsi="华文楷体" w:eastAsia="华文楷体" w:cs="华文楷体"/>
                <w:color w:val="FF0000"/>
                <w:kern w:val="2"/>
                <w:sz w:val="21"/>
                <w:szCs w:val="22"/>
              </w:rPr>
              <w:t>（</w:t>
            </w:r>
            <w:r>
              <w:rPr>
                <w:rFonts w:ascii="华文楷体" w:hAnsi="华文楷体" w:eastAsia="华文楷体" w:cs="华文楷体"/>
                <w:color w:val="FF0000"/>
                <w:kern w:val="2"/>
                <w:sz w:val="21"/>
                <w:szCs w:val="22"/>
              </w:rPr>
              <w:t>1.69</w:t>
            </w:r>
            <w:r>
              <w:rPr>
                <w:rFonts w:hint="eastAsia" w:ascii="华文楷体" w:hAnsi="华文楷体" w:eastAsia="华文楷体" w:cs="华文楷体"/>
                <w:color w:val="FF0000"/>
                <w:kern w:val="2"/>
                <w:sz w:val="21"/>
                <w:szCs w:val="22"/>
              </w:rPr>
              <w:t>）</w:t>
            </w:r>
          </w:p>
        </w:tc>
        <w:tc>
          <w:tcPr>
            <w:tcW w:w="1556" w:type="dxa"/>
            <w:vMerge w:val="continue"/>
            <w:shd w:val="clear" w:color="auto" w:fill="auto"/>
            <w:vAlign w:val="center"/>
          </w:tcPr>
          <w:p>
            <w:pPr>
              <w:pStyle w:val="180"/>
              <w:rPr>
                <w:color w:val="FF0000"/>
              </w:rPr>
            </w:pPr>
          </w:p>
        </w:tc>
        <w:tc>
          <w:tcPr>
            <w:tcW w:w="1556" w:type="dxa"/>
            <w:vMerge w:val="continue"/>
            <w:shd w:val="clear" w:color="auto" w:fill="auto"/>
            <w:vAlign w:val="center"/>
          </w:tcPr>
          <w:p>
            <w:pPr>
              <w:pStyle w:val="180"/>
              <w:rPr>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shd w:val="clear" w:color="auto" w:fill="auto"/>
            <w:vAlign w:val="center"/>
          </w:tcPr>
          <w:p>
            <w:pPr>
              <w:pStyle w:val="180"/>
              <w:rPr>
                <w:rFonts w:ascii="华文楷体" w:hAnsi="华文楷体" w:eastAsia="华文楷体" w:cs="华文楷体"/>
                <w:color w:val="FF0000"/>
                <w:kern w:val="2"/>
                <w:sz w:val="21"/>
                <w:szCs w:val="22"/>
              </w:rPr>
            </w:pPr>
          </w:p>
        </w:tc>
        <w:tc>
          <w:tcPr>
            <w:tcW w:w="1556" w:type="dxa"/>
            <w:vMerge w:val="continue"/>
            <w:shd w:val="clear" w:color="auto" w:fill="auto"/>
            <w:vAlign w:val="center"/>
          </w:tcPr>
          <w:p>
            <w:pPr>
              <w:pStyle w:val="180"/>
              <w:rPr>
                <w:rFonts w:ascii="华文楷体" w:hAnsi="华文楷体" w:eastAsia="华文楷体" w:cs="华文楷体"/>
                <w:color w:val="FF0000"/>
                <w:kern w:val="2"/>
                <w:sz w:val="21"/>
                <w:szCs w:val="22"/>
              </w:rPr>
            </w:pPr>
          </w:p>
        </w:tc>
        <w:tc>
          <w:tcPr>
            <w:tcW w:w="1555" w:type="dxa"/>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剪力</w:t>
            </w:r>
          </w:p>
        </w:tc>
        <w:tc>
          <w:tcPr>
            <w:tcW w:w="1555" w:type="dxa"/>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3</w:t>
            </w:r>
            <w:r>
              <w:rPr>
                <w:rFonts w:ascii="华文楷体" w:hAnsi="华文楷体" w:eastAsia="华文楷体" w:cs="华文楷体"/>
                <w:color w:val="FF0000"/>
                <w:kern w:val="2"/>
                <w:sz w:val="21"/>
                <w:szCs w:val="22"/>
              </w:rPr>
              <w:t>.67</w:t>
            </w:r>
            <w:r>
              <w:rPr>
                <w:rFonts w:hint="eastAsia" w:ascii="华文楷体" w:hAnsi="华文楷体" w:eastAsia="华文楷体" w:cs="华文楷体"/>
                <w:color w:val="FF0000"/>
                <w:kern w:val="2"/>
                <w:sz w:val="21"/>
                <w:szCs w:val="22"/>
              </w:rPr>
              <w:t>（</w:t>
            </w:r>
            <w:r>
              <w:rPr>
                <w:rFonts w:ascii="华文楷体" w:hAnsi="华文楷体" w:eastAsia="华文楷体" w:cs="华文楷体"/>
                <w:color w:val="FF0000"/>
                <w:kern w:val="2"/>
                <w:sz w:val="21"/>
                <w:szCs w:val="22"/>
              </w:rPr>
              <w:t>1.56</w:t>
            </w:r>
            <w:r>
              <w:rPr>
                <w:rFonts w:hint="eastAsia" w:ascii="华文楷体" w:hAnsi="华文楷体" w:eastAsia="华文楷体" w:cs="华文楷体"/>
                <w:color w:val="FF0000"/>
                <w:kern w:val="2"/>
                <w:sz w:val="21"/>
                <w:szCs w:val="22"/>
              </w:rPr>
              <w:t>）</w:t>
            </w:r>
          </w:p>
        </w:tc>
        <w:tc>
          <w:tcPr>
            <w:tcW w:w="1556" w:type="dxa"/>
            <w:vMerge w:val="continue"/>
            <w:shd w:val="clear" w:color="auto" w:fill="auto"/>
            <w:vAlign w:val="center"/>
          </w:tcPr>
          <w:p>
            <w:pPr>
              <w:pStyle w:val="180"/>
              <w:rPr>
                <w:color w:val="FF0000"/>
              </w:rPr>
            </w:pPr>
          </w:p>
        </w:tc>
        <w:tc>
          <w:tcPr>
            <w:tcW w:w="1556" w:type="dxa"/>
            <w:vMerge w:val="continue"/>
            <w:shd w:val="clear" w:color="auto" w:fill="auto"/>
            <w:vAlign w:val="center"/>
          </w:tcPr>
          <w:p>
            <w:pPr>
              <w:pStyle w:val="180"/>
              <w:rPr>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shd w:val="clear" w:color="auto" w:fill="auto"/>
            <w:vAlign w:val="center"/>
          </w:tcPr>
          <w:p>
            <w:pPr>
              <w:pStyle w:val="180"/>
              <w:rPr>
                <w:rFonts w:ascii="华文楷体" w:hAnsi="华文楷体" w:eastAsia="华文楷体" w:cs="华文楷体"/>
                <w:color w:val="FF0000"/>
                <w:kern w:val="2"/>
                <w:sz w:val="21"/>
                <w:szCs w:val="22"/>
              </w:rPr>
            </w:pPr>
          </w:p>
        </w:tc>
        <w:tc>
          <w:tcPr>
            <w:tcW w:w="1556" w:type="dxa"/>
            <w:vMerge w:val="restart"/>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底层</w:t>
            </w:r>
          </w:p>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（底部加强区）</w:t>
            </w:r>
          </w:p>
        </w:tc>
        <w:tc>
          <w:tcPr>
            <w:tcW w:w="1555" w:type="dxa"/>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弯矩</w:t>
            </w:r>
          </w:p>
        </w:tc>
        <w:tc>
          <w:tcPr>
            <w:tcW w:w="1555" w:type="dxa"/>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2</w:t>
            </w:r>
            <w:r>
              <w:rPr>
                <w:rFonts w:ascii="华文楷体" w:hAnsi="华文楷体" w:eastAsia="华文楷体" w:cs="华文楷体"/>
                <w:color w:val="FF0000"/>
                <w:kern w:val="2"/>
                <w:sz w:val="21"/>
                <w:szCs w:val="22"/>
              </w:rPr>
              <w:t>.34</w:t>
            </w:r>
            <w:r>
              <w:rPr>
                <w:rFonts w:hint="eastAsia" w:ascii="华文楷体" w:hAnsi="华文楷体" w:eastAsia="华文楷体" w:cs="华文楷体"/>
                <w:color w:val="FF0000"/>
                <w:kern w:val="2"/>
                <w:sz w:val="21"/>
                <w:szCs w:val="22"/>
              </w:rPr>
              <w:t>（</w:t>
            </w:r>
            <w:r>
              <w:rPr>
                <w:rFonts w:ascii="华文楷体" w:hAnsi="华文楷体" w:eastAsia="华文楷体" w:cs="华文楷体"/>
                <w:color w:val="FF0000"/>
                <w:kern w:val="2"/>
                <w:sz w:val="21"/>
                <w:szCs w:val="22"/>
              </w:rPr>
              <w:t>1.43</w:t>
            </w:r>
            <w:r>
              <w:rPr>
                <w:rFonts w:hint="eastAsia" w:ascii="华文楷体" w:hAnsi="华文楷体" w:eastAsia="华文楷体" w:cs="华文楷体"/>
                <w:color w:val="FF0000"/>
                <w:kern w:val="2"/>
                <w:sz w:val="21"/>
                <w:szCs w:val="22"/>
              </w:rPr>
              <w:t>）</w:t>
            </w:r>
          </w:p>
        </w:tc>
        <w:tc>
          <w:tcPr>
            <w:tcW w:w="1556" w:type="dxa"/>
            <w:vMerge w:val="continue"/>
            <w:shd w:val="clear" w:color="auto" w:fill="auto"/>
            <w:vAlign w:val="center"/>
          </w:tcPr>
          <w:p>
            <w:pPr>
              <w:pStyle w:val="180"/>
              <w:rPr>
                <w:color w:val="FF0000"/>
              </w:rPr>
            </w:pPr>
          </w:p>
        </w:tc>
        <w:tc>
          <w:tcPr>
            <w:tcW w:w="1556" w:type="dxa"/>
            <w:vMerge w:val="continue"/>
            <w:shd w:val="clear" w:color="auto" w:fill="auto"/>
            <w:vAlign w:val="center"/>
          </w:tcPr>
          <w:p>
            <w:pPr>
              <w:pStyle w:val="180"/>
              <w:rPr>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shd w:val="clear" w:color="auto" w:fill="auto"/>
            <w:vAlign w:val="center"/>
          </w:tcPr>
          <w:p>
            <w:pPr>
              <w:pStyle w:val="180"/>
              <w:rPr>
                <w:rFonts w:ascii="华文楷体" w:hAnsi="华文楷体" w:eastAsia="华文楷体" w:cs="华文楷体"/>
                <w:color w:val="FF0000"/>
                <w:kern w:val="2"/>
                <w:sz w:val="21"/>
                <w:szCs w:val="22"/>
              </w:rPr>
            </w:pPr>
          </w:p>
        </w:tc>
        <w:tc>
          <w:tcPr>
            <w:tcW w:w="1556" w:type="dxa"/>
            <w:vMerge w:val="continue"/>
            <w:shd w:val="clear" w:color="auto" w:fill="auto"/>
            <w:vAlign w:val="center"/>
          </w:tcPr>
          <w:p>
            <w:pPr>
              <w:pStyle w:val="180"/>
              <w:rPr>
                <w:rFonts w:ascii="华文楷体" w:hAnsi="华文楷体" w:eastAsia="华文楷体" w:cs="华文楷体"/>
                <w:color w:val="FF0000"/>
                <w:kern w:val="2"/>
                <w:sz w:val="21"/>
                <w:szCs w:val="22"/>
              </w:rPr>
            </w:pPr>
          </w:p>
        </w:tc>
        <w:tc>
          <w:tcPr>
            <w:tcW w:w="1555" w:type="dxa"/>
            <w:shd w:val="clear" w:color="auto" w:fill="auto"/>
            <w:vAlign w:val="center"/>
          </w:tcPr>
          <w:p>
            <w:pPr>
              <w:pStyle w:val="180"/>
              <w:rPr>
                <w:rFonts w:ascii="华文楷体" w:hAnsi="华文楷体" w:eastAsia="华文楷体" w:cs="华文楷体"/>
                <w:color w:val="FF0000"/>
                <w:kern w:val="2"/>
                <w:sz w:val="21"/>
                <w:szCs w:val="22"/>
              </w:rPr>
            </w:pPr>
            <w:r>
              <w:rPr>
                <w:rFonts w:hint="eastAsia" w:ascii="华文楷体" w:hAnsi="华文楷体" w:eastAsia="华文楷体" w:cs="华文楷体"/>
                <w:color w:val="FF0000"/>
                <w:kern w:val="2"/>
                <w:sz w:val="21"/>
                <w:szCs w:val="22"/>
              </w:rPr>
              <w:t>剪力</w:t>
            </w:r>
          </w:p>
        </w:tc>
        <w:tc>
          <w:tcPr>
            <w:tcW w:w="1555" w:type="dxa"/>
            <w:shd w:val="clear" w:color="auto" w:fill="auto"/>
            <w:vAlign w:val="center"/>
          </w:tcPr>
          <w:p>
            <w:pPr>
              <w:pStyle w:val="180"/>
              <w:rPr>
                <w:rFonts w:ascii="华文楷体" w:hAnsi="华文楷体" w:eastAsia="华文楷体" w:cs="华文楷体"/>
                <w:color w:val="FF0000"/>
                <w:kern w:val="2"/>
                <w:sz w:val="21"/>
                <w:szCs w:val="22"/>
              </w:rPr>
            </w:pPr>
            <w:r>
              <w:rPr>
                <w:rFonts w:ascii="华文楷体" w:hAnsi="华文楷体" w:eastAsia="华文楷体" w:cs="华文楷体"/>
                <w:color w:val="FF0000"/>
                <w:kern w:val="2"/>
                <w:sz w:val="21"/>
                <w:szCs w:val="22"/>
              </w:rPr>
              <w:t>3.93</w:t>
            </w:r>
            <w:r>
              <w:rPr>
                <w:rFonts w:hint="eastAsia" w:ascii="华文楷体" w:hAnsi="华文楷体" w:eastAsia="华文楷体" w:cs="华文楷体"/>
                <w:color w:val="FF0000"/>
                <w:kern w:val="2"/>
                <w:sz w:val="21"/>
                <w:szCs w:val="22"/>
              </w:rPr>
              <w:t>（</w:t>
            </w:r>
            <w:r>
              <w:rPr>
                <w:rFonts w:ascii="华文楷体" w:hAnsi="华文楷体" w:eastAsia="华文楷体" w:cs="华文楷体"/>
                <w:color w:val="FF0000"/>
                <w:kern w:val="2"/>
                <w:sz w:val="21"/>
                <w:szCs w:val="22"/>
              </w:rPr>
              <w:t>2.47</w:t>
            </w:r>
            <w:r>
              <w:rPr>
                <w:rFonts w:hint="eastAsia" w:ascii="华文楷体" w:hAnsi="华文楷体" w:eastAsia="华文楷体" w:cs="华文楷体"/>
                <w:color w:val="FF0000"/>
                <w:kern w:val="2"/>
                <w:sz w:val="21"/>
                <w:szCs w:val="22"/>
              </w:rPr>
              <w:t>）</w:t>
            </w:r>
          </w:p>
        </w:tc>
        <w:tc>
          <w:tcPr>
            <w:tcW w:w="1556" w:type="dxa"/>
            <w:vMerge w:val="continue"/>
            <w:shd w:val="clear" w:color="auto" w:fill="auto"/>
            <w:vAlign w:val="center"/>
          </w:tcPr>
          <w:p>
            <w:pPr>
              <w:pStyle w:val="180"/>
              <w:rPr>
                <w:color w:val="FF0000"/>
              </w:rPr>
            </w:pPr>
          </w:p>
        </w:tc>
        <w:tc>
          <w:tcPr>
            <w:tcW w:w="1556" w:type="dxa"/>
            <w:vMerge w:val="continue"/>
            <w:shd w:val="clear" w:color="auto" w:fill="auto"/>
            <w:vAlign w:val="center"/>
          </w:tcPr>
          <w:p>
            <w:pPr>
              <w:pStyle w:val="180"/>
              <w:rPr>
                <w:color w:val="FF0000"/>
              </w:rPr>
            </w:pPr>
          </w:p>
        </w:tc>
      </w:tr>
    </w:tbl>
    <w:p>
      <w:pPr>
        <w:pStyle w:val="58"/>
        <w:ind w:firstLine="0" w:firstLineChars="0"/>
        <w:rPr>
          <w:color w:val="FF0000"/>
        </w:rPr>
      </w:pPr>
      <w:r>
        <w:rPr>
          <w:rFonts w:hint="eastAsia" w:ascii="华文楷体" w:hAnsi="华文楷体" w:eastAsia="华文楷体" w:cs="华文楷体"/>
          <w:color w:val="FF0000"/>
          <w:kern w:val="2"/>
          <w:szCs w:val="22"/>
        </w:rPr>
        <w:t>从上表可以看出结构构件按小震弹性设计时基本满足中震不屈服。所以本标准考虑多遇地震弹性设计时不同抗震等级的差异，通过增大地震作用的方式使消能减震、隔震建筑满足一定保证率条件下处于轻微损伤和中度损坏的状态。建议增大系数取值不宜大于</w:t>
      </w:r>
      <w:r>
        <w:rPr>
          <w:rFonts w:ascii="华文楷体" w:hAnsi="华文楷体" w:eastAsia="华文楷体" w:cs="华文楷体"/>
          <w:color w:val="FF0000"/>
          <w:kern w:val="2"/>
          <w:szCs w:val="22"/>
        </w:rPr>
        <w:t>1.7</w:t>
      </w:r>
      <w:r>
        <w:rPr>
          <w:rFonts w:hint="eastAsia" w:ascii="华文楷体" w:hAnsi="华文楷体" w:eastAsia="华文楷体" w:cs="华文楷体"/>
          <w:color w:val="FF0000"/>
          <w:kern w:val="2"/>
          <w:szCs w:val="22"/>
        </w:rPr>
        <w:t>。</w:t>
      </w:r>
    </w:p>
    <w:p>
      <w:pPr>
        <w:pStyle w:val="167"/>
      </w:pPr>
      <w:r>
        <w:rPr>
          <w:rFonts w:hint="eastAsia"/>
        </w:rPr>
        <w:t>设防烈度变形验算时可考虑填充墙刚度的影响，填充墙变形应满足结构变形的要求。</w:t>
      </w:r>
    </w:p>
    <w:p>
      <w:pPr>
        <w:adjustRightInd/>
        <w:spacing w:line="240" w:lineRule="auto"/>
        <w:rPr>
          <w:rFonts w:ascii="Times New Roman" w:hAnsi="Times New Roman"/>
          <w:b/>
          <w:bCs/>
          <w:color w:val="FF0000"/>
        </w:rPr>
      </w:pPr>
      <w:bookmarkStart w:id="48" w:name="_Hlk90053839"/>
      <w:r>
        <w:rPr>
          <w:rFonts w:hint="eastAsia" w:ascii="华文楷体" w:hAnsi="华文楷体" w:eastAsia="华文楷体" w:cs="华文楷体"/>
          <w:color w:val="FF0000"/>
          <w:szCs w:val="22"/>
        </w:rPr>
        <w:t>条文说明</w:t>
      </w:r>
      <w:r>
        <w:rPr>
          <w:rFonts w:ascii="华文楷体" w:hAnsi="华文楷体" w:eastAsia="华文楷体" w:cs="华文楷体"/>
          <w:color w:val="FF0000"/>
          <w:szCs w:val="22"/>
        </w:rPr>
        <w:t>5.2.3</w:t>
      </w:r>
      <w:r>
        <w:rPr>
          <w:rFonts w:hint="eastAsia" w:ascii="华文楷体" w:hAnsi="华文楷体" w:eastAsia="华文楷体" w:cs="华文楷体"/>
          <w:color w:val="FF0000"/>
          <w:szCs w:val="22"/>
        </w:rPr>
        <w:t>根据构件试验表明：填充墙开裂位移角限值与连接方法有关，普通连接时，开裂位移角的均值为</w:t>
      </w:r>
      <w:r>
        <w:rPr>
          <w:rFonts w:ascii="华文楷体" w:hAnsi="华文楷体" w:eastAsia="华文楷体" w:cs="华文楷体"/>
          <w:color w:val="FF0000"/>
          <w:szCs w:val="22"/>
        </w:rPr>
        <w:t>1/800</w:t>
      </w:r>
      <w:r>
        <w:rPr>
          <w:rFonts w:hint="eastAsia" w:ascii="华文楷体" w:hAnsi="华文楷体" w:eastAsia="华文楷体" w:cs="华文楷体"/>
          <w:color w:val="FF0000"/>
          <w:szCs w:val="22"/>
        </w:rPr>
        <w:t>，具有</w:t>
      </w:r>
      <w:r>
        <w:rPr>
          <w:rFonts w:ascii="华文楷体" w:hAnsi="华文楷体" w:eastAsia="华文楷体" w:cs="华文楷体"/>
          <w:color w:val="FF0000"/>
          <w:szCs w:val="22"/>
        </w:rPr>
        <w:t>90%</w:t>
      </w:r>
      <w:r>
        <w:rPr>
          <w:rFonts w:hint="eastAsia" w:ascii="华文楷体" w:hAnsi="华文楷体" w:eastAsia="华文楷体" w:cs="华文楷体"/>
          <w:color w:val="FF0000"/>
          <w:szCs w:val="22"/>
        </w:rPr>
        <w:t>保证率的位移角为</w:t>
      </w:r>
      <w:r>
        <w:rPr>
          <w:rFonts w:ascii="华文楷体" w:hAnsi="华文楷体" w:eastAsia="华文楷体" w:cs="华文楷体"/>
          <w:color w:val="FF0000"/>
          <w:szCs w:val="22"/>
        </w:rPr>
        <w:t>1/1500</w:t>
      </w:r>
      <w:r>
        <w:rPr>
          <w:rFonts w:hint="eastAsia" w:ascii="华文楷体" w:hAnsi="华文楷体" w:eastAsia="华文楷体" w:cs="华文楷体"/>
          <w:color w:val="FF0000"/>
          <w:szCs w:val="22"/>
        </w:rPr>
        <w:t>；柔性连接时开裂位移角的均值为</w:t>
      </w:r>
      <w:r>
        <w:rPr>
          <w:rFonts w:ascii="华文楷体" w:hAnsi="华文楷体" w:eastAsia="华文楷体" w:cs="华文楷体"/>
          <w:color w:val="FF0000"/>
          <w:szCs w:val="22"/>
        </w:rPr>
        <w:t>1/600</w:t>
      </w:r>
      <w:r>
        <w:rPr>
          <w:rFonts w:hint="eastAsia" w:ascii="华文楷体" w:hAnsi="华文楷体" w:eastAsia="华文楷体" w:cs="华文楷体"/>
          <w:color w:val="FF0000"/>
          <w:szCs w:val="22"/>
        </w:rPr>
        <w:t>，具</w:t>
      </w:r>
      <w:bookmarkEnd w:id="48"/>
      <w:r>
        <w:rPr>
          <w:rFonts w:hint="eastAsia" w:ascii="华文楷体" w:hAnsi="华文楷体" w:eastAsia="华文楷体" w:cs="华文楷体"/>
          <w:color w:val="FF0000"/>
          <w:szCs w:val="22"/>
        </w:rPr>
        <w:t>有</w:t>
      </w:r>
      <w:r>
        <w:rPr>
          <w:rFonts w:ascii="华文楷体" w:hAnsi="华文楷体" w:eastAsia="华文楷体" w:cs="华文楷体"/>
          <w:color w:val="FF0000"/>
          <w:szCs w:val="22"/>
        </w:rPr>
        <w:t>90%</w:t>
      </w:r>
      <w:r>
        <w:rPr>
          <w:rFonts w:hint="eastAsia" w:ascii="华文楷体" w:hAnsi="华文楷体" w:eastAsia="华文楷体" w:cs="华文楷体"/>
          <w:color w:val="FF0000"/>
          <w:szCs w:val="22"/>
        </w:rPr>
        <w:t>保证率的位移角为</w:t>
      </w:r>
      <w:r>
        <w:rPr>
          <w:rFonts w:ascii="华文楷体" w:hAnsi="华文楷体" w:eastAsia="华文楷体" w:cs="华文楷体"/>
          <w:color w:val="FF0000"/>
          <w:szCs w:val="22"/>
        </w:rPr>
        <w:t>1/700</w:t>
      </w:r>
      <w:r>
        <w:rPr>
          <w:rFonts w:hint="eastAsia" w:ascii="华文楷体" w:hAnsi="华文楷体" w:eastAsia="华文楷体" w:cs="华文楷体"/>
          <w:color w:val="FF0000"/>
          <w:szCs w:val="22"/>
        </w:rPr>
        <w:t>。因此消能减震建筑、隔震建筑设防烈度下正常使用时候填充墙处于较小开裂状态，因此结构分析时可考虑填充墙刚度的影响。从上述试验结果中也可以得出结论，填充墙宜采用柔性连接，其抗震计算及构造形式满足现行国家标准《建筑抗震设计规范》</w:t>
      </w:r>
      <w:r>
        <w:rPr>
          <w:rFonts w:ascii="华文楷体" w:hAnsi="华文楷体" w:eastAsia="华文楷体" w:cs="华文楷体"/>
          <w:color w:val="FF0000"/>
          <w:szCs w:val="22"/>
        </w:rPr>
        <w:t>GB 50011</w:t>
      </w:r>
      <w:r>
        <w:rPr>
          <w:rFonts w:hint="eastAsia" w:ascii="华文楷体" w:hAnsi="华文楷体" w:eastAsia="华文楷体" w:cs="华文楷体"/>
          <w:color w:val="FF0000"/>
          <w:szCs w:val="22"/>
        </w:rPr>
        <w:t>相关规定。</w:t>
      </w:r>
    </w:p>
    <w:p>
      <w:pPr>
        <w:pStyle w:val="167"/>
      </w:pPr>
      <w:r>
        <w:rPr>
          <w:rFonts w:hint="eastAsia"/>
        </w:rPr>
        <w:t>应进行设防烈度下楼层加速度的验算，建筑非结构构件设计/选用时应考虑楼层加速度影响。</w:t>
      </w:r>
    </w:p>
    <w:p>
      <w:pPr>
        <w:pStyle w:val="167"/>
      </w:pPr>
      <w:r>
        <w:rPr>
          <w:rFonts w:hint="eastAsia"/>
        </w:rPr>
        <w:t>建筑机电设备抗震可按《建筑机电设备抗震支吊架通用技术条件》CJ/ 476 进行抗震设计。</w:t>
      </w:r>
    </w:p>
    <w:p>
      <w:pPr>
        <w:widowControl/>
        <w:adjustRightInd/>
        <w:spacing w:line="240" w:lineRule="auto"/>
        <w:jc w:val="left"/>
        <w:rPr>
          <w:rFonts w:ascii="宋体" w:hAnsi="Times New Roman"/>
          <w:kern w:val="0"/>
          <w:szCs w:val="20"/>
        </w:rPr>
      </w:pPr>
      <w:r>
        <w:br w:type="page"/>
      </w:r>
    </w:p>
    <w:p>
      <w:pPr>
        <w:pStyle w:val="106"/>
        <w:spacing w:before="312" w:after="312"/>
        <w:jc w:val="center"/>
      </w:pPr>
      <w:bookmarkStart w:id="49" w:name="_Toc92414096"/>
      <w:r>
        <w:rPr>
          <w:rFonts w:hint="eastAsia"/>
        </w:rPr>
        <w:t>消能减震建筑基本规定</w:t>
      </w:r>
      <w:bookmarkEnd w:id="49"/>
    </w:p>
    <w:p>
      <w:pPr>
        <w:pStyle w:val="107"/>
        <w:spacing w:before="156" w:after="156"/>
        <w:jc w:val="center"/>
      </w:pPr>
      <w:r>
        <w:rPr>
          <w:rFonts w:hint="eastAsia"/>
        </w:rPr>
        <w:t>一般规定</w:t>
      </w:r>
    </w:p>
    <w:p>
      <w:pPr>
        <w:pStyle w:val="167"/>
      </w:pPr>
      <w:r>
        <w:rPr>
          <w:rFonts w:hint="eastAsia"/>
        </w:rPr>
        <w:t>消能减震结构设计可分为新建消能减震结构设计和既有消能减震结构加固设计。</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6.1.1</w:t>
      </w:r>
      <w:r>
        <w:rPr>
          <w:rFonts w:hint="eastAsia" w:ascii="华文楷体" w:hAnsi="华文楷体" w:eastAsia="华文楷体" w:cs="华文楷体"/>
          <w:color w:val="0000FF"/>
          <w:szCs w:val="22"/>
        </w:rPr>
        <w:t>消能减震技术可广泛地应用于新建建设工程、既有建筑结构加固工程中。</w:t>
      </w:r>
    </w:p>
    <w:p>
      <w:pPr>
        <w:pStyle w:val="167"/>
      </w:pPr>
      <w:r>
        <w:rPr>
          <w:rFonts w:hint="eastAsia"/>
        </w:rPr>
        <w:t>确定消能减震结构设计方案时，消能部件的布置应符合下列规定：</w:t>
      </w:r>
    </w:p>
    <w:p>
      <w:pPr>
        <w:pStyle w:val="58"/>
        <w:ind w:firstLine="420"/>
      </w:pPr>
      <w:r>
        <w:rPr>
          <w:rFonts w:hint="eastAsia"/>
        </w:rPr>
        <w:t>1  消能部件宜根据需要沿结构主轴方向设置，形成均匀合理的结构体系。</w:t>
      </w:r>
    </w:p>
    <w:p>
      <w:pPr>
        <w:pStyle w:val="58"/>
        <w:ind w:firstLine="420"/>
      </w:pPr>
      <w:r>
        <w:rPr>
          <w:rFonts w:hint="eastAsia"/>
        </w:rPr>
        <w:t>2  消能部件宜设置在能使消能器产生较高消能效率的楼层和部位。</w:t>
      </w:r>
    </w:p>
    <w:p>
      <w:pPr>
        <w:pStyle w:val="58"/>
        <w:ind w:firstLine="420"/>
      </w:pPr>
      <w:r>
        <w:rPr>
          <w:rFonts w:hint="eastAsia"/>
        </w:rPr>
        <w:t>3  消能部件的设置位置及连接构造宜便于检查、维护和更换。</w:t>
      </w:r>
    </w:p>
    <w:p>
      <w:pPr>
        <w:pStyle w:val="167"/>
      </w:pPr>
      <w:r>
        <w:rPr>
          <w:rFonts w:hint="eastAsia"/>
        </w:rPr>
        <w:t>消能器的选择应考虑结构类型、使用环境、结构控制参数等因素，根据结构在地震作用时预期的结构位移或内力控制要求，选择不同类型的消能器。设计文件中应注明消能器使用的环境、检查和维护要求。</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6.1.3</w:t>
      </w:r>
      <w:r>
        <w:rPr>
          <w:rFonts w:hint="eastAsia" w:ascii="华文楷体" w:hAnsi="华文楷体" w:eastAsia="华文楷体" w:cs="华文楷体"/>
          <w:color w:val="0000FF"/>
          <w:szCs w:val="22"/>
        </w:rPr>
        <w:t>国内外学者对黏弹性消能器和黏滞消能器进行了试验研究，发现影响其耗能性能的主要因数是温度、频率和应变幅值。而位移型消能器如金属屈服型消能器、摩擦消能器等的耐久性主要包括腐蚀、磨耗及钢材在高温下的软化和低温下的脆性断裂等。摩擦消能器中的金属摩擦材料虽然强度高，不易破裂，但经过多次反复滑动后摩擦系数下降快，胶合趋势大。</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综合来讲，消能器的耗能性能很大程度上受温度、徐变、腐蚀、紫外线照射等因素的影响，因此要求在设计文件及使用时应考虑到其所处的工作环境，必要时采取特殊的措施消除环境因素的影响。</w:t>
      </w:r>
    </w:p>
    <w:p>
      <w:pPr>
        <w:pStyle w:val="107"/>
        <w:spacing w:before="156" w:after="156"/>
        <w:jc w:val="center"/>
      </w:pPr>
      <w:r>
        <w:rPr>
          <w:rFonts w:hint="eastAsia"/>
        </w:rPr>
        <w:t>消能器</w:t>
      </w:r>
    </w:p>
    <w:p>
      <w:pPr>
        <w:pStyle w:val="167"/>
      </w:pPr>
      <w:r>
        <w:rPr>
          <w:rFonts w:hint="eastAsia"/>
        </w:rPr>
        <w:t>消能器应具有良好的变形能力、耗能能力及抗疲劳、抗老化性能，消能器工作环境应满足现行标准《建筑消能阻尼器》JG/T 209的要求，不满足时应作保温、保湿等相应处理。</w:t>
      </w:r>
    </w:p>
    <w:p>
      <w:pPr>
        <w:pStyle w:val="167"/>
      </w:pPr>
      <w:r>
        <w:rPr>
          <w:rFonts w:hint="eastAsia"/>
        </w:rPr>
        <w:t>消能器选择应符合下列规定：</w:t>
      </w:r>
    </w:p>
    <w:p>
      <w:pPr>
        <w:pStyle w:val="58"/>
        <w:numPr>
          <w:ilvl w:val="0"/>
          <w:numId w:val="32"/>
        </w:numPr>
        <w:ind w:firstLineChars="0"/>
      </w:pPr>
      <w:r>
        <w:rPr>
          <w:rFonts w:hint="eastAsia"/>
        </w:rPr>
        <w:t>消能器的极限位移应满足现行标准《建筑消能阻尼器》JG/T 209的要求。速度相关型消能器极限速度应大于消能器设计速度的1.2倍。</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6.2.2</w:t>
      </w:r>
      <w:r>
        <w:rPr>
          <w:rFonts w:hint="eastAsia" w:ascii="华文楷体" w:hAnsi="华文楷体" w:eastAsia="华文楷体" w:cs="华文楷体"/>
          <w:color w:val="0000FF"/>
          <w:szCs w:val="22"/>
        </w:rPr>
        <w:t>由于地震动的不确定性，地震破坏作用及结构在地震作用下的反应也不确定的，同事结构计算模型的各种假定和实际情况存在一定差距，根据规定的地震作用进行结构抗震验算，不论计算理论和工具如何先进，计算如何严格，实际地震作用时结构的地震反应与计算结果存在较大的差异。为使消能减震结构实现大震不倒的设防目标，需保证大震作用下消能器不丧失功能而产生破坏。为此，消能器的极限位移不应小于在罕遇地震作用时消能器最大变形的</w:t>
      </w:r>
      <w:r>
        <w:rPr>
          <w:rFonts w:ascii="华文楷体" w:hAnsi="华文楷体" w:eastAsia="华文楷体" w:cs="华文楷体"/>
          <w:color w:val="0000FF"/>
          <w:szCs w:val="22"/>
        </w:rPr>
        <w:t>1.2</w:t>
      </w:r>
      <w:r>
        <w:rPr>
          <w:rFonts w:hint="eastAsia" w:ascii="华文楷体" w:hAnsi="华文楷体" w:eastAsia="华文楷体" w:cs="华文楷体"/>
          <w:color w:val="0000FF"/>
          <w:szCs w:val="22"/>
        </w:rPr>
        <w:t>倍。对速度型消能器，其极限速度也满足类似要求。</w:t>
      </w:r>
    </w:p>
    <w:p>
      <w:pPr>
        <w:adjustRightInd/>
        <w:spacing w:line="240" w:lineRule="auto"/>
        <w:rPr>
          <w:rFonts w:ascii="Times New Roman" w:hAnsi="Times New Roman"/>
          <w:color w:val="000000" w:themeColor="text1"/>
          <w14:textFill>
            <w14:solidFill>
              <w14:schemeClr w14:val="tx1"/>
            </w14:solidFill>
          </w14:textFill>
        </w:rPr>
      </w:pPr>
      <w:r>
        <w:rPr>
          <w:rFonts w:hint="eastAsia" w:ascii="华文楷体" w:hAnsi="华文楷体" w:eastAsia="华文楷体" w:cs="华文楷体"/>
          <w:color w:val="0000FF"/>
          <w:szCs w:val="22"/>
        </w:rPr>
        <w:t>国内外学者对黏弹性消能器和黏滞消能器进行了试验研究，发现影响其耗能性能的主要因数是温度、频率和应变幅值。而位移型消能器如金属屈服型消能器、摩擦消能器等的耐久性主</w:t>
      </w:r>
    </w:p>
    <w:p>
      <w:pPr>
        <w:pStyle w:val="58"/>
        <w:ind w:firstLine="420"/>
      </w:pPr>
      <w:r>
        <w:rPr>
          <w:rFonts w:hint="eastAsia"/>
        </w:rPr>
        <w:t>2  在10年一遇标准风荷载作用下，金属消能器和屈曲约束支撑不应产生屈服，摩擦消能器不应起滑。</w:t>
      </w:r>
    </w:p>
    <w:p>
      <w:pPr>
        <w:pStyle w:val="58"/>
        <w:ind w:firstLine="420"/>
      </w:pPr>
      <w:r>
        <w:rPr>
          <w:rFonts w:hint="eastAsia"/>
        </w:rPr>
        <w:t>3  消能器应具有良好的耐久性和环境适应性。</w:t>
      </w:r>
    </w:p>
    <w:p>
      <w:pPr>
        <w:pStyle w:val="167"/>
      </w:pPr>
      <w:r>
        <w:rPr>
          <w:rFonts w:hint="eastAsia"/>
        </w:rPr>
        <w:t>消能器的性能参数应在设计文件中注明。</w:t>
      </w:r>
    </w:p>
    <w:p>
      <w:pPr>
        <w:pStyle w:val="107"/>
        <w:spacing w:before="156" w:after="156"/>
        <w:jc w:val="center"/>
      </w:pPr>
      <w:r>
        <w:rPr>
          <w:rFonts w:hint="eastAsia"/>
        </w:rPr>
        <w:t>结构分析</w:t>
      </w:r>
    </w:p>
    <w:p>
      <w:pPr>
        <w:pStyle w:val="167"/>
      </w:pPr>
      <w:r>
        <w:rPr>
          <w:rFonts w:hint="eastAsia"/>
        </w:rPr>
        <w:t>消能减震结构分析模型应正确地反映不同荷载工况的传力途径、在不同地震动水准下主体结构和消能器所处的工作状态。</w:t>
      </w:r>
    </w:p>
    <w:p>
      <w:pPr>
        <w:pStyle w:val="167"/>
      </w:pPr>
      <w:r>
        <w:rPr>
          <w:rFonts w:hint="eastAsia"/>
        </w:rPr>
        <w:t>消能减震结构的分析方法应根据主体结构、消能器的工作状态选择，可采用振型分解反应谱法、弹性时程分析法、弹塑性时程分析法和静力弹塑性分析法。</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6.3.2</w:t>
      </w:r>
      <w:r>
        <w:rPr>
          <w:rFonts w:hint="eastAsia" w:ascii="华文楷体" w:hAnsi="华文楷体" w:eastAsia="华文楷体" w:cs="华文楷体"/>
          <w:color w:val="0000FF"/>
          <w:szCs w:val="22"/>
        </w:rPr>
        <w:t>消能减震结构分析方法的选取依据如下原则：</w:t>
      </w:r>
    </w:p>
    <w:p>
      <w:pPr>
        <w:adjustRightInd/>
        <w:spacing w:line="240" w:lineRule="auto"/>
        <w:rPr>
          <w:rFonts w:ascii="华文楷体" w:hAnsi="华文楷体" w:eastAsia="华文楷体" w:cs="华文楷体"/>
          <w:color w:val="0000FF"/>
          <w:szCs w:val="22"/>
        </w:rPr>
      </w:pPr>
      <w:r>
        <w:rPr>
          <w:rFonts w:ascii="华文楷体" w:hAnsi="华文楷体" w:eastAsia="华文楷体" w:cs="华文楷体"/>
          <w:color w:val="0000FF"/>
          <w:szCs w:val="22"/>
        </w:rPr>
        <w:t xml:space="preserve">1 </w:t>
      </w:r>
      <w:r>
        <w:rPr>
          <w:rFonts w:hint="eastAsia" w:ascii="华文楷体" w:hAnsi="华文楷体" w:eastAsia="华文楷体" w:cs="华文楷体"/>
          <w:color w:val="0000FF"/>
          <w:szCs w:val="22"/>
        </w:rPr>
        <w:t>当消能减震结构主体结构处于弹性工作状态，且消能器处于线性工作状态时，可采用振型分解反应谱法、弹性时程分析法。</w:t>
      </w:r>
    </w:p>
    <w:p>
      <w:pPr>
        <w:adjustRightInd/>
        <w:spacing w:line="240" w:lineRule="auto"/>
        <w:rPr>
          <w:rFonts w:ascii="华文楷体" w:hAnsi="华文楷体" w:eastAsia="华文楷体" w:cs="华文楷体"/>
          <w:color w:val="0000FF"/>
          <w:szCs w:val="22"/>
        </w:rPr>
      </w:pPr>
      <w:r>
        <w:rPr>
          <w:rFonts w:ascii="华文楷体" w:hAnsi="华文楷体" w:eastAsia="华文楷体" w:cs="华文楷体"/>
          <w:color w:val="0000FF"/>
          <w:szCs w:val="22"/>
        </w:rPr>
        <w:t xml:space="preserve">2 </w:t>
      </w:r>
      <w:r>
        <w:rPr>
          <w:rFonts w:hint="eastAsia" w:ascii="华文楷体" w:hAnsi="华文楷体" w:eastAsia="华文楷体" w:cs="华文楷体"/>
          <w:color w:val="0000FF"/>
          <w:szCs w:val="22"/>
        </w:rPr>
        <w:t>当消能减震结构主体结构处于弹性工作状态，且消能器处于非线性工作状态时，可将消能器进行等效线性化，采用附加有效阻尼比和有效刚度的振型分解反应谱法、弹性时程分析法；也可采用弹塑性时程分析法。</w:t>
      </w:r>
    </w:p>
    <w:p>
      <w:pPr>
        <w:adjustRightInd/>
        <w:spacing w:line="240" w:lineRule="auto"/>
        <w:rPr>
          <w:rFonts w:ascii="Times New Roman" w:hAnsi="Times New Roman" w:eastAsiaTheme="minorEastAsia"/>
          <w:b/>
          <w:color w:val="FF0000"/>
        </w:rPr>
      </w:pPr>
      <w:r>
        <w:rPr>
          <w:rFonts w:ascii="华文楷体" w:hAnsi="华文楷体" w:eastAsia="华文楷体" w:cs="华文楷体"/>
          <w:color w:val="FF0000"/>
          <w:szCs w:val="22"/>
        </w:rPr>
        <w:t xml:space="preserve">3 </w:t>
      </w:r>
      <w:r>
        <w:rPr>
          <w:rFonts w:hint="eastAsia" w:ascii="华文楷体" w:hAnsi="华文楷体" w:eastAsia="华文楷体" w:cs="华文楷体"/>
          <w:color w:val="FF0000"/>
          <w:szCs w:val="22"/>
        </w:rPr>
        <w:t>当消能减震结构主体结构进入弹塑性状态时，宜采用静力弹塑性分析法或弹塑性时程分析方法。</w:t>
      </w:r>
    </w:p>
    <w:p>
      <w:pPr>
        <w:pStyle w:val="167"/>
      </w:pPr>
      <w:r>
        <w:rPr>
          <w:rFonts w:hint="eastAsia"/>
        </w:rPr>
        <w:t>消能减震结构的总阻尼比应为主体结构阻尼比和消能器附加给主体结构的有效阻尼比的总和，结构总阻尼比应根据主体结构处于弹性或弹塑性工作状态及不同水准地震动激励状态分别确定。</w:t>
      </w:r>
    </w:p>
    <w:p>
      <w:pPr>
        <w:pStyle w:val="167"/>
      </w:pPr>
      <w:r>
        <w:rPr>
          <w:rFonts w:hint="eastAsia"/>
        </w:rPr>
        <w:t>消能减震结构的总刚度应为主体结构刚度和消能部件附加给主体结构的有效刚度之和，且应考虑不同变形状态导致的刚度差异。</w:t>
      </w:r>
    </w:p>
    <w:p>
      <w:pPr>
        <w:pStyle w:val="167"/>
      </w:pPr>
      <w:r>
        <w:rPr>
          <w:rFonts w:hint="eastAsia"/>
        </w:rPr>
        <w:t>消能器的恢复力模型宜按下列规定选取：</w:t>
      </w:r>
    </w:p>
    <w:p>
      <w:pPr>
        <w:pStyle w:val="58"/>
        <w:ind w:firstLine="420"/>
      </w:pPr>
      <w:r>
        <w:rPr>
          <w:rFonts w:hint="eastAsia"/>
        </w:rPr>
        <w:t>1  软钢消能器和屈曲约束支撑可采用双线性模型、三线性模型、考虑硬化过程双骨架模型或Wen模型。</w:t>
      </w:r>
    </w:p>
    <w:p>
      <w:pPr>
        <w:pStyle w:val="58"/>
        <w:ind w:firstLine="420"/>
      </w:pPr>
      <w:r>
        <w:rPr>
          <w:rFonts w:hint="eastAsia"/>
        </w:rPr>
        <w:t>2  摩擦消能器、铅消能器可采用理想弹塑性模型。</w:t>
      </w:r>
    </w:p>
    <w:p>
      <w:pPr>
        <w:pStyle w:val="58"/>
        <w:ind w:firstLine="420"/>
      </w:pPr>
      <w:r>
        <w:rPr>
          <w:rFonts w:hint="eastAsia"/>
        </w:rPr>
        <w:t>3  黏滞消能器可采用麦克斯韦模型。</w:t>
      </w:r>
    </w:p>
    <w:p>
      <w:pPr>
        <w:pStyle w:val="58"/>
        <w:ind w:firstLine="420"/>
      </w:pPr>
      <w:r>
        <w:rPr>
          <w:rFonts w:hint="eastAsia"/>
        </w:rPr>
        <w:t>4  黏弹性消能器可采用开尔文模型。</w:t>
      </w:r>
    </w:p>
    <w:p>
      <w:pPr>
        <w:pStyle w:val="58"/>
        <w:ind w:firstLine="420"/>
      </w:pPr>
      <w:r>
        <w:rPr>
          <w:rFonts w:hint="eastAsia"/>
        </w:rPr>
        <w:t>5  其他类型消能器模型可根据组成消能器的元件是采用串联还是并联具体确定。</w:t>
      </w:r>
    </w:p>
    <w:p>
      <w:pPr>
        <w:pStyle w:val="58"/>
        <w:ind w:firstLine="420"/>
      </w:pPr>
      <w:r>
        <w:rPr>
          <w:rFonts w:hint="eastAsia"/>
        </w:rPr>
        <w:t>6  消能器的恢复力模型参数应通过足尺试验确定。</w:t>
      </w:r>
    </w:p>
    <w:p>
      <w:pPr>
        <w:pStyle w:val="167"/>
      </w:pPr>
      <w:r>
        <w:rPr>
          <w:rFonts w:hint="eastAsia"/>
        </w:rPr>
        <w:t>罕遇地震作用下消能器的设计位移计算，应通过结构整体弹塑性分析确定。</w:t>
      </w:r>
    </w:p>
    <w:p>
      <w:pPr>
        <w:adjustRightInd/>
        <w:spacing w:line="240" w:lineRule="auto"/>
        <w:rPr>
          <w:rFonts w:ascii="Times New Roman" w:hAnsi="Times New Roman"/>
          <w:b/>
          <w:bCs/>
          <w:color w:val="FF0000"/>
        </w:rPr>
      </w:pPr>
      <w:r>
        <w:rPr>
          <w:rFonts w:hint="eastAsia" w:ascii="华文楷体" w:hAnsi="华文楷体" w:eastAsia="华文楷体" w:cs="华文楷体"/>
          <w:color w:val="FF0000"/>
          <w:szCs w:val="22"/>
        </w:rPr>
        <w:t>条文说明</w:t>
      </w:r>
      <w:r>
        <w:rPr>
          <w:rFonts w:ascii="华文楷体" w:hAnsi="华文楷体" w:eastAsia="华文楷体" w:cs="华文楷体"/>
          <w:color w:val="FF0000"/>
          <w:szCs w:val="22"/>
        </w:rPr>
        <w:t>6.3.6</w:t>
      </w:r>
      <w:r>
        <w:rPr>
          <w:rFonts w:hint="eastAsia" w:ascii="华文楷体" w:hAnsi="华文楷体" w:eastAsia="华文楷体" w:cs="华文楷体"/>
          <w:color w:val="FF0000"/>
          <w:szCs w:val="22"/>
        </w:rPr>
        <w:t>影响罕遇地震作用下消能器位移结果的因素很多，现阶段，其计算值得离散性较大。注意到常规设计中，考虑到小震弹性时程分析的波形数量较少，而且计算的位移多数明显小于反应谱法的计算结果，需要以反应谱法为基础进行对比分析；大震弹塑性时程分析时，由于阻尼的处理方法不够完善，波数数量也较少，不宜直接把计算的位移值视为消能器实际位移，同样需要借助小震的反应谱法计算结果进行分析。建议按下列方法确定其层间位移参考数值：用同一软件。同一波形进行弹性和弹塑性计算，得到同一波形、同一部位弹塑性位移与小震弹性位移的比值，然后将此值取平均或包络值，再乘以反应谱法计算的该部位小震位移，从而得到大震下该部位的消能器位移参考值。</w:t>
      </w:r>
    </w:p>
    <w:p>
      <w:pPr>
        <w:pStyle w:val="167"/>
      </w:pPr>
      <w:r>
        <w:rPr>
          <w:rFonts w:hint="eastAsia"/>
        </w:rPr>
        <w:t>大型复杂消能减震结构在地震作用下的内力、变形分析及减震效果评价，宜采用不少于两个合适和成熟的不同软件进行对比分析，计算结果应经分析判断确认其合理、有效后方可用于工程设计。</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6.3.7</w:t>
      </w:r>
      <w:r>
        <w:rPr>
          <w:rFonts w:hint="eastAsia" w:ascii="华文楷体" w:hAnsi="华文楷体" w:eastAsia="华文楷体" w:cs="华文楷体"/>
          <w:color w:val="0000FF"/>
          <w:szCs w:val="22"/>
        </w:rPr>
        <w:t>大型复杂消能减震结构的非线性分析，其分析结果与设计人员对构件非线性参数的取值关系密切，同时，与软件计算方法、参数处理、计算模型简化等也有很大关系，因此，进行弹塑性分析时，宜采用两个或两个以上软件进行计算分析。计算时，计算模型和构件参数应基本相同，两个软件的计算结果相近，且合理后，方可应用工程设计。当弹塑性分析仅用于确定罕遇地震下消能器设计位移等参数时，可只采用一个软件进行计算分析。</w:t>
      </w:r>
    </w:p>
    <w:p>
      <w:pPr>
        <w:pStyle w:val="167"/>
      </w:pPr>
      <w:r>
        <w:rPr>
          <w:rFonts w:hint="eastAsia"/>
        </w:rPr>
        <w:t>消能减震结构采用弹塑性时程分析计算时，根据主体结构构件弹塑性参数和消能部件的参数确定消能减震结构非线性分析模型，相对于弹性分析模型可有所简化，但二者再多遇地震下的线性分析结果应基本一致。</w:t>
      </w:r>
    </w:p>
    <w:p>
      <w:pPr>
        <w:pStyle w:val="167"/>
      </w:pPr>
      <w:r>
        <w:rPr>
          <w:rFonts w:hint="eastAsia"/>
        </w:rPr>
        <w:t>消能减震结构采用静力弹塑性分析方法分析时应满足下列要求：</w:t>
      </w:r>
    </w:p>
    <w:p>
      <w:pPr>
        <w:pStyle w:val="58"/>
        <w:ind w:firstLine="420"/>
      </w:pPr>
      <w:r>
        <w:rPr>
          <w:rFonts w:hint="eastAsia"/>
        </w:rPr>
        <w:t>1  消能部件中消能器和支撑根据连接形式不同，可采用串联模型或并联模型，将消能器刚度和支撑的刚度进行等效，在计算中消能部件采用等刚度的连接杆代替。</w:t>
      </w:r>
    </w:p>
    <w:p>
      <w:pPr>
        <w:pStyle w:val="58"/>
        <w:ind w:firstLine="420"/>
      </w:pPr>
      <w:r>
        <w:rPr>
          <w:rFonts w:hint="eastAsia"/>
        </w:rPr>
        <w:t>2  结构目标位移的确定应根据结构的不同性能来选择，宜采用结构总高度的1.5%作为顶点位移的界限值。</w:t>
      </w:r>
    </w:p>
    <w:p>
      <w:pPr>
        <w:pStyle w:val="58"/>
        <w:ind w:firstLine="420"/>
      </w:pPr>
      <w:r>
        <w:rPr>
          <w:rFonts w:hint="eastAsia"/>
        </w:rPr>
        <w:t>3  结构的阻尼比由主体结构阻尼比和消能部件附加给结构的有效阻尼比组成，主体结构阻尼比应取结构弹塑性状态时的阻尼比，消能部件附加阻尼比取主体结构弹塑性状态一致的变形计算。</w:t>
      </w:r>
    </w:p>
    <w:p>
      <w:pPr>
        <w:pStyle w:val="107"/>
        <w:spacing w:before="156" w:after="156"/>
        <w:jc w:val="center"/>
      </w:pPr>
      <w:r>
        <w:rPr>
          <w:rFonts w:hint="eastAsia"/>
        </w:rPr>
        <w:t>连接与节点</w:t>
      </w:r>
    </w:p>
    <w:p>
      <w:pPr>
        <w:pStyle w:val="167"/>
      </w:pPr>
      <w:r>
        <w:rPr>
          <w:rFonts w:hint="eastAsia"/>
        </w:rPr>
        <w:t>消能器与支撑、与支承构件连接，应符合钢构件连接、钢与钢筋混凝土构件连接、钢与钢管混凝土构件连接构造的规定。</w:t>
      </w:r>
    </w:p>
    <w:p>
      <w:pPr>
        <w:pStyle w:val="167"/>
      </w:pPr>
      <w:r>
        <w:rPr>
          <w:rFonts w:hint="eastAsia"/>
        </w:rPr>
        <w:t>消能器与支撑、连接件之间宜采用高强螺栓连接或销轴连接，也可采用焊接。当采用销轴连接时，连接间隙不应大于0.1mm。</w:t>
      </w:r>
    </w:p>
    <w:p>
      <w:pPr>
        <w:adjustRightInd/>
        <w:spacing w:line="240" w:lineRule="auto"/>
        <w:rPr>
          <w:rFonts w:ascii="Times New Roman" w:hAnsi="Times New Roman"/>
          <w:b/>
          <w:bCs/>
          <w:color w:val="000000" w:themeColor="text1"/>
          <w14:textFill>
            <w14:solidFill>
              <w14:schemeClr w14:val="tx1"/>
            </w14:solidFill>
          </w14:textFill>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6.4.1~6.4.2</w:t>
      </w:r>
      <w:r>
        <w:rPr>
          <w:rFonts w:hint="eastAsia" w:ascii="华文楷体" w:hAnsi="华文楷体" w:eastAsia="华文楷体" w:cs="华文楷体"/>
          <w:color w:val="0000FF"/>
          <w:szCs w:val="22"/>
        </w:rPr>
        <w:t>消能器与支撑、与支承构件的连接符合《混凝土结构设计规范》</w:t>
      </w:r>
      <w:r>
        <w:rPr>
          <w:rFonts w:ascii="华文楷体" w:hAnsi="华文楷体" w:eastAsia="华文楷体" w:cs="华文楷体"/>
          <w:color w:val="0000FF"/>
          <w:szCs w:val="22"/>
        </w:rPr>
        <w:t>GB50010</w:t>
      </w:r>
      <w:r>
        <w:rPr>
          <w:rFonts w:hint="eastAsia" w:ascii="华文楷体" w:hAnsi="华文楷体" w:eastAsia="华文楷体" w:cs="华文楷体"/>
          <w:color w:val="0000FF"/>
          <w:szCs w:val="22"/>
        </w:rPr>
        <w:t>、《钢结构设计标准》</w:t>
      </w:r>
      <w:r>
        <w:rPr>
          <w:rFonts w:ascii="华文楷体" w:hAnsi="华文楷体" w:eastAsia="华文楷体" w:cs="华文楷体"/>
          <w:color w:val="0000FF"/>
          <w:szCs w:val="22"/>
        </w:rPr>
        <w:t>GB 50017</w:t>
      </w:r>
      <w:r>
        <w:rPr>
          <w:rFonts w:hint="eastAsia" w:ascii="华文楷体" w:hAnsi="华文楷体" w:eastAsia="华文楷体" w:cs="华文楷体"/>
          <w:color w:val="0000FF"/>
          <w:szCs w:val="22"/>
        </w:rPr>
        <w:t>、《组合结构设计规范》</w:t>
      </w:r>
      <w:r>
        <w:rPr>
          <w:rFonts w:ascii="华文楷体" w:hAnsi="华文楷体" w:eastAsia="华文楷体" w:cs="华文楷体"/>
          <w:color w:val="0000FF"/>
          <w:szCs w:val="22"/>
        </w:rPr>
        <w:t>JGJ 138</w:t>
      </w:r>
      <w:r>
        <w:rPr>
          <w:rFonts w:hint="eastAsia" w:ascii="华文楷体" w:hAnsi="华文楷体" w:eastAsia="华文楷体" w:cs="华文楷体"/>
          <w:color w:val="0000FF"/>
          <w:szCs w:val="22"/>
        </w:rPr>
        <w:t>相关内容。</w:t>
      </w:r>
    </w:p>
    <w:p>
      <w:pPr>
        <w:pStyle w:val="167"/>
      </w:pPr>
      <w:r>
        <w:rPr>
          <w:rFonts w:hint="eastAsia"/>
        </w:rPr>
        <w:t>在消能器极限位移或极限速度对应的阻尼力作用下，与消能器连接的支撑、墙、支墩应处于弹性工作状态；消能部件与主体结构相连的预埋件、节点板等应处于弹性工作状态，且不应出现滑移或拔出等破坏；对于承载力较大的消能器，对其连接节点应采用通用有限元分析软件进行有限元数值分析，确保连接可靠。</w:t>
      </w:r>
    </w:p>
    <w:p>
      <w:pPr>
        <w:pStyle w:val="107"/>
        <w:spacing w:before="156" w:after="156"/>
        <w:jc w:val="center"/>
      </w:pPr>
      <w:r>
        <w:rPr>
          <w:rFonts w:hint="eastAsia"/>
        </w:rPr>
        <w:t>消能部件材料和施工</w:t>
      </w:r>
    </w:p>
    <w:p>
      <w:pPr>
        <w:pStyle w:val="167"/>
      </w:pPr>
      <w:r>
        <w:rPr>
          <w:rFonts w:hint="eastAsia"/>
        </w:rPr>
        <w:t>支撑及连接件一般采用钢构件，也可采用钢管混凝土或钢筋混凝土构件。对支撑材料和施工有特殊规定时，应在设计文件中注明。</w:t>
      </w:r>
    </w:p>
    <w:p>
      <w:pPr>
        <w:pStyle w:val="167"/>
      </w:pPr>
      <w:r>
        <w:rPr>
          <w:rFonts w:hint="eastAsia"/>
        </w:rPr>
        <w:t>钢筋混凝土构件作为消能器的支撑构件时，其混凝土强度等级不应低于C30。</w:t>
      </w:r>
    </w:p>
    <w:p>
      <w:pPr>
        <w:pStyle w:val="167"/>
      </w:pPr>
      <w:r>
        <w:rPr>
          <w:rFonts w:hint="eastAsia"/>
        </w:rPr>
        <w:t>消能部件的安装可在主体结构完成后进行或在主体结构施工时进行，消能器安装完成后不应出现影响消能器正常工作的变形，且计算分析应考虑消能部件安装次序的影响。</w:t>
      </w:r>
    </w:p>
    <w:p>
      <w:pPr>
        <w:pStyle w:val="107"/>
        <w:spacing w:before="156" w:after="156"/>
        <w:jc w:val="center"/>
      </w:pPr>
      <w:r>
        <w:rPr>
          <w:rFonts w:hint="eastAsia"/>
        </w:rPr>
        <w:t>耐久性规定</w:t>
      </w:r>
    </w:p>
    <w:p>
      <w:pPr>
        <w:pStyle w:val="167"/>
      </w:pPr>
      <w:r>
        <w:rPr>
          <w:rFonts w:hint="eastAsia"/>
        </w:rPr>
        <w:t>消能部件的混凝土部分的耐久性应满足国家现行标准《混凝土结构设计规范》GB 50010的规定，钢构件的防护应满足国家现行标准《钢结构设计标准》GB50017的规定。承受竖向荷载作用的消能器应按主体结构的要求进行防火处理。</w:t>
      </w:r>
    </w:p>
    <w:p>
      <w:pPr>
        <w:pStyle w:val="167"/>
      </w:pPr>
      <w:r>
        <w:rPr>
          <w:rFonts w:hint="eastAsia"/>
        </w:rPr>
        <w:t>消能器经过火灾高温环境后，应对消能器进行检查和试验。</w:t>
      </w:r>
    </w:p>
    <w:p>
      <w:pPr>
        <w:pStyle w:val="167"/>
      </w:pPr>
      <w:r>
        <w:rPr>
          <w:rFonts w:hint="eastAsia"/>
        </w:rPr>
        <w:t>当消能减震建筑遭遇不低于设防烈度的地震后，应对消能器以及消能子结构进行检查和维护。设计文件应注明使用期间对生产厂家的回访检验和业主的定期检验要求。</w:t>
      </w:r>
    </w:p>
    <w:p>
      <w:pPr>
        <w:widowControl/>
        <w:adjustRightInd/>
        <w:spacing w:line="240" w:lineRule="auto"/>
        <w:jc w:val="left"/>
        <w:rPr>
          <w:rFonts w:ascii="宋体" w:hAnsi="Times New Roman"/>
          <w:kern w:val="0"/>
          <w:szCs w:val="20"/>
        </w:rPr>
      </w:pPr>
      <w:r>
        <w:br w:type="page"/>
      </w:r>
    </w:p>
    <w:p>
      <w:pPr>
        <w:pStyle w:val="106"/>
        <w:spacing w:before="312" w:after="312"/>
        <w:jc w:val="center"/>
      </w:pPr>
      <w:bookmarkStart w:id="50" w:name="_Toc92414097"/>
      <w:r>
        <w:rPr>
          <w:rFonts w:hint="eastAsia"/>
        </w:rPr>
        <w:t>消能器的技术性能</w:t>
      </w:r>
      <w:bookmarkEnd w:id="50"/>
    </w:p>
    <w:p>
      <w:pPr>
        <w:pStyle w:val="107"/>
        <w:spacing w:before="156" w:after="156"/>
        <w:jc w:val="center"/>
      </w:pPr>
      <w:r>
        <w:rPr>
          <w:rFonts w:hint="eastAsia"/>
        </w:rPr>
        <w:t>一般规定</w:t>
      </w:r>
    </w:p>
    <w:p>
      <w:pPr>
        <w:pStyle w:val="167"/>
      </w:pPr>
      <w:r>
        <w:rPr>
          <w:rFonts w:hint="eastAsia"/>
        </w:rPr>
        <w:t>消能器的设计使用年限不宜小于建筑物的设计使用年限或后续使用年限，当消能器设计使用年限小于建筑物的设计使用年限或后续使用年限时，消能器达到使用年限应及时按一定比例数量抽检其性能，重新确定消能器后续使用年限或更换。</w:t>
      </w:r>
    </w:p>
    <w:p>
      <w:pPr>
        <w:adjustRightInd/>
        <w:spacing w:line="240" w:lineRule="auto"/>
        <w:rPr>
          <w:rFonts w:ascii="Times New Roman" w:hAnsi="Times New Roman"/>
          <w:b/>
          <w:bCs/>
          <w:color w:val="000000" w:themeColor="text1"/>
          <w14:textFill>
            <w14:solidFill>
              <w14:schemeClr w14:val="tx1"/>
            </w14:solidFill>
          </w14:textFill>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7.1.1</w:t>
      </w:r>
      <w:r>
        <w:rPr>
          <w:rFonts w:hint="eastAsia" w:ascii="华文楷体" w:hAnsi="华文楷体" w:eastAsia="华文楷体" w:cs="华文楷体"/>
          <w:color w:val="0000FF"/>
          <w:szCs w:val="22"/>
        </w:rPr>
        <w:t>建筑物使用年限是设计规定在既定的时间内，建筑只需进行正常的维护而不需进行大修就能按预期目的使用，完成预定的功能，即房屋建筑在正常设计、正常施工、正常使用和维护下所应达到的使用年限。消能减震结构设计中，消能器的设计至关重要，消能器一旦失效，不仅原有减震设计目标很难达到，而且在地震作用下还可能产生负面效果，如导致结构动力特性改变、增强地震作用等不利效应等。</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目前，还无法对地震的发生做出合理的预测，无法判断其发生的时间、地点和强度。消能器作为结构中消耗地震能量的主要构件之一，设计使用年限内应时刻处于有效工作状态，从而保证地震作用时起到减震作用。至今消能减震技术在实际结构中应用的时间还没有超过现有规范规定的建筑物使用年限，无法对每类消能器实际使用年限范围内的可靠性作出明确限定，只能通过消能器某些元件的耐久性特性推算消能器的使用年限。为此，各种消能器产品上应标注出厂时间和使用年限。为了保证消能减震结构在使用年限内的安全性，消能器应和使用消能器的建筑具有相同的使用年限，不满足要求时，消能器从生产日期算起的寿命达到其使用年限时应按一定比例数量拆下消能器到具有检测资质的试验室抽检性能，确定消能器新的使用年限；不满足使用要求时应更换新的消能器，或置换消能器部分元件，使其满足设计要求。一般认为金属消能器在使用期内防腐有保证时，其使用寿命应该与其材质使用寿命一致。对于黏滞消能器的性能保证使用寿命通常认为是</w:t>
      </w:r>
      <w:r>
        <w:rPr>
          <w:rFonts w:ascii="华文楷体" w:hAnsi="华文楷体" w:eastAsia="华文楷体" w:cs="华文楷体"/>
          <w:color w:val="0000FF"/>
          <w:szCs w:val="22"/>
        </w:rPr>
        <w:t>30</w:t>
      </w:r>
      <w:r>
        <w:rPr>
          <w:rFonts w:hint="eastAsia" w:ascii="华文楷体" w:hAnsi="华文楷体" w:eastAsia="华文楷体" w:cs="华文楷体"/>
          <w:color w:val="0000FF"/>
          <w:szCs w:val="22"/>
        </w:rPr>
        <w:t>年，生产厂家另有质量保证说明的除外。</w:t>
      </w:r>
    </w:p>
    <w:p>
      <w:pPr>
        <w:pStyle w:val="167"/>
      </w:pPr>
      <w:r>
        <w:rPr>
          <w:rFonts w:hint="eastAsia"/>
        </w:rPr>
        <w:t>消能器的外观应符合下列规定：</w:t>
      </w:r>
    </w:p>
    <w:p>
      <w:pPr>
        <w:pStyle w:val="58"/>
        <w:ind w:firstLine="420"/>
      </w:pPr>
      <w:r>
        <w:rPr>
          <w:rFonts w:hint="eastAsia"/>
        </w:rPr>
        <w:t>1  消能器外表应光滑，无明显缺陷。</w:t>
      </w:r>
    </w:p>
    <w:p>
      <w:pPr>
        <w:pStyle w:val="58"/>
        <w:ind w:firstLine="420"/>
      </w:pPr>
      <w:r>
        <w:rPr>
          <w:rFonts w:hint="eastAsia"/>
        </w:rPr>
        <w:t>2  消能器需要考虑防腐、防锈和防火时，应外涂防腐、防锈漆、防火涂料或进行其他相应处理，但不能影响消能器的正常工作。</w:t>
      </w:r>
    </w:p>
    <w:p>
      <w:pPr>
        <w:pStyle w:val="58"/>
        <w:ind w:firstLine="420"/>
      </w:pPr>
      <w:r>
        <w:rPr>
          <w:rFonts w:hint="eastAsia"/>
        </w:rPr>
        <w:t>3  消能器外观要求除应符合本规程有关规定外，尚宜符合《建筑消能阻尼器》JG/T 209的有关规定。</w:t>
      </w:r>
    </w:p>
    <w:p>
      <w:pPr>
        <w:pStyle w:val="167"/>
      </w:pPr>
      <w:r>
        <w:rPr>
          <w:rFonts w:hint="eastAsia"/>
        </w:rPr>
        <w:t>消能器性能应符合下列规定：</w:t>
      </w:r>
    </w:p>
    <w:p>
      <w:pPr>
        <w:pStyle w:val="58"/>
        <w:ind w:firstLine="420"/>
      </w:pPr>
      <w:r>
        <w:rPr>
          <w:rFonts w:hint="eastAsia"/>
        </w:rPr>
        <w:t>1  消能器中非消能构件的材料应达到设计强度要求，设计时荷载应按消能器1.5倍极限阻尼力选取，应保证消能器中元件在罕遇地震作用下都能正常工作。</w:t>
      </w:r>
    </w:p>
    <w:p>
      <w:pPr>
        <w:pStyle w:val="58"/>
        <w:numPr>
          <w:ilvl w:val="0"/>
          <w:numId w:val="32"/>
        </w:numPr>
        <w:ind w:firstLineChars="0"/>
      </w:pPr>
      <w:r>
        <w:rPr>
          <w:rFonts w:hint="eastAsia"/>
        </w:rPr>
        <w:t>消能器在要求的性能检测试验工况下，试验滞回圈应无明显凹陷或颈缩。</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7.1.3</w:t>
      </w:r>
      <w:r>
        <w:rPr>
          <w:rFonts w:hint="eastAsia" w:ascii="华文楷体" w:hAnsi="华文楷体" w:eastAsia="华文楷体" w:cs="华文楷体"/>
          <w:color w:val="0000FF"/>
          <w:szCs w:val="22"/>
        </w:rPr>
        <w:t>消能器一般由消能元件和非消能构件组成，如金属屈服型消能器由连接板、消能板或螺栓组成，黏滞消能器由消能黏滞材料和非消能的缸体、活塞、密封圈、耳环等组成，黏弹性性消能器由钢板、黏弹性材料或螺栓等组成。为避免因材料缺陷、安装偏差、超强地震作用的突增等因素引起的非消能构件失效而导致消能器无法正常工作的情形，消能器中非消能构件必须具有足够的安全储备，为此，在消能器设计时，非消能元件、构件或螺栓等承载能力应按大于消能器</w:t>
      </w:r>
      <w:r>
        <w:rPr>
          <w:rFonts w:ascii="华文楷体" w:hAnsi="华文楷体" w:eastAsia="华文楷体" w:cs="华文楷体"/>
          <w:color w:val="0000FF"/>
          <w:szCs w:val="22"/>
        </w:rPr>
        <w:t>1.5</w:t>
      </w:r>
      <w:r>
        <w:rPr>
          <w:rFonts w:hint="eastAsia" w:ascii="华文楷体" w:hAnsi="华文楷体" w:eastAsia="华文楷体" w:cs="华文楷体"/>
          <w:color w:val="0000FF"/>
          <w:szCs w:val="22"/>
        </w:rPr>
        <w:t>倍极限阻尼力原则选取。</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对于不包含在本规程明确规定的金属屈服类、黏滞和黏弹性类消能器的其它类似消能器，可能会出现一些其它形式的滞回曲线，其滞回力学特性合格判定按其产品性能说明检验。</w:t>
      </w:r>
    </w:p>
    <w:p>
      <w:pPr>
        <w:pStyle w:val="167"/>
      </w:pPr>
      <w:r>
        <w:rPr>
          <w:rFonts w:hint="eastAsia"/>
        </w:rPr>
        <w:t>消能器的检验应符合下列规定：</w:t>
      </w:r>
    </w:p>
    <w:p>
      <w:pPr>
        <w:pStyle w:val="58"/>
        <w:ind w:firstLine="420"/>
      </w:pPr>
      <w:r>
        <w:rPr>
          <w:rFonts w:hint="eastAsia"/>
        </w:rPr>
        <w:t>1　阻尼器检验报告应包括力学性能检验报告及疲劳性能检验报告。</w:t>
      </w:r>
    </w:p>
    <w:p>
      <w:pPr>
        <w:pStyle w:val="58"/>
        <w:ind w:firstLine="420"/>
      </w:pPr>
      <w:r>
        <w:rPr>
          <w:rFonts w:hint="eastAsia"/>
        </w:rPr>
        <w:t>2　型式检验报告的内容应满足产品相关规范要求。</w:t>
      </w:r>
    </w:p>
    <w:p>
      <w:pPr>
        <w:pStyle w:val="58"/>
        <w:numPr>
          <w:ilvl w:val="0"/>
          <w:numId w:val="32"/>
        </w:numPr>
        <w:ind w:firstLineChars="0"/>
      </w:pPr>
      <w:r>
        <w:rPr>
          <w:rFonts w:hint="eastAsia"/>
        </w:rPr>
        <w:t>阻尼器的抽检试验及型检试验应由独立的第三方检验机构完成。</w:t>
      </w:r>
    </w:p>
    <w:p>
      <w:pPr>
        <w:adjustRightInd/>
        <w:spacing w:line="240" w:lineRule="auto"/>
        <w:rPr>
          <w:rFonts w:ascii="华文楷体" w:hAnsi="华文楷体" w:eastAsia="华文楷体" w:cs="华文楷体"/>
          <w:color w:val="FF0000"/>
          <w:szCs w:val="22"/>
        </w:rPr>
      </w:pPr>
      <w:r>
        <w:rPr>
          <w:rFonts w:hint="eastAsia" w:ascii="华文楷体" w:hAnsi="华文楷体" w:eastAsia="华文楷体" w:cs="华文楷体"/>
          <w:color w:val="FF0000"/>
          <w:szCs w:val="22"/>
        </w:rPr>
        <w:t>条文说明</w:t>
      </w:r>
      <w:r>
        <w:rPr>
          <w:rFonts w:ascii="华文楷体" w:hAnsi="华文楷体" w:eastAsia="华文楷体" w:cs="华文楷体"/>
          <w:color w:val="FF0000"/>
          <w:szCs w:val="22"/>
        </w:rPr>
        <w:t>7.1.4</w:t>
      </w:r>
      <w:r>
        <w:rPr>
          <w:rFonts w:hint="eastAsia" w:ascii="华文楷体" w:hAnsi="华文楷体" w:eastAsia="华文楷体" w:cs="华文楷体"/>
          <w:color w:val="FF0000"/>
          <w:szCs w:val="22"/>
        </w:rPr>
        <w:t>消能器的型式检验应根据现行行业标准《建筑消能阻尼器》</w:t>
      </w:r>
      <w:r>
        <w:rPr>
          <w:rFonts w:ascii="华文楷体" w:hAnsi="华文楷体" w:eastAsia="华文楷体" w:cs="华文楷体"/>
          <w:color w:val="FF0000"/>
          <w:szCs w:val="22"/>
        </w:rPr>
        <w:t>JG/T 209</w:t>
      </w:r>
      <w:r>
        <w:rPr>
          <w:rFonts w:hint="eastAsia" w:ascii="华文楷体" w:hAnsi="华文楷体" w:eastAsia="华文楷体" w:cs="华文楷体"/>
          <w:color w:val="FF0000"/>
          <w:szCs w:val="22"/>
        </w:rPr>
        <w:t>的要求对产品各项指标进行全面检验，报告中应详细注明消能器的各项性能参数指标。</w:t>
      </w:r>
    </w:p>
    <w:p>
      <w:pPr>
        <w:pStyle w:val="107"/>
        <w:spacing w:before="156" w:after="156"/>
        <w:jc w:val="center"/>
      </w:pPr>
      <w:r>
        <w:rPr>
          <w:rFonts w:hint="eastAsia"/>
        </w:rPr>
        <w:t>金属消能器</w:t>
      </w:r>
    </w:p>
    <w:p>
      <w:pPr>
        <w:pStyle w:val="167"/>
      </w:pPr>
      <w:r>
        <w:rPr>
          <w:rFonts w:hint="eastAsia"/>
        </w:rPr>
        <w:t>金属消能器的外观应符合下列规定：</w:t>
      </w:r>
    </w:p>
    <w:p>
      <w:pPr>
        <w:pStyle w:val="58"/>
        <w:ind w:firstLine="420"/>
      </w:pPr>
      <w:r>
        <w:rPr>
          <w:rFonts w:hint="eastAsia"/>
        </w:rPr>
        <w:t>1  金属消能器产品外观应标志清晰、表面平整、无锈蚀、无毛刺、无机械损伤，外表应采用防锈措施，涂层应均匀。</w:t>
      </w:r>
    </w:p>
    <w:p>
      <w:pPr>
        <w:pStyle w:val="58"/>
        <w:ind w:firstLine="420"/>
      </w:pPr>
      <w:r>
        <w:rPr>
          <w:rFonts w:hint="eastAsia"/>
        </w:rPr>
        <w:t>2  金属消能器外型安装尺寸偏差应为±2mm内。</w:t>
      </w:r>
    </w:p>
    <w:p>
      <w:pPr>
        <w:pStyle w:val="167"/>
      </w:pPr>
      <w:r>
        <w:rPr>
          <w:rFonts w:hint="eastAsia"/>
        </w:rPr>
        <w:t>金属消能器的材料应符合下列规定：</w:t>
      </w:r>
    </w:p>
    <w:p>
      <w:pPr>
        <w:pStyle w:val="58"/>
        <w:ind w:firstLine="420"/>
      </w:pPr>
      <w:r>
        <w:rPr>
          <w:rFonts w:hint="eastAsia"/>
        </w:rPr>
        <w:t>1  金属消能器可采用钢材、铅等材料制作。</w:t>
      </w:r>
    </w:p>
    <w:p>
      <w:pPr>
        <w:pStyle w:val="58"/>
        <w:ind w:firstLine="420"/>
      </w:pPr>
      <w:r>
        <w:rPr>
          <w:rFonts w:hint="eastAsia"/>
        </w:rPr>
        <w:t>2  采用钢材制作的金属消能器的消能部分宜采用屈服点较低和高延伸率的钢材，钢板厚度不宜超过80mm，钢棒直径根据实际情况确定，应具有较强的塑性变形能力和良好的焊接性能。</w:t>
      </w:r>
    </w:p>
    <w:p>
      <w:pPr>
        <w:pStyle w:val="58"/>
        <w:ind w:firstLine="420"/>
      </w:pPr>
      <w:r>
        <w:rPr>
          <w:rFonts w:hint="eastAsia"/>
        </w:rPr>
        <w:t>3  金属消能器中所用各种材料性能应符合国家相应的材性标准。</w:t>
      </w:r>
    </w:p>
    <w:p>
      <w:pPr>
        <w:pStyle w:val="167"/>
      </w:pPr>
      <w:r>
        <w:rPr>
          <w:rFonts w:hint="eastAsia"/>
        </w:rPr>
        <w:t>金属消能器力学性能要求，应符合表7.2.3规定。</w:t>
      </w:r>
    </w:p>
    <w:p>
      <w:pPr>
        <w:pStyle w:val="114"/>
        <w:numPr>
          <w:ilvl w:val="0"/>
          <w:numId w:val="0"/>
        </w:numPr>
        <w:spacing w:before="156" w:after="156"/>
      </w:pPr>
      <w:r>
        <w:rPr>
          <w:rFonts w:hint="eastAsia"/>
        </w:rPr>
        <w:t>表7.2.3  金属消能器力学性能要求</w:t>
      </w: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01"/>
        <w:gridCol w:w="712"/>
        <w:gridCol w:w="1710"/>
        <w:gridCol w:w="62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374" w:type="pct"/>
            <w:tcBorders>
              <w:top w:val="single" w:color="auto" w:sz="8" w:space="0"/>
              <w:bottom w:val="single" w:color="auto" w:sz="8" w:space="0"/>
            </w:tcBorders>
            <w:shd w:val="clear" w:color="auto" w:fill="auto"/>
            <w:vAlign w:val="center"/>
          </w:tcPr>
          <w:p>
            <w:pPr>
              <w:pStyle w:val="180"/>
            </w:pPr>
            <w:r>
              <w:rPr>
                <w:rFonts w:hint="eastAsia"/>
              </w:rPr>
              <w:t>试验</w:t>
            </w:r>
          </w:p>
          <w:p>
            <w:pPr>
              <w:pStyle w:val="180"/>
            </w:pPr>
            <w:r>
              <w:rPr>
                <w:rFonts w:hint="eastAsia"/>
              </w:rPr>
              <w:t>内容</w:t>
            </w:r>
          </w:p>
        </w:tc>
        <w:tc>
          <w:tcPr>
            <w:tcW w:w="380" w:type="pct"/>
            <w:tcBorders>
              <w:top w:val="single" w:color="auto" w:sz="8" w:space="0"/>
              <w:bottom w:val="single" w:color="auto" w:sz="8" w:space="0"/>
            </w:tcBorders>
            <w:shd w:val="clear" w:color="auto" w:fill="auto"/>
            <w:vAlign w:val="center"/>
          </w:tcPr>
          <w:p>
            <w:pPr>
              <w:pStyle w:val="180"/>
            </w:pPr>
            <w:r>
              <w:rPr>
                <w:rFonts w:hint="eastAsia"/>
              </w:rPr>
              <w:t>序号</w:t>
            </w:r>
          </w:p>
        </w:tc>
        <w:tc>
          <w:tcPr>
            <w:tcW w:w="912" w:type="pct"/>
            <w:tcBorders>
              <w:top w:val="single" w:color="auto" w:sz="8" w:space="0"/>
              <w:bottom w:val="single" w:color="auto" w:sz="8" w:space="0"/>
            </w:tcBorders>
            <w:shd w:val="clear" w:color="auto" w:fill="auto"/>
            <w:vAlign w:val="center"/>
          </w:tcPr>
          <w:p>
            <w:pPr>
              <w:pStyle w:val="180"/>
            </w:pPr>
            <w:r>
              <w:rPr>
                <w:rFonts w:hint="eastAsia"/>
              </w:rPr>
              <w:t>项目</w:t>
            </w:r>
          </w:p>
        </w:tc>
        <w:tc>
          <w:tcPr>
            <w:tcW w:w="3334" w:type="pct"/>
            <w:tcBorders>
              <w:top w:val="single" w:color="auto" w:sz="8" w:space="0"/>
              <w:bottom w:val="single" w:color="auto" w:sz="8" w:space="0"/>
            </w:tcBorders>
            <w:shd w:val="clear" w:color="auto" w:fill="auto"/>
            <w:vAlign w:val="center"/>
          </w:tcPr>
          <w:p>
            <w:pPr>
              <w:pStyle w:val="180"/>
            </w:pPr>
            <w:r>
              <w:rPr>
                <w:rFonts w:hint="eastAsia"/>
              </w:rPr>
              <w:t>性能要求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74" w:type="pct"/>
            <w:vMerge w:val="restart"/>
            <w:tcBorders>
              <w:top w:val="single" w:color="auto" w:sz="8" w:space="0"/>
            </w:tcBorders>
            <w:shd w:val="clear" w:color="auto" w:fill="auto"/>
            <w:vAlign w:val="center"/>
          </w:tcPr>
          <w:p>
            <w:pPr>
              <w:pStyle w:val="180"/>
            </w:pPr>
            <w:r>
              <w:rPr>
                <w:rFonts w:hint="eastAsia"/>
              </w:rPr>
              <w:t>常规</w:t>
            </w:r>
          </w:p>
          <w:p>
            <w:pPr>
              <w:pStyle w:val="180"/>
            </w:pPr>
            <w:r>
              <w:rPr>
                <w:rFonts w:hint="eastAsia"/>
              </w:rPr>
              <w:t>性能</w:t>
            </w:r>
          </w:p>
        </w:tc>
        <w:tc>
          <w:tcPr>
            <w:tcW w:w="380" w:type="pct"/>
            <w:tcBorders>
              <w:top w:val="single" w:color="auto" w:sz="8" w:space="0"/>
            </w:tcBorders>
            <w:shd w:val="clear" w:color="auto" w:fill="auto"/>
            <w:vAlign w:val="center"/>
          </w:tcPr>
          <w:p>
            <w:pPr>
              <w:pStyle w:val="180"/>
            </w:pPr>
            <w:r>
              <w:t>1</w:t>
            </w:r>
          </w:p>
        </w:tc>
        <w:tc>
          <w:tcPr>
            <w:tcW w:w="912" w:type="pct"/>
            <w:tcBorders>
              <w:top w:val="single" w:color="auto" w:sz="8" w:space="0"/>
            </w:tcBorders>
            <w:shd w:val="clear" w:color="auto" w:fill="auto"/>
            <w:vAlign w:val="center"/>
          </w:tcPr>
          <w:p>
            <w:pPr>
              <w:pStyle w:val="180"/>
            </w:pPr>
            <w:r>
              <w:rPr>
                <w:rFonts w:hint="eastAsia"/>
              </w:rPr>
              <w:t>屈服荷载</w:t>
            </w:r>
          </w:p>
        </w:tc>
        <w:tc>
          <w:tcPr>
            <w:tcW w:w="3334" w:type="pct"/>
            <w:tcBorders>
              <w:top w:val="single" w:color="auto" w:sz="8" w:space="0"/>
            </w:tcBorders>
            <w:shd w:val="clear" w:color="auto" w:fill="auto"/>
            <w:vAlign w:val="center"/>
          </w:tcPr>
          <w:p>
            <w:pPr>
              <w:pStyle w:val="180"/>
            </w:pPr>
            <w:r>
              <w:rPr>
                <w:rFonts w:hint="eastAsia"/>
              </w:rPr>
              <w:t>每个产品的屈服荷载实测值允许偏差应为屈服荷载设计值的±15%；实测值偏差的平均值应为设计值的±10%。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74" w:type="pct"/>
            <w:vMerge w:val="continue"/>
            <w:shd w:val="clear" w:color="auto" w:fill="auto"/>
            <w:vAlign w:val="center"/>
          </w:tcPr>
          <w:p>
            <w:pPr>
              <w:pStyle w:val="180"/>
            </w:pPr>
          </w:p>
        </w:tc>
        <w:tc>
          <w:tcPr>
            <w:tcW w:w="380" w:type="pct"/>
            <w:shd w:val="clear" w:color="auto" w:fill="auto"/>
            <w:vAlign w:val="center"/>
          </w:tcPr>
          <w:p>
            <w:pPr>
              <w:pStyle w:val="180"/>
            </w:pPr>
            <w:r>
              <w:t>2</w:t>
            </w:r>
          </w:p>
        </w:tc>
        <w:tc>
          <w:tcPr>
            <w:tcW w:w="912" w:type="pct"/>
            <w:shd w:val="clear" w:color="auto" w:fill="auto"/>
            <w:vAlign w:val="center"/>
          </w:tcPr>
          <w:p>
            <w:pPr>
              <w:pStyle w:val="180"/>
            </w:pPr>
            <w:r>
              <w:rPr>
                <w:rFonts w:hint="eastAsia"/>
              </w:rPr>
              <w:t>屈服位移</w:t>
            </w:r>
          </w:p>
        </w:tc>
        <w:tc>
          <w:tcPr>
            <w:tcW w:w="3334" w:type="pct"/>
            <w:shd w:val="clear" w:color="auto" w:fill="auto"/>
            <w:vAlign w:val="center"/>
          </w:tcPr>
          <w:p>
            <w:pPr>
              <w:pStyle w:val="180"/>
            </w:pPr>
            <w:r>
              <w:rPr>
                <w:rFonts w:hint="eastAsia"/>
              </w:rPr>
              <w:t>每个实测产品屈服位移的实测值偏差应为设计值的±15%；实测值偏差的平均值应为设计值的±10%。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74" w:type="pct"/>
            <w:vMerge w:val="continue"/>
            <w:shd w:val="clear" w:color="auto" w:fill="auto"/>
            <w:vAlign w:val="center"/>
          </w:tcPr>
          <w:p>
            <w:pPr>
              <w:pStyle w:val="180"/>
            </w:pPr>
          </w:p>
        </w:tc>
        <w:tc>
          <w:tcPr>
            <w:tcW w:w="380" w:type="pct"/>
            <w:shd w:val="clear" w:color="auto" w:fill="auto"/>
            <w:vAlign w:val="center"/>
          </w:tcPr>
          <w:p>
            <w:pPr>
              <w:pStyle w:val="180"/>
            </w:pPr>
            <w:r>
              <w:t>3</w:t>
            </w:r>
          </w:p>
        </w:tc>
        <w:tc>
          <w:tcPr>
            <w:tcW w:w="912" w:type="pct"/>
            <w:shd w:val="clear" w:color="auto" w:fill="auto"/>
            <w:vAlign w:val="center"/>
          </w:tcPr>
          <w:p>
            <w:pPr>
              <w:pStyle w:val="180"/>
            </w:pPr>
            <w:r>
              <w:rPr>
                <w:rFonts w:hint="eastAsia"/>
              </w:rPr>
              <w:t>屈服后刚度</w:t>
            </w:r>
          </w:p>
        </w:tc>
        <w:tc>
          <w:tcPr>
            <w:tcW w:w="3334" w:type="pct"/>
            <w:shd w:val="clear" w:color="auto" w:fill="auto"/>
            <w:vAlign w:val="center"/>
          </w:tcPr>
          <w:p>
            <w:pPr>
              <w:pStyle w:val="180"/>
            </w:pPr>
            <w:r>
              <w:rPr>
                <w:rFonts w:hint="eastAsia"/>
              </w:rPr>
              <w:t>每个实测产品屈服后刚度的实测值偏差应为设计值的±15%；实测值偏差的平均值应为设计值的±10%。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74" w:type="pct"/>
            <w:vMerge w:val="continue"/>
            <w:shd w:val="clear" w:color="auto" w:fill="auto"/>
            <w:vAlign w:val="center"/>
          </w:tcPr>
          <w:p>
            <w:pPr>
              <w:pStyle w:val="180"/>
            </w:pPr>
          </w:p>
        </w:tc>
        <w:tc>
          <w:tcPr>
            <w:tcW w:w="380" w:type="pct"/>
            <w:shd w:val="clear" w:color="auto" w:fill="auto"/>
            <w:vAlign w:val="center"/>
          </w:tcPr>
          <w:p>
            <w:pPr>
              <w:pStyle w:val="180"/>
            </w:pPr>
            <w:r>
              <w:t>4</w:t>
            </w:r>
          </w:p>
        </w:tc>
        <w:tc>
          <w:tcPr>
            <w:tcW w:w="912" w:type="pct"/>
            <w:shd w:val="clear" w:color="auto" w:fill="auto"/>
            <w:vAlign w:val="center"/>
          </w:tcPr>
          <w:p>
            <w:pPr>
              <w:pStyle w:val="180"/>
            </w:pPr>
            <w:r>
              <w:rPr>
                <w:rFonts w:hint="eastAsia"/>
              </w:rPr>
              <w:t>极限荷载</w:t>
            </w:r>
          </w:p>
        </w:tc>
        <w:tc>
          <w:tcPr>
            <w:tcW w:w="3334" w:type="pct"/>
            <w:shd w:val="clear" w:color="auto" w:fill="auto"/>
            <w:vAlign w:val="center"/>
          </w:tcPr>
          <w:p>
            <w:pPr>
              <w:pStyle w:val="180"/>
            </w:pPr>
            <w:r>
              <w:rPr>
                <w:rFonts w:hint="eastAsia"/>
              </w:rPr>
              <w:t>每个实测产品极限荷载的实测值偏差应为设计值的±15%；实测值偏差的平均值应为设计值的±10%。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74" w:type="pct"/>
            <w:vMerge w:val="continue"/>
            <w:shd w:val="clear" w:color="auto" w:fill="auto"/>
            <w:vAlign w:val="center"/>
          </w:tcPr>
          <w:p>
            <w:pPr>
              <w:pStyle w:val="180"/>
            </w:pPr>
          </w:p>
        </w:tc>
        <w:tc>
          <w:tcPr>
            <w:tcW w:w="380" w:type="pct"/>
            <w:shd w:val="clear" w:color="auto" w:fill="auto"/>
            <w:vAlign w:val="center"/>
          </w:tcPr>
          <w:p>
            <w:pPr>
              <w:pStyle w:val="180"/>
            </w:pPr>
            <w:r>
              <w:t>5</w:t>
            </w:r>
          </w:p>
        </w:tc>
        <w:tc>
          <w:tcPr>
            <w:tcW w:w="912" w:type="pct"/>
            <w:shd w:val="clear" w:color="auto" w:fill="auto"/>
            <w:vAlign w:val="center"/>
          </w:tcPr>
          <w:p>
            <w:pPr>
              <w:pStyle w:val="180"/>
            </w:pPr>
            <w:r>
              <w:rPr>
                <w:rFonts w:hint="eastAsia"/>
              </w:rPr>
              <w:t>极限位移</w:t>
            </w:r>
          </w:p>
        </w:tc>
        <w:tc>
          <w:tcPr>
            <w:tcW w:w="3334" w:type="pct"/>
            <w:shd w:val="clear" w:color="auto" w:fill="auto"/>
            <w:vAlign w:val="center"/>
          </w:tcPr>
          <w:p>
            <w:pPr>
              <w:pStyle w:val="180"/>
            </w:pPr>
            <w:r>
              <w:rPr>
                <w:rFonts w:hint="eastAsia"/>
              </w:rPr>
              <w:t>每个实测产品极限位移值不应小于极限位移设计值。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74" w:type="pct"/>
            <w:vMerge w:val="continue"/>
            <w:shd w:val="clear" w:color="auto" w:fill="auto"/>
            <w:vAlign w:val="center"/>
          </w:tcPr>
          <w:p>
            <w:pPr>
              <w:pStyle w:val="180"/>
            </w:pPr>
          </w:p>
        </w:tc>
        <w:tc>
          <w:tcPr>
            <w:tcW w:w="380" w:type="pct"/>
            <w:shd w:val="clear" w:color="auto" w:fill="auto"/>
            <w:vAlign w:val="center"/>
          </w:tcPr>
          <w:p>
            <w:pPr>
              <w:pStyle w:val="180"/>
            </w:pPr>
            <w:r>
              <w:t>6</w:t>
            </w:r>
          </w:p>
        </w:tc>
        <w:tc>
          <w:tcPr>
            <w:tcW w:w="912" w:type="pct"/>
            <w:shd w:val="clear" w:color="auto" w:fill="auto"/>
            <w:vAlign w:val="center"/>
          </w:tcPr>
          <w:p>
            <w:pPr>
              <w:pStyle w:val="180"/>
            </w:pPr>
            <w:r>
              <w:rPr>
                <w:rFonts w:hint="eastAsia"/>
              </w:rPr>
              <w:t>滞回曲线面积</w:t>
            </w:r>
          </w:p>
        </w:tc>
        <w:tc>
          <w:tcPr>
            <w:tcW w:w="3334" w:type="pct"/>
            <w:shd w:val="clear" w:color="auto" w:fill="auto"/>
            <w:vAlign w:val="center"/>
          </w:tcPr>
          <w:p>
            <w:pPr>
              <w:pStyle w:val="180"/>
            </w:pPr>
            <w:r>
              <w:rPr>
                <w:rFonts w:hint="eastAsia"/>
              </w:rPr>
              <w:t>任一循环中滞回曲线包络面积实测值偏差应为产品设计值的±15%；产品实测值偏差的平均值应为设计值的±10%。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74" w:type="pct"/>
            <w:vMerge w:val="restart"/>
            <w:shd w:val="clear" w:color="auto" w:fill="auto"/>
            <w:vAlign w:val="center"/>
          </w:tcPr>
          <w:p>
            <w:pPr>
              <w:pStyle w:val="180"/>
            </w:pPr>
            <w:r>
              <w:rPr>
                <w:rFonts w:hint="eastAsia"/>
              </w:rPr>
              <w:t>疲劳</w:t>
            </w:r>
          </w:p>
          <w:p>
            <w:pPr>
              <w:pStyle w:val="180"/>
            </w:pPr>
            <w:r>
              <w:rPr>
                <w:rFonts w:hint="eastAsia"/>
              </w:rPr>
              <w:t>性能</w:t>
            </w:r>
          </w:p>
        </w:tc>
        <w:tc>
          <w:tcPr>
            <w:tcW w:w="380" w:type="pct"/>
            <w:shd w:val="clear" w:color="auto" w:fill="auto"/>
            <w:vAlign w:val="center"/>
          </w:tcPr>
          <w:p>
            <w:pPr>
              <w:pStyle w:val="180"/>
            </w:pPr>
            <w:r>
              <w:t>1</w:t>
            </w:r>
          </w:p>
        </w:tc>
        <w:tc>
          <w:tcPr>
            <w:tcW w:w="912" w:type="pct"/>
            <w:shd w:val="clear" w:color="auto" w:fill="auto"/>
            <w:vAlign w:val="center"/>
          </w:tcPr>
          <w:p>
            <w:pPr>
              <w:pStyle w:val="180"/>
            </w:pPr>
            <w:r>
              <w:rPr>
                <w:rFonts w:hint="eastAsia"/>
              </w:rPr>
              <w:t>阻尼力</w:t>
            </w:r>
          </w:p>
        </w:tc>
        <w:tc>
          <w:tcPr>
            <w:tcW w:w="3334" w:type="pct"/>
            <w:shd w:val="clear" w:color="auto" w:fill="auto"/>
            <w:vAlign w:val="center"/>
          </w:tcPr>
          <w:p>
            <w:pPr>
              <w:pStyle w:val="180"/>
            </w:pPr>
            <w:r>
              <w:rPr>
                <w:rFonts w:hint="eastAsia"/>
              </w:rPr>
              <w:t>实测产品在设计位移下连续加载30圈，任一循环的最大、最小阻尼力应为所有循环的最大、最小阻尼力平均值的±15%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74" w:type="pct"/>
            <w:vMerge w:val="continue"/>
            <w:shd w:val="clear" w:color="auto" w:fill="auto"/>
            <w:vAlign w:val="center"/>
          </w:tcPr>
          <w:p>
            <w:pPr>
              <w:pStyle w:val="180"/>
            </w:pPr>
          </w:p>
        </w:tc>
        <w:tc>
          <w:tcPr>
            <w:tcW w:w="380" w:type="pct"/>
            <w:vMerge w:val="restart"/>
            <w:shd w:val="clear" w:color="auto" w:fill="auto"/>
            <w:vAlign w:val="center"/>
          </w:tcPr>
          <w:p>
            <w:pPr>
              <w:pStyle w:val="180"/>
            </w:pPr>
            <w:r>
              <w:t>2</w:t>
            </w:r>
          </w:p>
        </w:tc>
        <w:tc>
          <w:tcPr>
            <w:tcW w:w="912" w:type="pct"/>
            <w:vMerge w:val="restart"/>
            <w:shd w:val="clear" w:color="auto" w:fill="auto"/>
            <w:vAlign w:val="center"/>
          </w:tcPr>
          <w:p>
            <w:pPr>
              <w:pStyle w:val="180"/>
            </w:pPr>
            <w:r>
              <w:rPr>
                <w:rFonts w:hint="eastAsia"/>
              </w:rPr>
              <w:t>滞回曲线</w:t>
            </w:r>
          </w:p>
        </w:tc>
        <w:tc>
          <w:tcPr>
            <w:tcW w:w="3334" w:type="pct"/>
            <w:shd w:val="clear" w:color="auto" w:fill="auto"/>
            <w:vAlign w:val="center"/>
          </w:tcPr>
          <w:p>
            <w:pPr>
              <w:pStyle w:val="180"/>
            </w:pPr>
            <w:r>
              <w:rPr>
                <w:rFonts w:hint="eastAsia"/>
              </w:rPr>
              <w:t>1）实测产品在设计位移下连续加载30圈，任一循环中位移在零时的最大、最小阻尼力应为所有循环中位移在零时的最大、最小阻尼力平均值±15%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74" w:type="pct"/>
            <w:vMerge w:val="continue"/>
            <w:shd w:val="clear" w:color="auto" w:fill="auto"/>
            <w:vAlign w:val="center"/>
          </w:tcPr>
          <w:p>
            <w:pPr>
              <w:pStyle w:val="180"/>
            </w:pPr>
          </w:p>
        </w:tc>
        <w:tc>
          <w:tcPr>
            <w:tcW w:w="380" w:type="pct"/>
            <w:vMerge w:val="continue"/>
            <w:shd w:val="clear" w:color="auto" w:fill="auto"/>
            <w:vAlign w:val="center"/>
          </w:tcPr>
          <w:p>
            <w:pPr>
              <w:pStyle w:val="180"/>
            </w:pPr>
          </w:p>
        </w:tc>
        <w:tc>
          <w:tcPr>
            <w:tcW w:w="912" w:type="pct"/>
            <w:vMerge w:val="continue"/>
            <w:shd w:val="clear" w:color="auto" w:fill="auto"/>
            <w:vAlign w:val="center"/>
          </w:tcPr>
          <w:p>
            <w:pPr>
              <w:pStyle w:val="180"/>
            </w:pPr>
          </w:p>
        </w:tc>
        <w:tc>
          <w:tcPr>
            <w:tcW w:w="3334" w:type="pct"/>
            <w:shd w:val="clear" w:color="auto" w:fill="auto"/>
            <w:vAlign w:val="center"/>
          </w:tcPr>
          <w:p>
            <w:pPr>
              <w:pStyle w:val="180"/>
            </w:pPr>
            <w:r>
              <w:rPr>
                <w:rFonts w:hint="eastAsia"/>
              </w:rPr>
              <w:t>2）实测产品在设计位移下连续加载30圈，任一循环中阻尼力在零时的最大、最小位移应为所有循环中阻尼力在零时的最大、最小位移平均值±15%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74" w:type="pct"/>
            <w:vMerge w:val="continue"/>
            <w:shd w:val="clear" w:color="auto" w:fill="auto"/>
            <w:vAlign w:val="center"/>
          </w:tcPr>
          <w:p>
            <w:pPr>
              <w:pStyle w:val="180"/>
            </w:pPr>
          </w:p>
        </w:tc>
        <w:tc>
          <w:tcPr>
            <w:tcW w:w="380" w:type="pct"/>
            <w:shd w:val="clear" w:color="auto" w:fill="auto"/>
            <w:vAlign w:val="center"/>
          </w:tcPr>
          <w:p>
            <w:pPr>
              <w:pStyle w:val="180"/>
            </w:pPr>
            <w:r>
              <w:t>3</w:t>
            </w:r>
          </w:p>
        </w:tc>
        <w:tc>
          <w:tcPr>
            <w:tcW w:w="912" w:type="pct"/>
            <w:shd w:val="clear" w:color="auto" w:fill="auto"/>
            <w:vAlign w:val="center"/>
          </w:tcPr>
          <w:p>
            <w:pPr>
              <w:pStyle w:val="180"/>
            </w:pPr>
            <w:r>
              <w:rPr>
                <w:rFonts w:hint="eastAsia"/>
              </w:rPr>
              <w:t>滞回曲线面积</w:t>
            </w:r>
          </w:p>
        </w:tc>
        <w:tc>
          <w:tcPr>
            <w:tcW w:w="3334" w:type="pct"/>
            <w:shd w:val="clear" w:color="auto" w:fill="auto"/>
            <w:vAlign w:val="center"/>
          </w:tcPr>
          <w:p>
            <w:pPr>
              <w:pStyle w:val="180"/>
            </w:pPr>
            <w:r>
              <w:rPr>
                <w:rFonts w:hint="eastAsia"/>
              </w:rPr>
              <w:t>实测产品在设计位移下连续加载30圈，任一循环的滞回曲线面积应为所有循环的滞回曲线面积平均值的±15%。</w:t>
            </w:r>
          </w:p>
        </w:tc>
      </w:tr>
    </w:tbl>
    <w:p>
      <w:pPr>
        <w:pStyle w:val="167"/>
      </w:pPr>
      <w:r>
        <w:rPr>
          <w:rFonts w:hint="eastAsia"/>
        </w:rPr>
        <w:t>金属消能器整体稳定和局部稳定应满足现行国家标准《钢结构设计标准》GB50017、《冷弯薄壁型钢结构技术规范》GB 50018的规定，消能器在消能方向运动时，平面外应具有足够的刚度，不能产生屈曲和侧向失稳。</w:t>
      </w:r>
    </w:p>
    <w:p>
      <w:pPr>
        <w:pStyle w:val="107"/>
        <w:spacing w:before="156" w:after="156"/>
        <w:jc w:val="center"/>
      </w:pPr>
      <w:r>
        <w:rPr>
          <w:rFonts w:hint="eastAsia"/>
        </w:rPr>
        <w:t>屈曲约束支撑</w:t>
      </w:r>
    </w:p>
    <w:p>
      <w:pPr>
        <w:pStyle w:val="167"/>
      </w:pPr>
      <w:r>
        <w:rPr>
          <w:rFonts w:hint="eastAsia"/>
        </w:rPr>
        <w:t>屈曲约束支撑可分为耗能型屈曲约束支撑和承载型屈曲约束支撑。采用耗能型屈曲约束支撑的结构应按消能减震结构体系进行分析计算；采用承载型屈曲约束支撑的结构应按普通支撑结构体系进行分析计算。</w:t>
      </w:r>
    </w:p>
    <w:p>
      <w:pPr>
        <w:pStyle w:val="167"/>
      </w:pPr>
      <w:r>
        <w:rPr>
          <w:rFonts w:hint="eastAsia"/>
        </w:rPr>
        <w:t>屈曲约束支撑核心单元应符合下列规定：</w:t>
      </w:r>
    </w:p>
    <w:p>
      <w:pPr>
        <w:pStyle w:val="58"/>
        <w:ind w:firstLine="420"/>
      </w:pPr>
      <w:r>
        <w:rPr>
          <w:rFonts w:hint="eastAsia"/>
        </w:rPr>
        <w:t>1  核心单元的材料宜采用屈服点低和高延伸率的钢材。</w:t>
      </w:r>
    </w:p>
    <w:p>
      <w:pPr>
        <w:pStyle w:val="58"/>
        <w:ind w:firstLine="420"/>
      </w:pPr>
      <w:r>
        <w:rPr>
          <w:rFonts w:hint="eastAsia"/>
        </w:rPr>
        <w:t>2  核心单元截面可设计成“一”字形、“H”字形、“十”字形、环形和双“一”字形等，宽厚比或径厚比限值应符合下列规定：</w:t>
      </w:r>
    </w:p>
    <w:p>
      <w:pPr>
        <w:pStyle w:val="111"/>
        <w:numPr>
          <w:ilvl w:val="0"/>
          <w:numId w:val="0"/>
        </w:numPr>
        <w:ind w:left="851"/>
      </w:pPr>
      <w:r>
        <w:rPr>
          <w:rFonts w:hint="eastAsia"/>
        </w:rPr>
        <w:t>1）</w:t>
      </w:r>
      <w:r>
        <w:rPr>
          <w:rFonts w:hint="eastAsia"/>
        </w:rPr>
        <w:tab/>
      </w:r>
      <w:r>
        <w:rPr>
          <w:rFonts w:hint="eastAsia"/>
        </w:rPr>
        <w:t>一字形板截面宽厚比取10～20；</w:t>
      </w:r>
    </w:p>
    <w:p>
      <w:pPr>
        <w:pStyle w:val="111"/>
        <w:numPr>
          <w:ilvl w:val="0"/>
          <w:numId w:val="0"/>
        </w:numPr>
        <w:ind w:left="1276" w:hanging="425"/>
      </w:pPr>
      <w:r>
        <w:rPr>
          <w:rFonts w:hint="eastAsia"/>
        </w:rPr>
        <w:t>2）</w:t>
      </w:r>
      <w:r>
        <w:rPr>
          <w:rFonts w:hint="eastAsia"/>
        </w:rPr>
        <w:tab/>
      </w:r>
      <w:r>
        <w:rPr>
          <w:rFonts w:hint="eastAsia"/>
        </w:rPr>
        <w:t>十字形截面宽厚比取5～10；</w:t>
      </w:r>
    </w:p>
    <w:p>
      <w:pPr>
        <w:pStyle w:val="111"/>
        <w:numPr>
          <w:ilvl w:val="0"/>
          <w:numId w:val="0"/>
        </w:numPr>
        <w:ind w:left="1276" w:hanging="425"/>
      </w:pPr>
      <w:r>
        <w:rPr>
          <w:rFonts w:hint="eastAsia"/>
        </w:rPr>
        <w:t>3）</w:t>
      </w:r>
      <w:r>
        <w:rPr>
          <w:rFonts w:hint="eastAsia"/>
        </w:rPr>
        <w:tab/>
      </w:r>
      <w:r>
        <w:rPr>
          <w:rFonts w:hint="eastAsia"/>
        </w:rPr>
        <w:t>环形截面径厚比不宜超过22；</w:t>
      </w:r>
    </w:p>
    <w:p>
      <w:pPr>
        <w:pStyle w:val="111"/>
        <w:numPr>
          <w:ilvl w:val="0"/>
          <w:numId w:val="0"/>
        </w:numPr>
        <w:ind w:left="851"/>
      </w:pPr>
      <w:r>
        <w:rPr>
          <w:rFonts w:hint="eastAsia"/>
        </w:rPr>
        <w:t>4）</w:t>
      </w:r>
      <w:r>
        <w:rPr>
          <w:rFonts w:hint="eastAsia"/>
        </w:rPr>
        <w:tab/>
      </w:r>
      <w:r>
        <w:rPr>
          <w:rFonts w:hint="eastAsia"/>
        </w:rPr>
        <w:t>其他截面形式，取现行国家标准《建筑抗震设计规范》GB50011中心支撑的径厚比或宽厚比的限值。</w:t>
      </w:r>
    </w:p>
    <w:p>
      <w:pPr>
        <w:pStyle w:val="58"/>
        <w:ind w:firstLine="420"/>
      </w:pPr>
      <w:r>
        <w:rPr>
          <w:rFonts w:hint="eastAsia"/>
        </w:rPr>
        <w:t>3  核心单元截面采用“一”字形、“十”、“H”字形和环形时，钢板厚度宜为10mm～80mm。</w:t>
      </w:r>
    </w:p>
    <w:p>
      <w:pPr>
        <w:pStyle w:val="167"/>
      </w:pPr>
      <w:r>
        <w:rPr>
          <w:rFonts w:hint="eastAsia"/>
        </w:rPr>
        <w:t>屈曲约束支撑外约束单元应具有足够的抗弯刚度。</w:t>
      </w:r>
    </w:p>
    <w:p>
      <w:pPr>
        <w:pStyle w:val="167"/>
      </w:pPr>
      <w:r>
        <w:rPr>
          <w:rFonts w:hint="eastAsia"/>
        </w:rPr>
        <w:t>屈曲约束支撑连接段及过渡段的板件应保证不发生局部失稳破坏。</w:t>
      </w:r>
    </w:p>
    <w:p>
      <w:pPr>
        <w:pStyle w:val="167"/>
      </w:pPr>
      <w:r>
        <w:rPr>
          <w:rFonts w:hint="eastAsia"/>
        </w:rPr>
        <w:t>屈曲约束支撑的钢材选用应满足现行国家标准《金属材料  拉伸试验  第1部分：室温试验方法》GB/T 228.1和《金属材料  室温压缩试验方法》GB/T 7314的规定，混凝土材料等级不宜小于C25。</w:t>
      </w:r>
    </w:p>
    <w:p>
      <w:pPr>
        <w:adjustRightInd/>
        <w:spacing w:line="240" w:lineRule="auto"/>
        <w:rPr>
          <w:rFonts w:ascii="Times New Roman" w:hAnsi="Times New Roman"/>
          <w:b/>
          <w:bCs/>
          <w:color w:val="000000" w:themeColor="text1"/>
          <w14:textFill>
            <w14:solidFill>
              <w14:schemeClr w14:val="tx1"/>
            </w14:solidFill>
          </w14:textFill>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7.3.1~7.3.5</w:t>
      </w:r>
      <w:r>
        <w:rPr>
          <w:rFonts w:hint="eastAsia" w:ascii="华文楷体" w:hAnsi="华文楷体" w:eastAsia="华文楷体" w:cs="华文楷体"/>
          <w:color w:val="0000FF"/>
          <w:szCs w:val="22"/>
        </w:rPr>
        <w:t>条文说明详见《建筑消能减震技术规程》</w:t>
      </w:r>
      <w:r>
        <w:rPr>
          <w:rFonts w:ascii="华文楷体" w:hAnsi="华文楷体" w:eastAsia="华文楷体" w:cs="华文楷体"/>
          <w:color w:val="0000FF"/>
          <w:szCs w:val="22"/>
        </w:rPr>
        <w:t>JGJ 297</w:t>
      </w:r>
      <w:r>
        <w:rPr>
          <w:rFonts w:hint="eastAsia" w:ascii="华文楷体" w:hAnsi="华文楷体" w:eastAsia="华文楷体" w:cs="华文楷体"/>
          <w:color w:val="0000FF"/>
          <w:szCs w:val="22"/>
        </w:rPr>
        <w:t>相关内容。</w:t>
      </w:r>
    </w:p>
    <w:p>
      <w:pPr>
        <w:pStyle w:val="167"/>
      </w:pPr>
      <w:r>
        <w:rPr>
          <w:rFonts w:hint="eastAsia"/>
        </w:rPr>
        <w:t>屈曲约束支撑其力学性能应符合现行标准《屈曲约束支撑应用技术规程》T/CECS 817相关规定。</w:t>
      </w:r>
    </w:p>
    <w:p>
      <w:pPr>
        <w:pStyle w:val="107"/>
        <w:spacing w:before="156" w:after="156"/>
        <w:jc w:val="center"/>
      </w:pPr>
      <w:r>
        <w:rPr>
          <w:rFonts w:hint="eastAsia"/>
        </w:rPr>
        <w:t>摩擦消能器</w:t>
      </w:r>
    </w:p>
    <w:p>
      <w:pPr>
        <w:pStyle w:val="167"/>
      </w:pPr>
      <w:r>
        <w:rPr>
          <w:rFonts w:hint="eastAsia"/>
        </w:rPr>
        <w:t>摩擦消能器的外观应符合下列规定：</w:t>
      </w:r>
    </w:p>
    <w:p>
      <w:pPr>
        <w:pStyle w:val="58"/>
        <w:ind w:firstLine="420"/>
      </w:pPr>
      <w:r>
        <w:rPr>
          <w:rFonts w:hint="eastAsia"/>
        </w:rPr>
        <w:t>1  摩擦消能器产品外观应标志清晰、表面平整、无锈蚀、无毛刺、无机械损伤，外表应采用防锈措施，涂层应均匀。</w:t>
      </w:r>
    </w:p>
    <w:p>
      <w:pPr>
        <w:pStyle w:val="58"/>
        <w:ind w:firstLine="420"/>
      </w:pPr>
      <w:r>
        <w:rPr>
          <w:rFonts w:hint="eastAsia"/>
        </w:rPr>
        <w:t>2  摩擦消能器外型安装尺寸偏差应为±2mm内。</w:t>
      </w:r>
    </w:p>
    <w:p>
      <w:pPr>
        <w:pStyle w:val="167"/>
      </w:pPr>
      <w:r>
        <w:rPr>
          <w:rFonts w:hint="eastAsia"/>
        </w:rPr>
        <w:t>摩擦消能器的材料应符合下列规定：</w:t>
      </w:r>
    </w:p>
    <w:p>
      <w:pPr>
        <w:pStyle w:val="58"/>
        <w:ind w:firstLine="420"/>
      </w:pPr>
      <w:r>
        <w:rPr>
          <w:rFonts w:hint="eastAsia"/>
        </w:rPr>
        <w:t>1  摩擦材料可采用复合摩擦材料、金属类摩擦材料和聚合物类摩擦材料等。</w:t>
      </w:r>
    </w:p>
    <w:p>
      <w:pPr>
        <w:pStyle w:val="58"/>
        <w:ind w:firstLine="420"/>
      </w:pPr>
      <w:r>
        <w:rPr>
          <w:rFonts w:hint="eastAsia"/>
        </w:rPr>
        <w:t>2  摩擦消能器的性能主要由预压力和摩擦片的动摩擦系数确定，摩擦型消能器在正常使用过程中预压力变化不宜超过初始值的10%。</w:t>
      </w:r>
    </w:p>
    <w:p>
      <w:pPr>
        <w:pStyle w:val="58"/>
        <w:ind w:firstLine="420"/>
      </w:pPr>
      <w:r>
        <w:rPr>
          <w:rFonts w:hint="eastAsia"/>
        </w:rPr>
        <w:t>3  摩擦消能器中采用的摩擦材料应具有稳定的摩擦系数，不应生锈，并应满足消能器预压力作用下的强度要求。</w:t>
      </w:r>
    </w:p>
    <w:p>
      <w:pPr>
        <w:pStyle w:val="58"/>
        <w:ind w:firstLine="420"/>
      </w:pPr>
      <w:r>
        <w:rPr>
          <w:rFonts w:hint="eastAsia"/>
        </w:rPr>
        <w:t>4  摩擦消能器中的受力原件应具有足够的刚度，不能产生</w:t>
      </w:r>
      <w:r>
        <w:rPr>
          <w:rFonts w:hint="eastAsia"/>
          <w:color w:val="FF0000"/>
        </w:rPr>
        <w:t>屈曲</w:t>
      </w:r>
      <w:r>
        <w:rPr>
          <w:rFonts w:hint="eastAsia"/>
        </w:rPr>
        <w:t>和侧向失稳。</w:t>
      </w:r>
    </w:p>
    <w:p>
      <w:pPr>
        <w:pStyle w:val="167"/>
      </w:pPr>
      <w:r>
        <w:rPr>
          <w:rFonts w:hint="eastAsia"/>
        </w:rPr>
        <w:t>摩擦消能器力学性能要求，应符合表7.4.3规定。</w:t>
      </w:r>
    </w:p>
    <w:p>
      <w:pPr>
        <w:pStyle w:val="114"/>
        <w:numPr>
          <w:ilvl w:val="0"/>
          <w:numId w:val="0"/>
        </w:numPr>
        <w:spacing w:before="156" w:after="156"/>
      </w:pPr>
      <w:r>
        <w:rPr>
          <w:rFonts w:hint="eastAsia"/>
        </w:rPr>
        <w:t>表7.4.3  摩擦消能器力学性能要求</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99"/>
        <w:gridCol w:w="677"/>
        <w:gridCol w:w="1750"/>
        <w:gridCol w:w="62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699" w:type="dxa"/>
            <w:tcBorders>
              <w:top w:val="single" w:color="auto" w:sz="8" w:space="0"/>
              <w:bottom w:val="single" w:color="auto" w:sz="8" w:space="0"/>
            </w:tcBorders>
            <w:shd w:val="clear" w:color="auto" w:fill="auto"/>
            <w:vAlign w:val="center"/>
          </w:tcPr>
          <w:p>
            <w:pPr>
              <w:pStyle w:val="180"/>
            </w:pPr>
            <w:r>
              <w:rPr>
                <w:rFonts w:hint="eastAsia"/>
              </w:rPr>
              <w:t>试验</w:t>
            </w:r>
          </w:p>
          <w:p>
            <w:pPr>
              <w:pStyle w:val="180"/>
            </w:pPr>
            <w:r>
              <w:rPr>
                <w:rFonts w:hint="eastAsia"/>
              </w:rPr>
              <w:t>内容</w:t>
            </w:r>
          </w:p>
        </w:tc>
        <w:tc>
          <w:tcPr>
            <w:tcW w:w="677" w:type="dxa"/>
            <w:tcBorders>
              <w:top w:val="single" w:color="auto" w:sz="8" w:space="0"/>
              <w:bottom w:val="single" w:color="auto" w:sz="8" w:space="0"/>
            </w:tcBorders>
            <w:shd w:val="clear" w:color="auto" w:fill="auto"/>
            <w:vAlign w:val="center"/>
          </w:tcPr>
          <w:p>
            <w:pPr>
              <w:pStyle w:val="180"/>
            </w:pPr>
            <w:r>
              <w:rPr>
                <w:rFonts w:hint="eastAsia"/>
              </w:rPr>
              <w:t>序号</w:t>
            </w:r>
          </w:p>
        </w:tc>
        <w:tc>
          <w:tcPr>
            <w:tcW w:w="1750" w:type="dxa"/>
            <w:tcBorders>
              <w:top w:val="single" w:color="auto" w:sz="8" w:space="0"/>
              <w:bottom w:val="single" w:color="auto" w:sz="8" w:space="0"/>
            </w:tcBorders>
            <w:shd w:val="clear" w:color="auto" w:fill="auto"/>
            <w:vAlign w:val="center"/>
          </w:tcPr>
          <w:p>
            <w:pPr>
              <w:pStyle w:val="180"/>
            </w:pPr>
            <w:r>
              <w:rPr>
                <w:rFonts w:hint="eastAsia"/>
              </w:rPr>
              <w:t>项目</w:t>
            </w:r>
          </w:p>
        </w:tc>
        <w:tc>
          <w:tcPr>
            <w:tcW w:w="6208" w:type="dxa"/>
            <w:tcBorders>
              <w:top w:val="single" w:color="auto" w:sz="8" w:space="0"/>
              <w:bottom w:val="single" w:color="auto" w:sz="8" w:space="0"/>
            </w:tcBorders>
            <w:shd w:val="clear" w:color="auto" w:fill="auto"/>
            <w:vAlign w:val="center"/>
          </w:tcPr>
          <w:p>
            <w:pPr>
              <w:pStyle w:val="180"/>
            </w:pPr>
            <w:r>
              <w:rPr>
                <w:rFonts w:hint="eastAsia"/>
              </w:rPr>
              <w:t>性能要求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Merge w:val="restart"/>
            <w:tcBorders>
              <w:top w:val="single" w:color="auto" w:sz="8" w:space="0"/>
            </w:tcBorders>
            <w:shd w:val="clear" w:color="auto" w:fill="auto"/>
            <w:vAlign w:val="center"/>
          </w:tcPr>
          <w:p>
            <w:pPr>
              <w:pStyle w:val="180"/>
            </w:pPr>
            <w:r>
              <w:rPr>
                <w:rFonts w:hint="eastAsia"/>
              </w:rPr>
              <w:t>常规</w:t>
            </w:r>
          </w:p>
          <w:p>
            <w:pPr>
              <w:pStyle w:val="180"/>
            </w:pPr>
            <w:r>
              <w:rPr>
                <w:rFonts w:hint="eastAsia"/>
              </w:rPr>
              <w:t>性能</w:t>
            </w:r>
          </w:p>
        </w:tc>
        <w:tc>
          <w:tcPr>
            <w:tcW w:w="677" w:type="dxa"/>
            <w:tcBorders>
              <w:top w:val="single" w:color="auto" w:sz="8" w:space="0"/>
            </w:tcBorders>
            <w:shd w:val="clear" w:color="auto" w:fill="auto"/>
            <w:vAlign w:val="center"/>
          </w:tcPr>
          <w:p>
            <w:pPr>
              <w:pStyle w:val="180"/>
            </w:pPr>
            <w:r>
              <w:rPr>
                <w:rFonts w:hint="eastAsia"/>
              </w:rPr>
              <w:t>1</w:t>
            </w:r>
          </w:p>
        </w:tc>
        <w:tc>
          <w:tcPr>
            <w:tcW w:w="1750" w:type="dxa"/>
            <w:tcBorders>
              <w:top w:val="single" w:color="auto" w:sz="8" w:space="0"/>
            </w:tcBorders>
            <w:shd w:val="clear" w:color="auto" w:fill="auto"/>
            <w:vAlign w:val="center"/>
          </w:tcPr>
          <w:p>
            <w:pPr>
              <w:pStyle w:val="180"/>
            </w:pPr>
            <w:r>
              <w:rPr>
                <w:rFonts w:hint="eastAsia"/>
              </w:rPr>
              <w:t>滑动摩擦力</w:t>
            </w:r>
          </w:p>
        </w:tc>
        <w:tc>
          <w:tcPr>
            <w:tcW w:w="6208" w:type="dxa"/>
            <w:tcBorders>
              <w:top w:val="single" w:color="auto" w:sz="8" w:space="0"/>
            </w:tcBorders>
            <w:shd w:val="clear" w:color="auto" w:fill="auto"/>
            <w:vAlign w:val="center"/>
          </w:tcPr>
          <w:p>
            <w:pPr>
              <w:pStyle w:val="180"/>
            </w:pPr>
            <w:r>
              <w:rPr>
                <w:rFonts w:hint="eastAsia"/>
              </w:rPr>
              <w:t>每个产品的滑动摩擦力实测值允许偏差应为滑动摩擦力设计值的±15%；实测值偏差的平均值应为设计值的±10%。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Merge w:val="continue"/>
            <w:shd w:val="clear" w:color="auto" w:fill="auto"/>
            <w:vAlign w:val="center"/>
          </w:tcPr>
          <w:p>
            <w:pPr>
              <w:pStyle w:val="180"/>
            </w:pPr>
          </w:p>
        </w:tc>
        <w:tc>
          <w:tcPr>
            <w:tcW w:w="677" w:type="dxa"/>
            <w:shd w:val="clear" w:color="auto" w:fill="auto"/>
            <w:vAlign w:val="center"/>
          </w:tcPr>
          <w:p>
            <w:pPr>
              <w:pStyle w:val="180"/>
            </w:pPr>
            <w:r>
              <w:rPr>
                <w:rFonts w:hint="eastAsia"/>
              </w:rPr>
              <w:t>2</w:t>
            </w:r>
          </w:p>
        </w:tc>
        <w:tc>
          <w:tcPr>
            <w:tcW w:w="1750" w:type="dxa"/>
            <w:shd w:val="clear" w:color="auto" w:fill="auto"/>
            <w:vAlign w:val="center"/>
          </w:tcPr>
          <w:p>
            <w:pPr>
              <w:pStyle w:val="180"/>
            </w:pPr>
            <w:r>
              <w:rPr>
                <w:rFonts w:hint="eastAsia"/>
              </w:rPr>
              <w:t>起滑摩擦力</w:t>
            </w:r>
          </w:p>
        </w:tc>
        <w:tc>
          <w:tcPr>
            <w:tcW w:w="6208" w:type="dxa"/>
            <w:shd w:val="clear" w:color="auto" w:fill="auto"/>
            <w:vAlign w:val="center"/>
          </w:tcPr>
          <w:p>
            <w:pPr>
              <w:pStyle w:val="180"/>
            </w:pPr>
            <w:r>
              <w:rPr>
                <w:rFonts w:hint="eastAsia"/>
              </w:rPr>
              <w:t>每个产品的起滑摩擦力不应大于滑动摩擦力的20%。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Merge w:val="continue"/>
            <w:shd w:val="clear" w:color="auto" w:fill="auto"/>
            <w:vAlign w:val="center"/>
          </w:tcPr>
          <w:p>
            <w:pPr>
              <w:pStyle w:val="180"/>
            </w:pPr>
          </w:p>
        </w:tc>
        <w:tc>
          <w:tcPr>
            <w:tcW w:w="677" w:type="dxa"/>
            <w:shd w:val="clear" w:color="auto" w:fill="auto"/>
            <w:vAlign w:val="center"/>
          </w:tcPr>
          <w:p>
            <w:pPr>
              <w:pStyle w:val="180"/>
            </w:pPr>
            <w:r>
              <w:rPr>
                <w:rFonts w:hint="eastAsia"/>
              </w:rPr>
              <w:t>3</w:t>
            </w:r>
          </w:p>
        </w:tc>
        <w:tc>
          <w:tcPr>
            <w:tcW w:w="1750" w:type="dxa"/>
            <w:shd w:val="clear" w:color="auto" w:fill="auto"/>
            <w:vAlign w:val="center"/>
          </w:tcPr>
          <w:p>
            <w:pPr>
              <w:pStyle w:val="180"/>
            </w:pPr>
            <w:r>
              <w:rPr>
                <w:rFonts w:hint="eastAsia"/>
              </w:rPr>
              <w:t>滑动位移</w:t>
            </w:r>
          </w:p>
        </w:tc>
        <w:tc>
          <w:tcPr>
            <w:tcW w:w="6208" w:type="dxa"/>
            <w:shd w:val="clear" w:color="auto" w:fill="auto"/>
            <w:vAlign w:val="center"/>
          </w:tcPr>
          <w:p>
            <w:pPr>
              <w:pStyle w:val="180"/>
            </w:pPr>
            <w:r>
              <w:rPr>
                <w:rFonts w:hint="eastAsia"/>
              </w:rPr>
              <w:t>每个实测产品起滑位移的实测值偏差应为设计值的±15%；实测值偏差的平均值应为设计值的±10%。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Merge w:val="continue"/>
            <w:shd w:val="clear" w:color="auto" w:fill="auto"/>
            <w:vAlign w:val="center"/>
          </w:tcPr>
          <w:p>
            <w:pPr>
              <w:pStyle w:val="180"/>
            </w:pPr>
          </w:p>
        </w:tc>
        <w:tc>
          <w:tcPr>
            <w:tcW w:w="677" w:type="dxa"/>
            <w:shd w:val="clear" w:color="auto" w:fill="auto"/>
            <w:vAlign w:val="center"/>
          </w:tcPr>
          <w:p>
            <w:pPr>
              <w:pStyle w:val="180"/>
            </w:pPr>
            <w:r>
              <w:rPr>
                <w:rFonts w:hint="eastAsia"/>
              </w:rPr>
              <w:t>4</w:t>
            </w:r>
          </w:p>
        </w:tc>
        <w:tc>
          <w:tcPr>
            <w:tcW w:w="1750" w:type="dxa"/>
            <w:shd w:val="clear" w:color="auto" w:fill="auto"/>
            <w:vAlign w:val="center"/>
          </w:tcPr>
          <w:p>
            <w:pPr>
              <w:pStyle w:val="180"/>
            </w:pPr>
            <w:r>
              <w:rPr>
                <w:rFonts w:hint="eastAsia"/>
              </w:rPr>
              <w:t>极限位移</w:t>
            </w:r>
          </w:p>
        </w:tc>
        <w:tc>
          <w:tcPr>
            <w:tcW w:w="6208" w:type="dxa"/>
            <w:shd w:val="clear" w:color="auto" w:fill="auto"/>
            <w:vAlign w:val="center"/>
          </w:tcPr>
          <w:p>
            <w:pPr>
              <w:pStyle w:val="180"/>
            </w:pPr>
            <w:r>
              <w:rPr>
                <w:rFonts w:hint="eastAsia"/>
              </w:rPr>
              <w:t>每个实测产品极限位移值不应小于极限位移设计值。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Merge w:val="continue"/>
            <w:shd w:val="clear" w:color="auto" w:fill="auto"/>
            <w:vAlign w:val="center"/>
          </w:tcPr>
          <w:p>
            <w:pPr>
              <w:pStyle w:val="180"/>
            </w:pPr>
          </w:p>
        </w:tc>
        <w:tc>
          <w:tcPr>
            <w:tcW w:w="677" w:type="dxa"/>
            <w:shd w:val="clear" w:color="auto" w:fill="auto"/>
            <w:vAlign w:val="center"/>
          </w:tcPr>
          <w:p>
            <w:pPr>
              <w:pStyle w:val="180"/>
            </w:pPr>
            <w:r>
              <w:rPr>
                <w:rFonts w:hint="eastAsia"/>
              </w:rPr>
              <w:t>5</w:t>
            </w:r>
          </w:p>
        </w:tc>
        <w:tc>
          <w:tcPr>
            <w:tcW w:w="1750" w:type="dxa"/>
            <w:shd w:val="clear" w:color="auto" w:fill="auto"/>
            <w:vAlign w:val="center"/>
          </w:tcPr>
          <w:p>
            <w:pPr>
              <w:pStyle w:val="180"/>
            </w:pPr>
            <w:r>
              <w:rPr>
                <w:rFonts w:hint="eastAsia"/>
              </w:rPr>
              <w:t>滞回曲线面积</w:t>
            </w:r>
          </w:p>
        </w:tc>
        <w:tc>
          <w:tcPr>
            <w:tcW w:w="6208" w:type="dxa"/>
            <w:shd w:val="clear" w:color="auto" w:fill="auto"/>
            <w:vAlign w:val="center"/>
          </w:tcPr>
          <w:p>
            <w:pPr>
              <w:pStyle w:val="180"/>
            </w:pPr>
            <w:r>
              <w:rPr>
                <w:rFonts w:hint="eastAsia"/>
              </w:rPr>
              <w:t>任一循环中滞回曲线包络面积实测值偏差应为产品设计值的±15%；产品实测值偏差的平均值应为设计值的±10%。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Merge w:val="restart"/>
            <w:shd w:val="clear" w:color="auto" w:fill="auto"/>
            <w:vAlign w:val="center"/>
          </w:tcPr>
          <w:p>
            <w:pPr>
              <w:pStyle w:val="180"/>
            </w:pPr>
            <w:r>
              <w:rPr>
                <w:rFonts w:hint="eastAsia"/>
              </w:rPr>
              <w:t>疲劳</w:t>
            </w:r>
          </w:p>
          <w:p>
            <w:pPr>
              <w:pStyle w:val="180"/>
            </w:pPr>
            <w:r>
              <w:rPr>
                <w:rFonts w:hint="eastAsia"/>
              </w:rPr>
              <w:t>性能</w:t>
            </w:r>
          </w:p>
        </w:tc>
        <w:tc>
          <w:tcPr>
            <w:tcW w:w="677" w:type="dxa"/>
            <w:shd w:val="clear" w:color="auto" w:fill="auto"/>
            <w:vAlign w:val="center"/>
          </w:tcPr>
          <w:p>
            <w:pPr>
              <w:pStyle w:val="180"/>
            </w:pPr>
            <w:r>
              <w:rPr>
                <w:rFonts w:hint="eastAsia"/>
              </w:rPr>
              <w:t>1</w:t>
            </w:r>
          </w:p>
        </w:tc>
        <w:tc>
          <w:tcPr>
            <w:tcW w:w="1750" w:type="dxa"/>
            <w:shd w:val="clear" w:color="auto" w:fill="auto"/>
            <w:vAlign w:val="center"/>
          </w:tcPr>
          <w:p>
            <w:pPr>
              <w:pStyle w:val="180"/>
            </w:pPr>
            <w:r>
              <w:rPr>
                <w:rFonts w:hint="eastAsia"/>
              </w:rPr>
              <w:t>滑动摩擦力</w:t>
            </w:r>
          </w:p>
        </w:tc>
        <w:tc>
          <w:tcPr>
            <w:tcW w:w="6208" w:type="dxa"/>
            <w:shd w:val="clear" w:color="auto" w:fill="auto"/>
            <w:vAlign w:val="center"/>
          </w:tcPr>
          <w:p>
            <w:pPr>
              <w:pStyle w:val="180"/>
            </w:pPr>
            <w:r>
              <w:rPr>
                <w:rFonts w:hint="eastAsia"/>
              </w:rPr>
              <w:t>实测产品在设计位移下连续加载30圈，任一循环的最大、最小阻尼力应为所有循环的最大、最小阻尼力平均值的±15%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Merge w:val="continue"/>
            <w:shd w:val="clear" w:color="auto" w:fill="auto"/>
            <w:vAlign w:val="center"/>
          </w:tcPr>
          <w:p>
            <w:pPr>
              <w:pStyle w:val="180"/>
            </w:pPr>
          </w:p>
        </w:tc>
        <w:tc>
          <w:tcPr>
            <w:tcW w:w="677" w:type="dxa"/>
            <w:vMerge w:val="restart"/>
            <w:shd w:val="clear" w:color="auto" w:fill="auto"/>
            <w:vAlign w:val="center"/>
          </w:tcPr>
          <w:p>
            <w:pPr>
              <w:pStyle w:val="180"/>
            </w:pPr>
            <w:r>
              <w:rPr>
                <w:rFonts w:hint="eastAsia"/>
              </w:rPr>
              <w:t>2</w:t>
            </w:r>
          </w:p>
        </w:tc>
        <w:tc>
          <w:tcPr>
            <w:tcW w:w="1750" w:type="dxa"/>
            <w:vMerge w:val="restart"/>
            <w:shd w:val="clear" w:color="auto" w:fill="auto"/>
            <w:vAlign w:val="center"/>
          </w:tcPr>
          <w:p>
            <w:pPr>
              <w:pStyle w:val="180"/>
            </w:pPr>
            <w:r>
              <w:rPr>
                <w:rFonts w:hint="eastAsia"/>
              </w:rPr>
              <w:t>滞回曲线</w:t>
            </w:r>
          </w:p>
        </w:tc>
        <w:tc>
          <w:tcPr>
            <w:tcW w:w="6208" w:type="dxa"/>
            <w:shd w:val="clear" w:color="auto" w:fill="auto"/>
            <w:vAlign w:val="center"/>
          </w:tcPr>
          <w:p>
            <w:pPr>
              <w:pStyle w:val="180"/>
            </w:pPr>
            <w:r>
              <w:rPr>
                <w:rFonts w:hint="eastAsia"/>
              </w:rPr>
              <w:t>1）实测产品在设计位移下连续加载30圈，任一循环中位移在零时的最大、最小阻尼力应为所有循环中位移在零时的最大、最小阻尼力平均值±15%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Merge w:val="continue"/>
            <w:shd w:val="clear" w:color="auto" w:fill="auto"/>
            <w:vAlign w:val="center"/>
          </w:tcPr>
          <w:p>
            <w:pPr>
              <w:pStyle w:val="180"/>
            </w:pPr>
          </w:p>
        </w:tc>
        <w:tc>
          <w:tcPr>
            <w:tcW w:w="677" w:type="dxa"/>
            <w:vMerge w:val="continue"/>
            <w:shd w:val="clear" w:color="auto" w:fill="auto"/>
            <w:vAlign w:val="center"/>
          </w:tcPr>
          <w:p>
            <w:pPr>
              <w:pStyle w:val="180"/>
            </w:pPr>
          </w:p>
        </w:tc>
        <w:tc>
          <w:tcPr>
            <w:tcW w:w="1750" w:type="dxa"/>
            <w:vMerge w:val="continue"/>
            <w:shd w:val="clear" w:color="auto" w:fill="auto"/>
            <w:vAlign w:val="center"/>
          </w:tcPr>
          <w:p>
            <w:pPr>
              <w:pStyle w:val="180"/>
            </w:pPr>
          </w:p>
        </w:tc>
        <w:tc>
          <w:tcPr>
            <w:tcW w:w="6208" w:type="dxa"/>
            <w:shd w:val="clear" w:color="auto" w:fill="auto"/>
            <w:vAlign w:val="center"/>
          </w:tcPr>
          <w:p>
            <w:pPr>
              <w:pStyle w:val="180"/>
            </w:pPr>
            <w:r>
              <w:rPr>
                <w:rFonts w:hint="eastAsia"/>
              </w:rPr>
              <w:t>2）实测产品在设计位移下连续加载30圈，任一循环中阻尼力在零时的最大、最小位移应为所有循环中阻尼力在零时的最大、最小位移平均值±15%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Merge w:val="continue"/>
            <w:shd w:val="clear" w:color="auto" w:fill="auto"/>
            <w:vAlign w:val="center"/>
          </w:tcPr>
          <w:p>
            <w:pPr>
              <w:pStyle w:val="180"/>
            </w:pPr>
          </w:p>
        </w:tc>
        <w:tc>
          <w:tcPr>
            <w:tcW w:w="677" w:type="dxa"/>
            <w:shd w:val="clear" w:color="auto" w:fill="auto"/>
            <w:vAlign w:val="center"/>
          </w:tcPr>
          <w:p>
            <w:pPr>
              <w:pStyle w:val="180"/>
            </w:pPr>
            <w:r>
              <w:rPr>
                <w:rFonts w:hint="eastAsia"/>
              </w:rPr>
              <w:t>3</w:t>
            </w:r>
          </w:p>
        </w:tc>
        <w:tc>
          <w:tcPr>
            <w:tcW w:w="1750" w:type="dxa"/>
            <w:shd w:val="clear" w:color="auto" w:fill="auto"/>
            <w:vAlign w:val="center"/>
          </w:tcPr>
          <w:p>
            <w:pPr>
              <w:pStyle w:val="180"/>
            </w:pPr>
            <w:r>
              <w:rPr>
                <w:rFonts w:hint="eastAsia"/>
              </w:rPr>
              <w:t>滞回曲线面积</w:t>
            </w:r>
          </w:p>
        </w:tc>
        <w:tc>
          <w:tcPr>
            <w:tcW w:w="6208" w:type="dxa"/>
            <w:shd w:val="clear" w:color="auto" w:fill="auto"/>
            <w:vAlign w:val="center"/>
          </w:tcPr>
          <w:p>
            <w:pPr>
              <w:pStyle w:val="180"/>
            </w:pPr>
            <w:r>
              <w:rPr>
                <w:rFonts w:hint="eastAsia"/>
              </w:rPr>
              <w:t>实测产品在设计位移下连续加载30圈，任一循环的滞回曲线面积应为所有循环的滞回曲线面积平均值的±15%。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shd w:val="clear" w:color="auto" w:fill="auto"/>
            <w:vAlign w:val="center"/>
          </w:tcPr>
          <w:p>
            <w:pPr>
              <w:pStyle w:val="180"/>
              <w:rPr>
                <w:color w:val="FF0000"/>
              </w:rPr>
            </w:pPr>
            <w:r>
              <w:rPr>
                <w:rFonts w:hint="eastAsia"/>
                <w:color w:val="FF0000"/>
              </w:rPr>
              <w:t>应力</w:t>
            </w:r>
          </w:p>
          <w:p>
            <w:pPr>
              <w:pStyle w:val="180"/>
              <w:rPr>
                <w:color w:val="FF0000"/>
              </w:rPr>
            </w:pPr>
            <w:r>
              <w:rPr>
                <w:rFonts w:hint="eastAsia"/>
                <w:color w:val="FF0000"/>
              </w:rPr>
              <w:t>松弛</w:t>
            </w:r>
          </w:p>
        </w:tc>
        <w:tc>
          <w:tcPr>
            <w:tcW w:w="677" w:type="dxa"/>
            <w:shd w:val="clear" w:color="auto" w:fill="auto"/>
            <w:vAlign w:val="center"/>
          </w:tcPr>
          <w:p>
            <w:pPr>
              <w:pStyle w:val="180"/>
              <w:rPr>
                <w:color w:val="FF0000"/>
              </w:rPr>
            </w:pPr>
            <w:r>
              <w:rPr>
                <w:rFonts w:hint="eastAsia"/>
                <w:color w:val="FF0000"/>
              </w:rPr>
              <w:t>1</w:t>
            </w:r>
          </w:p>
        </w:tc>
        <w:tc>
          <w:tcPr>
            <w:tcW w:w="1750" w:type="dxa"/>
            <w:shd w:val="clear" w:color="auto" w:fill="auto"/>
            <w:vAlign w:val="center"/>
          </w:tcPr>
          <w:p>
            <w:pPr>
              <w:pStyle w:val="180"/>
              <w:rPr>
                <w:color w:val="FF0000"/>
              </w:rPr>
            </w:pPr>
            <w:r>
              <w:rPr>
                <w:rFonts w:hint="eastAsia"/>
                <w:color w:val="FF0000"/>
              </w:rPr>
              <w:t>滑动摩擦力</w:t>
            </w:r>
          </w:p>
        </w:tc>
        <w:tc>
          <w:tcPr>
            <w:tcW w:w="6208" w:type="dxa"/>
            <w:shd w:val="clear" w:color="auto" w:fill="auto"/>
            <w:vAlign w:val="center"/>
          </w:tcPr>
          <w:p>
            <w:pPr>
              <w:pStyle w:val="180"/>
              <w:rPr>
                <w:color w:val="FF0000"/>
              </w:rPr>
            </w:pPr>
            <w:r>
              <w:rPr>
                <w:rFonts w:hint="eastAsia"/>
                <w:color w:val="FF0000"/>
              </w:rPr>
              <w:t>消能器在间隔不小于1000h内进行两次检测的试验结果，其滑动摩擦力实测值允许偏差应为滑动摩擦力设计值的±15%</w:t>
            </w:r>
          </w:p>
        </w:tc>
      </w:tr>
    </w:tbl>
    <w:p>
      <w:pPr>
        <w:adjustRightInd/>
        <w:spacing w:line="300" w:lineRule="exact"/>
        <w:rPr>
          <w:rFonts w:ascii="华文楷体" w:hAnsi="华文楷体" w:eastAsia="华文楷体" w:cs="华文楷体"/>
          <w:color w:val="FF0000"/>
          <w:szCs w:val="22"/>
        </w:rPr>
      </w:pPr>
      <w:r>
        <w:rPr>
          <w:rFonts w:hint="eastAsia" w:ascii="华文楷体" w:hAnsi="华文楷体" w:eastAsia="华文楷体" w:cs="华文楷体"/>
          <w:color w:val="FF0000"/>
          <w:szCs w:val="22"/>
        </w:rPr>
        <w:t>条文说明</w:t>
      </w:r>
      <w:r>
        <w:rPr>
          <w:rFonts w:ascii="华文楷体" w:hAnsi="华文楷体" w:eastAsia="华文楷体" w:cs="华文楷体"/>
          <w:color w:val="FF0000"/>
          <w:szCs w:val="22"/>
        </w:rPr>
        <w:t>7.4.3</w:t>
      </w:r>
      <w:r>
        <w:rPr>
          <w:rFonts w:hint="eastAsia" w:ascii="华文楷体" w:hAnsi="华文楷体" w:eastAsia="华文楷体" w:cs="华文楷体"/>
          <w:color w:val="FF0000"/>
          <w:szCs w:val="22"/>
        </w:rPr>
        <w:t>摩擦消能器一般由钢元件或构件、摩擦片和预紧螺栓等组成，在地震作用下，钢元件或构件之间发生相对位移产生摩擦做功而耗散能量。预紧螺栓的预压力在长期作用时会产生松弛，经试验数据可得，</w:t>
      </w:r>
      <w:r>
        <w:rPr>
          <w:rFonts w:ascii="华文楷体" w:hAnsi="华文楷体" w:eastAsia="华文楷体" w:cs="华文楷体"/>
          <w:color w:val="FF0000"/>
          <w:szCs w:val="22"/>
        </w:rPr>
        <w:t>45h</w:t>
      </w:r>
      <w:r>
        <w:rPr>
          <w:rFonts w:hint="eastAsia" w:ascii="华文楷体" w:hAnsi="华文楷体" w:eastAsia="华文楷体" w:cs="华文楷体"/>
          <w:color w:val="FF0000"/>
          <w:szCs w:val="22"/>
        </w:rPr>
        <w:t>螺栓预压力损失值的平均值</w:t>
      </w:r>
      <w:r>
        <w:rPr>
          <w:rFonts w:ascii="华文楷体" w:hAnsi="华文楷体" w:eastAsia="华文楷体" w:cs="华文楷体"/>
          <w:color w:val="FF0000"/>
          <w:position w:val="-10"/>
          <w:szCs w:val="22"/>
        </w:rPr>
        <w:object>
          <v:shape id="_x0000_i1161" o:spt="75" type="#_x0000_t75" style="height:13.95pt;width:11pt;" o:ole="t" filled="f" o:preferrelative="t" stroked="f" coordsize="21600,21600">
            <v:path/>
            <v:fill on="f" focussize="0,0"/>
            <v:stroke on="f" joinstyle="miter"/>
            <v:imagedata r:id="rId270" o:title=""/>
            <o:lock v:ext="edit" aspectratio="t"/>
            <w10:wrap type="none"/>
            <w10:anchorlock/>
          </v:shape>
          <o:OLEObject Type="Embed" ProgID="Equation.KSEE3" ShapeID="_x0000_i1161" DrawAspect="Content" ObjectID="_1468075861" r:id="rId269">
            <o:LockedField>false</o:LockedField>
          </o:OLEObject>
        </w:object>
      </w:r>
      <w:r>
        <w:rPr>
          <w:rFonts w:hint="eastAsia" w:ascii="华文楷体" w:hAnsi="华文楷体" w:eastAsia="华文楷体" w:cs="华文楷体"/>
          <w:color w:val="FF0000"/>
          <w:szCs w:val="22"/>
        </w:rPr>
        <w:t>和标准差</w:t>
      </w:r>
      <w:r>
        <w:rPr>
          <w:rFonts w:ascii="华文楷体" w:hAnsi="华文楷体" w:eastAsia="华文楷体" w:cs="华文楷体"/>
          <w:color w:val="FF0000"/>
          <w:position w:val="-6"/>
          <w:szCs w:val="22"/>
        </w:rPr>
        <w:object>
          <v:shape id="_x0000_i1162" o:spt="75" type="#_x0000_t75" style="height:11pt;width:11pt;" o:ole="t" filled="f" o:preferrelative="t" stroked="f" coordsize="21600,21600">
            <v:path/>
            <v:fill on="f" focussize="0,0"/>
            <v:stroke on="f" joinstyle="miter"/>
            <v:imagedata r:id="rId272" o:title=""/>
            <o:lock v:ext="edit" aspectratio="t"/>
            <w10:wrap type="none"/>
            <w10:anchorlock/>
          </v:shape>
          <o:OLEObject Type="Embed" ProgID="Equation.KSEE3" ShapeID="_x0000_i1162" DrawAspect="Content" ObjectID="_1468075862" r:id="rId271">
            <o:LockedField>false</o:LockedField>
          </o:OLEObject>
        </w:object>
      </w:r>
      <w:r>
        <w:rPr>
          <w:rFonts w:hint="eastAsia" w:ascii="华文楷体" w:hAnsi="华文楷体" w:eastAsia="华文楷体" w:cs="华文楷体"/>
          <w:color w:val="FF0000"/>
          <w:szCs w:val="22"/>
        </w:rPr>
        <w:t>分别为</w:t>
      </w:r>
      <w:r>
        <w:rPr>
          <w:rFonts w:ascii="华文楷体" w:hAnsi="华文楷体" w:eastAsia="华文楷体" w:cs="华文楷体"/>
          <w:color w:val="FF0000"/>
          <w:szCs w:val="22"/>
        </w:rPr>
        <w:t>4.3%</w:t>
      </w:r>
      <w:r>
        <w:rPr>
          <w:rFonts w:hint="eastAsia" w:ascii="华文楷体" w:hAnsi="华文楷体" w:eastAsia="华文楷体" w:cs="华文楷体"/>
          <w:color w:val="FF0000"/>
          <w:szCs w:val="22"/>
        </w:rPr>
        <w:t>和</w:t>
      </w:r>
      <w:r>
        <w:rPr>
          <w:rFonts w:ascii="华文楷体" w:hAnsi="华文楷体" w:eastAsia="华文楷体" w:cs="华文楷体"/>
          <w:color w:val="FF0000"/>
          <w:szCs w:val="22"/>
        </w:rPr>
        <w:t>1.7%</w:t>
      </w:r>
      <w:r>
        <w:rPr>
          <w:rFonts w:hint="eastAsia" w:ascii="华文楷体" w:hAnsi="华文楷体" w:eastAsia="华文楷体" w:cs="华文楷体"/>
          <w:color w:val="FF0000"/>
          <w:szCs w:val="22"/>
        </w:rPr>
        <w:t>。假定螺栓应变松弛最终值符合正态分布，则得到具有</w:t>
      </w:r>
      <w:r>
        <w:rPr>
          <w:rFonts w:ascii="华文楷体" w:hAnsi="华文楷体" w:eastAsia="华文楷体" w:cs="华文楷体"/>
          <w:color w:val="FF0000"/>
          <w:szCs w:val="22"/>
        </w:rPr>
        <w:t>95%</w:t>
      </w:r>
      <w:r>
        <w:rPr>
          <w:rFonts w:hint="eastAsia" w:ascii="华文楷体" w:hAnsi="华文楷体" w:eastAsia="华文楷体" w:cs="华文楷体"/>
          <w:color w:val="FF0000"/>
          <w:szCs w:val="22"/>
        </w:rPr>
        <w:t>保证率的预压力松弛最终值为</w:t>
      </w:r>
      <w:r>
        <w:rPr>
          <w:rFonts w:ascii="华文楷体" w:hAnsi="华文楷体" w:eastAsia="华文楷体" w:cs="华文楷体"/>
          <w:color w:val="FF0000"/>
          <w:position w:val="-10"/>
          <w:szCs w:val="22"/>
        </w:rPr>
        <w:object>
          <v:shape id="_x0000_i1163" o:spt="75" type="#_x0000_t75" style="height:16.15pt;width:63.9pt;" o:ole="t" filled="f" o:preferrelative="t" stroked="f" coordsize="21600,21600">
            <v:path/>
            <v:fill on="f" focussize="0,0"/>
            <v:stroke on="f" joinstyle="miter"/>
            <v:imagedata r:id="rId274" o:title=""/>
            <o:lock v:ext="edit" aspectratio="t"/>
            <w10:wrap type="none"/>
            <w10:anchorlock/>
          </v:shape>
          <o:OLEObject Type="Embed" ProgID="Equation.KSEE3" ShapeID="_x0000_i1163" DrawAspect="Content" ObjectID="_1468075863" r:id="rId273">
            <o:LockedField>false</o:LockedField>
          </o:OLEObject>
        </w:object>
      </w:r>
      <w:r>
        <w:rPr>
          <w:rFonts w:ascii="华文楷体" w:hAnsi="华文楷体" w:eastAsia="华文楷体" w:cs="华文楷体"/>
          <w:color w:val="FF0000"/>
          <w:szCs w:val="22"/>
        </w:rPr>
        <w:t>=7.1%</w:t>
      </w:r>
      <w:r>
        <w:rPr>
          <w:rFonts w:hint="eastAsia" w:ascii="华文楷体" w:hAnsi="华文楷体" w:eastAsia="华文楷体" w:cs="华文楷体"/>
          <w:color w:val="FF0000"/>
          <w:szCs w:val="22"/>
        </w:rPr>
        <w:t>，低于</w:t>
      </w:r>
      <w:r>
        <w:rPr>
          <w:rFonts w:ascii="华文楷体" w:hAnsi="华文楷体" w:eastAsia="华文楷体" w:cs="华文楷体"/>
          <w:color w:val="FF0000"/>
          <w:szCs w:val="22"/>
        </w:rPr>
        <w:t>9%</w:t>
      </w:r>
      <w:r>
        <w:rPr>
          <w:rFonts w:hint="eastAsia" w:ascii="华文楷体" w:hAnsi="华文楷体" w:eastAsia="华文楷体" w:cs="华文楷体"/>
          <w:color w:val="FF0000"/>
          <w:szCs w:val="22"/>
        </w:rPr>
        <w:t>。考虑到目前摩擦阻尼器施加预压力的工艺不同，故本标准考虑对同一摩擦消能器</w:t>
      </w:r>
      <w:r>
        <w:rPr>
          <w:rFonts w:ascii="华文楷体" w:hAnsi="华文楷体" w:eastAsia="华文楷体" w:cs="华文楷体"/>
          <w:color w:val="FF0000"/>
          <w:szCs w:val="22"/>
        </w:rPr>
        <w:t>1000h</w:t>
      </w:r>
      <w:r>
        <w:rPr>
          <w:rFonts w:hint="eastAsia" w:ascii="华文楷体" w:hAnsi="华文楷体" w:eastAsia="华文楷体" w:cs="华文楷体"/>
          <w:color w:val="FF0000"/>
          <w:szCs w:val="22"/>
        </w:rPr>
        <w:t>内进行两次检测，其性能指标满足相关标准要求。</w:t>
      </w:r>
    </w:p>
    <w:p>
      <w:pPr>
        <w:pStyle w:val="107"/>
        <w:spacing w:before="156" w:after="156"/>
        <w:jc w:val="center"/>
      </w:pPr>
      <w:r>
        <w:rPr>
          <w:rFonts w:hint="eastAsia"/>
        </w:rPr>
        <w:t>黏滞消能器</w:t>
      </w:r>
    </w:p>
    <w:p>
      <w:pPr>
        <w:pStyle w:val="167"/>
      </w:pPr>
      <w:r>
        <w:rPr>
          <w:rFonts w:hint="eastAsia"/>
        </w:rPr>
        <w:t>黏滞消能器是黏滞阻尼器和黏滞阻尼墙的统称，其外观应符合下列表7.5.1规定：</w:t>
      </w:r>
    </w:p>
    <w:p>
      <w:pPr>
        <w:pStyle w:val="114"/>
        <w:numPr>
          <w:ilvl w:val="0"/>
          <w:numId w:val="0"/>
        </w:numPr>
        <w:spacing w:before="156" w:after="156"/>
      </w:pPr>
      <w:r>
        <w:rPr>
          <w:rFonts w:hint="eastAsia"/>
        </w:rPr>
        <w:t>表7.5.1  黏滞消能器外观要求</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99"/>
        <w:gridCol w:w="4253"/>
        <w:gridCol w:w="43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699" w:type="dxa"/>
            <w:tcBorders>
              <w:top w:val="single" w:color="auto" w:sz="8" w:space="0"/>
              <w:bottom w:val="single" w:color="auto" w:sz="8" w:space="0"/>
            </w:tcBorders>
            <w:shd w:val="clear" w:color="auto" w:fill="auto"/>
            <w:vAlign w:val="center"/>
          </w:tcPr>
          <w:p>
            <w:pPr>
              <w:pStyle w:val="180"/>
            </w:pPr>
            <w:r>
              <w:rPr>
                <w:rFonts w:hint="eastAsia"/>
              </w:rPr>
              <w:t>序号</w:t>
            </w:r>
          </w:p>
        </w:tc>
        <w:tc>
          <w:tcPr>
            <w:tcW w:w="4253" w:type="dxa"/>
            <w:tcBorders>
              <w:top w:val="single" w:color="auto" w:sz="8" w:space="0"/>
              <w:bottom w:val="single" w:color="auto" w:sz="8" w:space="0"/>
            </w:tcBorders>
            <w:shd w:val="clear" w:color="auto" w:fill="auto"/>
            <w:vAlign w:val="center"/>
          </w:tcPr>
          <w:p>
            <w:pPr>
              <w:pStyle w:val="180"/>
            </w:pPr>
            <w:r>
              <w:rPr>
                <w:rFonts w:hint="eastAsia"/>
              </w:rPr>
              <w:t>黏滞阻尼器</w:t>
            </w:r>
          </w:p>
        </w:tc>
        <w:tc>
          <w:tcPr>
            <w:tcW w:w="4382" w:type="dxa"/>
            <w:tcBorders>
              <w:top w:val="single" w:color="auto" w:sz="8" w:space="0"/>
              <w:bottom w:val="single" w:color="auto" w:sz="8" w:space="0"/>
            </w:tcBorders>
            <w:shd w:val="clear" w:color="auto" w:fill="auto"/>
            <w:vAlign w:val="center"/>
          </w:tcPr>
          <w:p>
            <w:pPr>
              <w:pStyle w:val="180"/>
            </w:pPr>
            <w:r>
              <w:rPr>
                <w:rFonts w:hint="eastAsia"/>
              </w:rPr>
              <w:t>黏滞阻尼墙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Borders>
              <w:top w:val="single" w:color="auto" w:sz="8" w:space="0"/>
            </w:tcBorders>
            <w:shd w:val="clear" w:color="auto" w:fill="auto"/>
            <w:vAlign w:val="center"/>
          </w:tcPr>
          <w:p>
            <w:pPr>
              <w:pStyle w:val="180"/>
            </w:pPr>
            <w:r>
              <w:t>1</w:t>
            </w:r>
          </w:p>
        </w:tc>
        <w:tc>
          <w:tcPr>
            <w:tcW w:w="8635" w:type="dxa"/>
            <w:gridSpan w:val="2"/>
            <w:tcBorders>
              <w:top w:val="single" w:color="auto" w:sz="8" w:space="0"/>
            </w:tcBorders>
            <w:shd w:val="clear" w:color="auto" w:fill="auto"/>
            <w:vAlign w:val="center"/>
          </w:tcPr>
          <w:p>
            <w:pPr>
              <w:pStyle w:val="180"/>
            </w:pPr>
            <w:r>
              <w:rPr>
                <w:rFonts w:hint="eastAsia"/>
              </w:rPr>
              <w:t>外观应表面平整、无机械损伤、外表应采用防锈措施，涂层应均匀。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shd w:val="clear" w:color="auto" w:fill="auto"/>
            <w:vAlign w:val="center"/>
          </w:tcPr>
          <w:p>
            <w:pPr>
              <w:pStyle w:val="180"/>
            </w:pPr>
            <w:r>
              <w:t>2</w:t>
            </w:r>
          </w:p>
        </w:tc>
        <w:tc>
          <w:tcPr>
            <w:tcW w:w="8635" w:type="dxa"/>
            <w:gridSpan w:val="2"/>
            <w:shd w:val="clear" w:color="auto" w:fill="auto"/>
            <w:vAlign w:val="center"/>
          </w:tcPr>
          <w:p>
            <w:pPr>
              <w:pStyle w:val="180"/>
            </w:pPr>
            <w:r>
              <w:rPr>
                <w:rFonts w:hint="eastAsia"/>
              </w:rPr>
              <w:t>密封处制作应精细、无渗漏。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shd w:val="clear" w:color="auto" w:fill="auto"/>
            <w:vAlign w:val="center"/>
          </w:tcPr>
          <w:p>
            <w:pPr>
              <w:pStyle w:val="180"/>
            </w:pPr>
            <w:r>
              <w:t>3</w:t>
            </w:r>
          </w:p>
        </w:tc>
        <w:tc>
          <w:tcPr>
            <w:tcW w:w="4253" w:type="dxa"/>
            <w:shd w:val="clear" w:color="auto" w:fill="auto"/>
            <w:vAlign w:val="center"/>
          </w:tcPr>
          <w:p>
            <w:pPr>
              <w:pStyle w:val="180"/>
            </w:pPr>
            <w:r>
              <w:rPr>
                <w:rFonts w:hint="eastAsia"/>
              </w:rPr>
              <w:t>尺寸允许偏差应为产品设计值的±2mm。</w:t>
            </w:r>
          </w:p>
        </w:tc>
        <w:tc>
          <w:tcPr>
            <w:tcW w:w="4382" w:type="dxa"/>
            <w:shd w:val="clear" w:color="auto" w:fill="auto"/>
            <w:vAlign w:val="center"/>
          </w:tcPr>
          <w:p>
            <w:pPr>
              <w:pStyle w:val="180"/>
            </w:pPr>
            <w:r>
              <w:rPr>
                <w:rFonts w:hint="eastAsia"/>
              </w:rPr>
              <w:t>长度误差应为设计值±3mm；截面有效尺寸偏差应为产品设计值的±2mm。</w:t>
            </w:r>
          </w:p>
        </w:tc>
      </w:tr>
    </w:tbl>
    <w:p>
      <w:pPr>
        <w:pStyle w:val="167"/>
      </w:pPr>
      <w:r>
        <w:rPr>
          <w:rFonts w:hint="eastAsia"/>
        </w:rPr>
        <w:t>黏滞消能器的阻尼材料要求黏温关系稳定，闪点高，不易燃烧，不易挥发，无毒，抗老化性能强。钢材应根据设计需求选择，其余材料应符合现行行业标准《建筑消能阻尼器》JG/T 209的规定。</w:t>
      </w:r>
    </w:p>
    <w:p>
      <w:pPr>
        <w:pStyle w:val="167"/>
      </w:pPr>
      <w:r>
        <w:rPr>
          <w:rFonts w:hint="eastAsia"/>
        </w:rPr>
        <w:t>黏滞消能器的力学性能要求和试验方法应符合表7.5.3-1和表7.5.3-2的规定，实测产品在试验后应无渗漏、无裂纹。</w:t>
      </w:r>
    </w:p>
    <w:p>
      <w:pPr>
        <w:pStyle w:val="167"/>
        <w:numPr>
          <w:ilvl w:val="0"/>
          <w:numId w:val="0"/>
        </w:numPr>
      </w:pPr>
    </w:p>
    <w:p>
      <w:pPr>
        <w:pStyle w:val="167"/>
        <w:numPr>
          <w:ilvl w:val="0"/>
          <w:numId w:val="0"/>
        </w:numPr>
      </w:pPr>
    </w:p>
    <w:p>
      <w:pPr>
        <w:pStyle w:val="167"/>
        <w:numPr>
          <w:ilvl w:val="0"/>
          <w:numId w:val="0"/>
        </w:numPr>
      </w:pPr>
    </w:p>
    <w:p>
      <w:pPr>
        <w:pStyle w:val="167"/>
        <w:numPr>
          <w:ilvl w:val="0"/>
          <w:numId w:val="0"/>
        </w:numPr>
      </w:pPr>
    </w:p>
    <w:p>
      <w:pPr>
        <w:pStyle w:val="114"/>
        <w:numPr>
          <w:ilvl w:val="0"/>
          <w:numId w:val="0"/>
        </w:numPr>
        <w:spacing w:before="156" w:after="156"/>
      </w:pPr>
      <w:r>
        <w:rPr>
          <w:rFonts w:hint="eastAsia"/>
        </w:rPr>
        <w:t>表7.5.3-1  黏滞消能器常规力学性能要求</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99"/>
        <w:gridCol w:w="709"/>
        <w:gridCol w:w="1984"/>
        <w:gridCol w:w="59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699" w:type="dxa"/>
            <w:tcBorders>
              <w:top w:val="single" w:color="auto" w:sz="8" w:space="0"/>
              <w:bottom w:val="single" w:color="auto" w:sz="8" w:space="0"/>
            </w:tcBorders>
            <w:shd w:val="clear" w:color="auto" w:fill="auto"/>
            <w:vAlign w:val="center"/>
          </w:tcPr>
          <w:p>
            <w:pPr>
              <w:pStyle w:val="180"/>
            </w:pPr>
            <w:r>
              <w:rPr>
                <w:rFonts w:hint="eastAsia"/>
              </w:rPr>
              <w:t>序号</w:t>
            </w:r>
          </w:p>
        </w:tc>
        <w:tc>
          <w:tcPr>
            <w:tcW w:w="709" w:type="dxa"/>
            <w:tcBorders>
              <w:top w:val="single" w:color="auto" w:sz="8" w:space="0"/>
              <w:bottom w:val="single" w:color="auto" w:sz="8" w:space="0"/>
            </w:tcBorders>
            <w:shd w:val="clear" w:color="auto" w:fill="auto"/>
            <w:vAlign w:val="center"/>
          </w:tcPr>
          <w:p>
            <w:pPr>
              <w:pStyle w:val="180"/>
            </w:pPr>
            <w:r>
              <w:rPr>
                <w:rFonts w:hint="eastAsia"/>
              </w:rPr>
              <w:t>项目</w:t>
            </w:r>
          </w:p>
        </w:tc>
        <w:tc>
          <w:tcPr>
            <w:tcW w:w="1984" w:type="dxa"/>
            <w:tcBorders>
              <w:top w:val="single" w:color="auto" w:sz="8" w:space="0"/>
              <w:bottom w:val="single" w:color="auto" w:sz="8" w:space="0"/>
            </w:tcBorders>
            <w:shd w:val="clear" w:color="auto" w:fill="auto"/>
            <w:vAlign w:val="center"/>
          </w:tcPr>
          <w:p>
            <w:pPr>
              <w:pStyle w:val="180"/>
            </w:pPr>
            <w:r>
              <w:rPr>
                <w:rFonts w:hint="eastAsia"/>
              </w:rPr>
              <w:t>性能要求</w:t>
            </w:r>
          </w:p>
        </w:tc>
        <w:tc>
          <w:tcPr>
            <w:tcW w:w="5942" w:type="dxa"/>
            <w:tcBorders>
              <w:top w:val="single" w:color="auto" w:sz="8" w:space="0"/>
              <w:bottom w:val="single" w:color="auto" w:sz="8" w:space="0"/>
            </w:tcBorders>
            <w:shd w:val="clear" w:color="auto" w:fill="auto"/>
            <w:vAlign w:val="center"/>
          </w:tcPr>
          <w:p>
            <w:pPr>
              <w:pStyle w:val="180"/>
            </w:pPr>
            <w:r>
              <w:rPr>
                <w:rFonts w:hint="eastAsia" w:ascii="Times New Roman"/>
                <w:color w:val="000000"/>
                <w:szCs w:val="18"/>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Borders>
              <w:top w:val="single" w:color="auto" w:sz="8" w:space="0"/>
            </w:tcBorders>
            <w:shd w:val="clear" w:color="auto" w:fill="auto"/>
            <w:vAlign w:val="center"/>
          </w:tcPr>
          <w:p>
            <w:pPr>
              <w:pStyle w:val="180"/>
            </w:pPr>
            <w:r>
              <w:rPr>
                <w:rFonts w:hint="eastAsia"/>
              </w:rPr>
              <w:t>1</w:t>
            </w:r>
          </w:p>
        </w:tc>
        <w:tc>
          <w:tcPr>
            <w:tcW w:w="709" w:type="dxa"/>
            <w:tcBorders>
              <w:top w:val="single" w:color="auto" w:sz="8" w:space="0"/>
            </w:tcBorders>
            <w:shd w:val="clear" w:color="auto" w:fill="auto"/>
            <w:vAlign w:val="center"/>
          </w:tcPr>
          <w:p>
            <w:pPr>
              <w:pStyle w:val="180"/>
            </w:pPr>
            <w:r>
              <w:rPr>
                <w:rFonts w:hint="eastAsia"/>
              </w:rPr>
              <w:t>极限</w:t>
            </w:r>
          </w:p>
          <w:p>
            <w:pPr>
              <w:pStyle w:val="180"/>
            </w:pPr>
            <w:r>
              <w:rPr>
                <w:rFonts w:hint="eastAsia"/>
              </w:rPr>
              <w:t>位移</w:t>
            </w:r>
          </w:p>
        </w:tc>
        <w:tc>
          <w:tcPr>
            <w:tcW w:w="1984" w:type="dxa"/>
            <w:tcBorders>
              <w:top w:val="single" w:color="auto" w:sz="8" w:space="0"/>
            </w:tcBorders>
            <w:shd w:val="clear" w:color="auto" w:fill="auto"/>
            <w:vAlign w:val="center"/>
          </w:tcPr>
          <w:p>
            <w:pPr>
              <w:pStyle w:val="180"/>
            </w:pPr>
            <w:r>
              <w:rPr>
                <w:rFonts w:hint="eastAsia"/>
              </w:rPr>
              <w:t>每个实测产品极限位移实测值应≥极限位移设计值。</w:t>
            </w:r>
          </w:p>
        </w:tc>
        <w:tc>
          <w:tcPr>
            <w:tcW w:w="5942" w:type="dxa"/>
            <w:tcBorders>
              <w:top w:val="single" w:color="auto" w:sz="8" w:space="0"/>
            </w:tcBorders>
            <w:shd w:val="clear" w:color="auto" w:fill="auto"/>
            <w:vAlign w:val="center"/>
          </w:tcPr>
          <w:p>
            <w:pPr>
              <w:pStyle w:val="180"/>
            </w:pPr>
            <w:r>
              <w:rPr>
                <w:rFonts w:hint="eastAsia" w:ascii="Times New Roman"/>
                <w:color w:val="000000"/>
                <w:szCs w:val="18"/>
              </w:rPr>
              <w:t>采用静力加载试验，控制试验机的加载系统使消能器均速缓慢移动，记录其运动的极限位移值。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shd w:val="clear" w:color="auto" w:fill="auto"/>
            <w:vAlign w:val="center"/>
          </w:tcPr>
          <w:p>
            <w:pPr>
              <w:pStyle w:val="180"/>
            </w:pPr>
            <w:r>
              <w:t>2</w:t>
            </w:r>
          </w:p>
        </w:tc>
        <w:tc>
          <w:tcPr>
            <w:tcW w:w="709" w:type="dxa"/>
            <w:shd w:val="clear" w:color="auto" w:fill="auto"/>
            <w:vAlign w:val="center"/>
          </w:tcPr>
          <w:p>
            <w:pPr>
              <w:pStyle w:val="180"/>
            </w:pPr>
            <w:r>
              <w:rPr>
                <w:rFonts w:hint="eastAsia"/>
              </w:rPr>
              <w:t>最大</w:t>
            </w:r>
          </w:p>
          <w:p>
            <w:pPr>
              <w:pStyle w:val="180"/>
            </w:pPr>
            <w:r>
              <w:rPr>
                <w:rFonts w:hint="eastAsia"/>
              </w:rPr>
              <w:t>阻尼力</w:t>
            </w:r>
          </w:p>
        </w:tc>
        <w:tc>
          <w:tcPr>
            <w:tcW w:w="1984" w:type="dxa"/>
            <w:vMerge w:val="restart"/>
            <w:shd w:val="clear" w:color="auto" w:fill="auto"/>
            <w:vAlign w:val="center"/>
          </w:tcPr>
          <w:p>
            <w:pPr>
              <w:pStyle w:val="180"/>
            </w:pPr>
            <w:r>
              <w:rPr>
                <w:rFonts w:hint="eastAsia"/>
              </w:rPr>
              <w:t xml:space="preserve">每个实测产品的实测值偏差应在产品设计值的±15%以内；一批产品实测值偏差的平均值应在产品设计值的±10%以内。 </w:t>
            </w:r>
          </w:p>
        </w:tc>
        <w:tc>
          <w:tcPr>
            <w:tcW w:w="5942" w:type="dxa"/>
            <w:shd w:val="clear" w:color="auto" w:fill="auto"/>
            <w:vAlign w:val="center"/>
          </w:tcPr>
          <w:p>
            <w:pPr>
              <w:pStyle w:val="180"/>
            </w:pPr>
            <w:r>
              <w:rPr>
                <w:rFonts w:hint="eastAsia" w:ascii="Times New Roman"/>
                <w:szCs w:val="18"/>
              </w:rPr>
              <w:t>采用正弦激励法，用安装正弦波规律变化的输入位移</w:t>
            </w:r>
            <m:oMath>
              <m:r>
                <m:rPr/>
                <w:rPr>
                  <w:rFonts w:ascii="Cambria Math" w:hAnsi="Cambria Math"/>
                  <w:szCs w:val="18"/>
                </w:rPr>
                <m:t>u</m:t>
              </m:r>
              <m:r>
                <m:rPr>
                  <m:sty m:val="p"/>
                </m:rPr>
                <w:rPr>
                  <w:rFonts w:ascii="Cambria Math" w:hAnsi="Cambria Math"/>
                  <w:szCs w:val="18"/>
                </w:rPr>
                <m:t>=</m:t>
              </m:r>
              <m:sSub>
                <m:sSubPr>
                  <m:ctrlPr>
                    <w:rPr>
                      <w:rFonts w:ascii="Cambria Math" w:hAnsi="Cambria Math"/>
                      <w:kern w:val="2"/>
                      <w:szCs w:val="22"/>
                    </w:rPr>
                  </m:ctrlPr>
                </m:sSubPr>
                <m:e>
                  <m:r>
                    <m:rPr/>
                    <w:rPr>
                      <w:rFonts w:ascii="Cambria Math" w:hAnsi="Cambria Math"/>
                      <w:szCs w:val="18"/>
                    </w:rPr>
                    <m:t>u</m:t>
                  </m:r>
                  <m:ctrlPr>
                    <w:rPr>
                      <w:rFonts w:ascii="Cambria Math" w:hAnsi="Cambria Math"/>
                      <w:kern w:val="2"/>
                      <w:szCs w:val="22"/>
                    </w:rPr>
                  </m:ctrlPr>
                </m:e>
                <m:sub>
                  <m:r>
                    <m:rPr/>
                    <w:rPr>
                      <w:rFonts w:ascii="Cambria Math" w:hAnsi="Cambria Math"/>
                      <w:szCs w:val="18"/>
                    </w:rPr>
                    <m:t>0</m:t>
                  </m:r>
                  <m:ctrlPr>
                    <w:rPr>
                      <w:rFonts w:ascii="Cambria Math" w:hAnsi="Cambria Math"/>
                      <w:kern w:val="2"/>
                      <w:szCs w:val="22"/>
                    </w:rPr>
                  </m:ctrlPr>
                </m:sub>
              </m:sSub>
              <m:func>
                <m:funcPr>
                  <m:ctrlPr>
                    <w:rPr>
                      <w:rFonts w:ascii="Cambria Math" w:hAnsi="Cambria Math"/>
                      <w:kern w:val="2"/>
                      <w:szCs w:val="22"/>
                    </w:rPr>
                  </m:ctrlPr>
                </m:funcPr>
                <m:fName>
                  <m:r>
                    <m:rPr>
                      <m:sty m:val="p"/>
                    </m:rPr>
                    <w:rPr>
                      <w:rFonts w:ascii="Cambria Math" w:hAnsi="Cambria Math"/>
                      <w:szCs w:val="18"/>
                    </w:rPr>
                    <m:t>sin</m:t>
                  </m:r>
                  <m:ctrlPr>
                    <w:rPr>
                      <w:rFonts w:ascii="Cambria Math" w:hAnsi="Cambria Math"/>
                      <w:kern w:val="2"/>
                      <w:szCs w:val="22"/>
                    </w:rPr>
                  </m:ctrlPr>
                </m:fName>
                <m:e>
                  <m:r>
                    <m:rPr/>
                    <w:rPr>
                      <w:rFonts w:ascii="Cambria Math" w:hAnsi="Cambria Math"/>
                      <w:szCs w:val="18"/>
                    </w:rPr>
                    <m:t>ωt</m:t>
                  </m:r>
                  <m:ctrlPr>
                    <w:rPr>
                      <w:rFonts w:ascii="Cambria Math" w:hAnsi="Cambria Math"/>
                      <w:kern w:val="2"/>
                      <w:szCs w:val="22"/>
                    </w:rPr>
                  </m:ctrlPr>
                </m:e>
              </m:func>
            </m:oMath>
            <w:r>
              <w:rPr>
                <w:rFonts w:hint="eastAsia" w:ascii="Times New Roman"/>
                <w:szCs w:val="18"/>
              </w:rPr>
              <w:t>，对消能器施加频率为</w:t>
            </w:r>
            <w:r>
              <w:rPr>
                <w:rFonts w:ascii="Times New Roman"/>
                <w:i/>
                <w:szCs w:val="18"/>
              </w:rPr>
              <w:t>f</w:t>
            </w:r>
            <w:r>
              <w:rPr>
                <w:rFonts w:ascii="Times New Roman"/>
                <w:szCs w:val="18"/>
                <w:vertAlign w:val="subscript"/>
              </w:rPr>
              <w:t>1</w:t>
            </w:r>
            <w:r>
              <w:rPr>
                <w:rFonts w:hint="eastAsia" w:ascii="Times New Roman"/>
                <w:szCs w:val="18"/>
              </w:rPr>
              <w:t>、位移幅值为</w:t>
            </w:r>
            <m:oMath>
              <m:sSub>
                <m:sSubPr>
                  <m:ctrlPr>
                    <w:rPr>
                      <w:rFonts w:ascii="Cambria Math" w:hAnsi="Cambria Math"/>
                      <w:kern w:val="2"/>
                      <w:szCs w:val="22"/>
                    </w:rPr>
                  </m:ctrlPr>
                </m:sSubPr>
                <m:e>
                  <m:r>
                    <m:rPr/>
                    <w:rPr>
                      <w:rFonts w:ascii="Cambria Math" w:hAnsi="Cambria Math"/>
                      <w:szCs w:val="18"/>
                    </w:rPr>
                    <m:t>u</m:t>
                  </m:r>
                  <m:ctrlPr>
                    <w:rPr>
                      <w:rFonts w:ascii="Cambria Math" w:hAnsi="Cambria Math"/>
                      <w:kern w:val="2"/>
                      <w:szCs w:val="22"/>
                    </w:rPr>
                  </m:ctrlPr>
                </m:e>
                <m:sub>
                  <m:r>
                    <m:rPr/>
                    <w:rPr>
                      <w:rFonts w:ascii="Cambria Math" w:hAnsi="Cambria Math"/>
                      <w:szCs w:val="18"/>
                    </w:rPr>
                    <m:t>0</m:t>
                  </m:r>
                  <m:ctrlPr>
                    <w:rPr>
                      <w:rFonts w:ascii="Cambria Math" w:hAnsi="Cambria Math"/>
                      <w:kern w:val="2"/>
                      <w:szCs w:val="22"/>
                    </w:rPr>
                  </m:ctrlPr>
                </m:sub>
              </m:sSub>
            </m:oMath>
            <w:r>
              <w:rPr>
                <w:rFonts w:hint="eastAsia" w:ascii="Times New Roman"/>
                <w:szCs w:val="18"/>
              </w:rPr>
              <w:t>的正弦波，连续进行</w:t>
            </w:r>
            <w:r>
              <w:rPr>
                <w:rFonts w:ascii="Times New Roman"/>
                <w:szCs w:val="18"/>
              </w:rPr>
              <w:t>5</w:t>
            </w:r>
            <w:r>
              <w:rPr>
                <w:rFonts w:hint="eastAsia" w:ascii="Times New Roman"/>
                <w:szCs w:val="18"/>
              </w:rPr>
              <w:t>个循环，记录第</w:t>
            </w:r>
            <w:r>
              <w:rPr>
                <w:rFonts w:ascii="Times New Roman"/>
                <w:szCs w:val="18"/>
              </w:rPr>
              <w:t>3</w:t>
            </w:r>
            <w:r>
              <w:rPr>
                <w:rFonts w:hint="eastAsia" w:ascii="Times New Roman"/>
                <w:szCs w:val="18"/>
              </w:rPr>
              <w:t>个循环所对应的最大阻尼力作为实测值。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699" w:type="dxa"/>
            <w:shd w:val="clear" w:color="auto" w:fill="auto"/>
            <w:vAlign w:val="center"/>
          </w:tcPr>
          <w:p>
            <w:pPr>
              <w:pStyle w:val="180"/>
            </w:pPr>
            <w:r>
              <w:t>3</w:t>
            </w:r>
          </w:p>
        </w:tc>
        <w:tc>
          <w:tcPr>
            <w:tcW w:w="709" w:type="dxa"/>
            <w:shd w:val="clear" w:color="auto" w:fill="auto"/>
            <w:vAlign w:val="center"/>
          </w:tcPr>
          <w:p>
            <w:pPr>
              <w:pStyle w:val="180"/>
            </w:pPr>
            <w:r>
              <w:rPr>
                <w:rFonts w:hint="eastAsia"/>
              </w:rPr>
              <w:t>阻尼</w:t>
            </w:r>
          </w:p>
          <w:p>
            <w:pPr>
              <w:pStyle w:val="180"/>
            </w:pPr>
            <w:r>
              <w:rPr>
                <w:rFonts w:hint="eastAsia"/>
              </w:rPr>
              <w:t>系数</w:t>
            </w:r>
          </w:p>
        </w:tc>
        <w:tc>
          <w:tcPr>
            <w:tcW w:w="1984" w:type="dxa"/>
            <w:vMerge w:val="continue"/>
            <w:shd w:val="clear" w:color="auto" w:fill="auto"/>
            <w:vAlign w:val="center"/>
          </w:tcPr>
          <w:p>
            <w:pPr>
              <w:pStyle w:val="180"/>
            </w:pPr>
          </w:p>
        </w:tc>
        <w:tc>
          <w:tcPr>
            <w:tcW w:w="5942" w:type="dxa"/>
            <w:vMerge w:val="restart"/>
            <w:shd w:val="clear" w:color="auto" w:fill="auto"/>
            <w:vAlign w:val="center"/>
          </w:tcPr>
          <w:p>
            <w:pPr>
              <w:pStyle w:val="180"/>
            </w:pPr>
            <w:r>
              <w:rPr>
                <w:rFonts w:ascii="Times New Roman"/>
                <w:szCs w:val="18"/>
              </w:rPr>
              <w:t xml:space="preserve"> 1</w:t>
            </w:r>
            <w:r>
              <w:rPr>
                <w:rFonts w:hint="eastAsia" w:ascii="Times New Roman"/>
                <w:szCs w:val="18"/>
              </w:rPr>
              <w:t>）采用正弦激励法，用安装正弦波规律变化的输入位移</w:t>
            </w:r>
            <m:oMath>
              <m:r>
                <m:rPr/>
                <w:rPr>
                  <w:rFonts w:ascii="Cambria Math" w:hAnsi="Cambria Math"/>
                  <w:szCs w:val="18"/>
                </w:rPr>
                <m:t>u</m:t>
              </m:r>
              <m:r>
                <m:rPr>
                  <m:sty m:val="p"/>
                </m:rPr>
                <w:rPr>
                  <w:rFonts w:ascii="Cambria Math" w:hAnsi="Cambria Math"/>
                  <w:szCs w:val="18"/>
                </w:rPr>
                <m:t>=</m:t>
              </m:r>
              <m:sSub>
                <m:sSubPr>
                  <m:ctrlPr>
                    <w:rPr>
                      <w:rFonts w:ascii="Cambria Math" w:hAnsi="Cambria Math"/>
                      <w:kern w:val="2"/>
                      <w:szCs w:val="22"/>
                    </w:rPr>
                  </m:ctrlPr>
                </m:sSubPr>
                <m:e>
                  <m:r>
                    <m:rPr/>
                    <w:rPr>
                      <w:rFonts w:ascii="Cambria Math" w:hAnsi="Cambria Math"/>
                      <w:szCs w:val="18"/>
                    </w:rPr>
                    <m:t>u</m:t>
                  </m:r>
                  <m:ctrlPr>
                    <w:rPr>
                      <w:rFonts w:ascii="Cambria Math" w:hAnsi="Cambria Math"/>
                      <w:kern w:val="2"/>
                      <w:szCs w:val="22"/>
                    </w:rPr>
                  </m:ctrlPr>
                </m:e>
                <m:sub>
                  <m:r>
                    <m:rPr/>
                    <w:rPr>
                      <w:rFonts w:ascii="Cambria Math" w:hAnsi="Cambria Math"/>
                      <w:szCs w:val="18"/>
                    </w:rPr>
                    <m:t>0</m:t>
                  </m:r>
                  <m:ctrlPr>
                    <w:rPr>
                      <w:rFonts w:ascii="Cambria Math" w:hAnsi="Cambria Math"/>
                      <w:kern w:val="2"/>
                      <w:szCs w:val="22"/>
                    </w:rPr>
                  </m:ctrlPr>
                </m:sub>
              </m:sSub>
              <m:func>
                <m:funcPr>
                  <m:ctrlPr>
                    <w:rPr>
                      <w:rFonts w:ascii="Cambria Math" w:hAnsi="Cambria Math"/>
                      <w:kern w:val="2"/>
                      <w:szCs w:val="22"/>
                    </w:rPr>
                  </m:ctrlPr>
                </m:funcPr>
                <m:fName>
                  <m:r>
                    <m:rPr>
                      <m:sty m:val="p"/>
                    </m:rPr>
                    <w:rPr>
                      <w:rFonts w:ascii="Cambria Math" w:hAnsi="Cambria Math"/>
                      <w:szCs w:val="18"/>
                    </w:rPr>
                    <m:t>sin</m:t>
                  </m:r>
                  <m:ctrlPr>
                    <w:rPr>
                      <w:rFonts w:ascii="Cambria Math" w:hAnsi="Cambria Math"/>
                      <w:kern w:val="2"/>
                      <w:szCs w:val="22"/>
                    </w:rPr>
                  </m:ctrlPr>
                </m:fName>
                <m:e>
                  <m:r>
                    <m:rPr/>
                    <w:rPr>
                      <w:rFonts w:ascii="Cambria Math" w:hAnsi="Cambria Math"/>
                      <w:szCs w:val="18"/>
                    </w:rPr>
                    <m:t>ωt</m:t>
                  </m:r>
                  <m:ctrlPr>
                    <w:rPr>
                      <w:rFonts w:ascii="Cambria Math" w:hAnsi="Cambria Math"/>
                      <w:kern w:val="2"/>
                      <w:szCs w:val="22"/>
                    </w:rPr>
                  </m:ctrlPr>
                </m:e>
              </m:func>
            </m:oMath>
            <w:r>
              <w:rPr>
                <w:rFonts w:hint="eastAsia" w:ascii="Times New Roman"/>
                <w:szCs w:val="18"/>
              </w:rPr>
              <w:t>，来控制试验机的加载系统；</w:t>
            </w:r>
            <w:r>
              <w:rPr>
                <w:rFonts w:ascii="Times New Roman"/>
                <w:szCs w:val="18"/>
              </w:rPr>
              <w:br w:type="textWrapping"/>
            </w:r>
            <w:r>
              <w:rPr>
                <w:rFonts w:ascii="Times New Roman"/>
                <w:szCs w:val="18"/>
              </w:rPr>
              <w:t xml:space="preserve"> 2</w:t>
            </w:r>
            <w:r>
              <w:rPr>
                <w:rFonts w:hint="eastAsia" w:ascii="Times New Roman"/>
                <w:szCs w:val="18"/>
              </w:rPr>
              <w:t>）对消能器分别施加频率为</w:t>
            </w:r>
            <w:r>
              <w:rPr>
                <w:rFonts w:ascii="Times New Roman"/>
                <w:i/>
                <w:szCs w:val="18"/>
              </w:rPr>
              <w:t>f</w:t>
            </w:r>
            <w:r>
              <w:rPr>
                <w:rFonts w:ascii="Times New Roman"/>
                <w:szCs w:val="18"/>
                <w:vertAlign w:val="subscript"/>
              </w:rPr>
              <w:t>1</w:t>
            </w:r>
            <w:r>
              <w:rPr>
                <w:rFonts w:hint="eastAsia" w:ascii="Times New Roman"/>
                <w:szCs w:val="18"/>
              </w:rPr>
              <w:t>输入位移幅值为</w:t>
            </w:r>
            <w:r>
              <w:rPr>
                <w:rFonts w:ascii="Times New Roman"/>
                <w:szCs w:val="18"/>
              </w:rPr>
              <w:t>0.1</w:t>
            </w:r>
            <m:oMath>
              <m:sSub>
                <m:sSubPr>
                  <m:ctrlPr>
                    <w:rPr>
                      <w:rFonts w:ascii="Cambria Math" w:hAnsi="Cambria Math"/>
                      <w:kern w:val="2"/>
                      <w:szCs w:val="22"/>
                    </w:rPr>
                  </m:ctrlPr>
                </m:sSubPr>
                <m:e>
                  <m:r>
                    <m:rPr/>
                    <w:rPr>
                      <w:rFonts w:ascii="Cambria Math" w:hAnsi="Cambria Math"/>
                      <w:szCs w:val="18"/>
                    </w:rPr>
                    <m:t>u</m:t>
                  </m:r>
                  <m:ctrlPr>
                    <w:rPr>
                      <w:rFonts w:ascii="Cambria Math" w:hAnsi="Cambria Math"/>
                      <w:kern w:val="2"/>
                      <w:szCs w:val="22"/>
                    </w:rPr>
                  </m:ctrlPr>
                </m:e>
                <m:sub>
                  <m:r>
                    <m:rPr/>
                    <w:rPr>
                      <w:rFonts w:ascii="Cambria Math" w:hAnsi="Cambria Math"/>
                      <w:szCs w:val="18"/>
                    </w:rPr>
                    <m:t>0</m:t>
                  </m:r>
                  <m:ctrlPr>
                    <w:rPr>
                      <w:rFonts w:ascii="Cambria Math" w:hAnsi="Cambria Math"/>
                      <w:kern w:val="2"/>
                      <w:szCs w:val="22"/>
                    </w:rPr>
                  </m:ctrlPr>
                </m:sub>
              </m:sSub>
            </m:oMath>
            <w:r>
              <w:rPr>
                <w:rFonts w:hint="eastAsia" w:ascii="Times New Roman"/>
                <w:szCs w:val="18"/>
              </w:rPr>
              <w:t>、</w:t>
            </w:r>
            <w:r>
              <w:rPr>
                <w:rFonts w:ascii="Times New Roman"/>
                <w:szCs w:val="18"/>
              </w:rPr>
              <w:t>0.2</w:t>
            </w:r>
            <m:oMath>
              <m:sSub>
                <m:sSubPr>
                  <m:ctrlPr>
                    <w:rPr>
                      <w:rFonts w:ascii="Cambria Math" w:hAnsi="Cambria Math"/>
                      <w:kern w:val="2"/>
                      <w:szCs w:val="22"/>
                    </w:rPr>
                  </m:ctrlPr>
                </m:sSubPr>
                <m:e>
                  <m:r>
                    <m:rPr/>
                    <w:rPr>
                      <w:rFonts w:ascii="Cambria Math" w:hAnsi="Cambria Math"/>
                      <w:szCs w:val="18"/>
                    </w:rPr>
                    <m:t>u</m:t>
                  </m:r>
                  <m:ctrlPr>
                    <w:rPr>
                      <w:rFonts w:ascii="Cambria Math" w:hAnsi="Cambria Math"/>
                      <w:kern w:val="2"/>
                      <w:szCs w:val="22"/>
                    </w:rPr>
                  </m:ctrlPr>
                </m:e>
                <m:sub>
                  <m:r>
                    <m:rPr/>
                    <w:rPr>
                      <w:rFonts w:ascii="Cambria Math" w:hAnsi="Cambria Math"/>
                      <w:szCs w:val="18"/>
                    </w:rPr>
                    <m:t>0</m:t>
                  </m:r>
                  <m:ctrlPr>
                    <w:rPr>
                      <w:rFonts w:ascii="Cambria Math" w:hAnsi="Cambria Math"/>
                      <w:kern w:val="2"/>
                      <w:szCs w:val="22"/>
                    </w:rPr>
                  </m:ctrlPr>
                </m:sub>
              </m:sSub>
            </m:oMath>
            <w:r>
              <w:rPr>
                <w:rFonts w:hint="eastAsia" w:ascii="Times New Roman"/>
                <w:szCs w:val="18"/>
              </w:rPr>
              <w:t>、</w:t>
            </w:r>
            <w:r>
              <w:rPr>
                <w:rFonts w:ascii="Times New Roman"/>
                <w:szCs w:val="18"/>
              </w:rPr>
              <w:t>0.5</w:t>
            </w:r>
            <m:oMath>
              <m:sSub>
                <m:sSubPr>
                  <m:ctrlPr>
                    <w:rPr>
                      <w:rFonts w:ascii="Cambria Math" w:hAnsi="Cambria Math"/>
                      <w:kern w:val="2"/>
                      <w:szCs w:val="22"/>
                    </w:rPr>
                  </m:ctrlPr>
                </m:sSubPr>
                <m:e>
                  <m:r>
                    <m:rPr/>
                    <w:rPr>
                      <w:rFonts w:ascii="Cambria Math" w:hAnsi="Cambria Math"/>
                      <w:szCs w:val="18"/>
                    </w:rPr>
                    <m:t>u</m:t>
                  </m:r>
                  <m:ctrlPr>
                    <w:rPr>
                      <w:rFonts w:ascii="Cambria Math" w:hAnsi="Cambria Math"/>
                      <w:kern w:val="2"/>
                      <w:szCs w:val="22"/>
                    </w:rPr>
                  </m:ctrlPr>
                </m:e>
                <m:sub>
                  <m:r>
                    <m:rPr/>
                    <w:rPr>
                      <w:rFonts w:ascii="Cambria Math" w:hAnsi="Cambria Math"/>
                      <w:szCs w:val="18"/>
                    </w:rPr>
                    <m:t>0</m:t>
                  </m:r>
                  <m:ctrlPr>
                    <w:rPr>
                      <w:rFonts w:ascii="Cambria Math" w:hAnsi="Cambria Math"/>
                      <w:kern w:val="2"/>
                      <w:szCs w:val="22"/>
                    </w:rPr>
                  </m:ctrlPr>
                </m:sub>
              </m:sSub>
            </m:oMath>
            <w:r>
              <w:rPr>
                <w:rFonts w:hint="eastAsia" w:ascii="Times New Roman"/>
                <w:szCs w:val="18"/>
              </w:rPr>
              <w:t>、</w:t>
            </w:r>
            <w:r>
              <w:rPr>
                <w:rFonts w:ascii="Times New Roman"/>
                <w:szCs w:val="18"/>
              </w:rPr>
              <w:t>0.7</w:t>
            </w:r>
            <m:oMath>
              <m:sSub>
                <m:sSubPr>
                  <m:ctrlPr>
                    <w:rPr>
                      <w:rFonts w:ascii="Cambria Math" w:hAnsi="Cambria Math"/>
                      <w:kern w:val="2"/>
                      <w:szCs w:val="22"/>
                    </w:rPr>
                  </m:ctrlPr>
                </m:sSubPr>
                <m:e>
                  <m:r>
                    <m:rPr/>
                    <w:rPr>
                      <w:rFonts w:ascii="Cambria Math" w:hAnsi="Cambria Math"/>
                      <w:szCs w:val="18"/>
                    </w:rPr>
                    <m:t>u</m:t>
                  </m:r>
                  <m:ctrlPr>
                    <w:rPr>
                      <w:rFonts w:ascii="Cambria Math" w:hAnsi="Cambria Math"/>
                      <w:kern w:val="2"/>
                      <w:szCs w:val="22"/>
                    </w:rPr>
                  </m:ctrlPr>
                </m:e>
                <m:sub>
                  <m:r>
                    <m:rPr/>
                    <w:rPr>
                      <w:rFonts w:ascii="Cambria Math" w:hAnsi="Cambria Math"/>
                      <w:szCs w:val="18"/>
                    </w:rPr>
                    <m:t>0</m:t>
                  </m:r>
                  <m:ctrlPr>
                    <w:rPr>
                      <w:rFonts w:ascii="Cambria Math" w:hAnsi="Cambria Math"/>
                      <w:kern w:val="2"/>
                      <w:szCs w:val="22"/>
                    </w:rPr>
                  </m:ctrlPr>
                </m:sub>
              </m:sSub>
            </m:oMath>
            <w:r>
              <w:rPr>
                <w:rFonts w:hint="eastAsia" w:ascii="Times New Roman"/>
                <w:szCs w:val="18"/>
              </w:rPr>
              <w:t>、</w:t>
            </w:r>
            <w:r>
              <w:rPr>
                <w:rFonts w:ascii="Times New Roman"/>
                <w:szCs w:val="18"/>
              </w:rPr>
              <w:t>1.0</w:t>
            </w:r>
            <m:oMath>
              <m:sSub>
                <m:sSubPr>
                  <m:ctrlPr>
                    <w:rPr>
                      <w:rFonts w:ascii="Cambria Math" w:hAnsi="Cambria Math"/>
                      <w:kern w:val="2"/>
                      <w:szCs w:val="22"/>
                    </w:rPr>
                  </m:ctrlPr>
                </m:sSubPr>
                <m:e>
                  <m:r>
                    <m:rPr/>
                    <w:rPr>
                      <w:rFonts w:ascii="Cambria Math" w:hAnsi="Cambria Math"/>
                      <w:szCs w:val="18"/>
                    </w:rPr>
                    <m:t>u</m:t>
                  </m:r>
                  <m:ctrlPr>
                    <w:rPr>
                      <w:rFonts w:ascii="Cambria Math" w:hAnsi="Cambria Math"/>
                      <w:kern w:val="2"/>
                      <w:szCs w:val="22"/>
                    </w:rPr>
                  </m:ctrlPr>
                </m:e>
                <m:sub>
                  <m:r>
                    <m:rPr/>
                    <w:rPr>
                      <w:rFonts w:ascii="Cambria Math" w:hAnsi="Cambria Math"/>
                      <w:szCs w:val="18"/>
                    </w:rPr>
                    <m:t>0</m:t>
                  </m:r>
                  <m:ctrlPr>
                    <w:rPr>
                      <w:rFonts w:ascii="Cambria Math" w:hAnsi="Cambria Math"/>
                      <w:kern w:val="2"/>
                      <w:szCs w:val="22"/>
                    </w:rPr>
                  </m:ctrlPr>
                </m:sub>
              </m:sSub>
            </m:oMath>
            <w:r>
              <w:rPr>
                <w:rFonts w:hint="eastAsia" w:ascii="Times New Roman"/>
                <w:szCs w:val="18"/>
              </w:rPr>
              <w:t>、</w:t>
            </w:r>
            <w:r>
              <w:rPr>
                <w:rFonts w:ascii="Times New Roman"/>
                <w:szCs w:val="18"/>
              </w:rPr>
              <w:t>1.2</w:t>
            </w:r>
            <m:oMath>
              <m:sSub>
                <m:sSubPr>
                  <m:ctrlPr>
                    <w:rPr>
                      <w:rFonts w:ascii="Cambria Math" w:hAnsi="Cambria Math"/>
                      <w:kern w:val="2"/>
                      <w:szCs w:val="22"/>
                    </w:rPr>
                  </m:ctrlPr>
                </m:sSubPr>
                <m:e>
                  <m:r>
                    <m:rPr/>
                    <w:rPr>
                      <w:rFonts w:ascii="Cambria Math" w:hAnsi="Cambria Math"/>
                      <w:szCs w:val="18"/>
                    </w:rPr>
                    <m:t>u</m:t>
                  </m:r>
                  <m:ctrlPr>
                    <w:rPr>
                      <w:rFonts w:ascii="Cambria Math" w:hAnsi="Cambria Math"/>
                      <w:kern w:val="2"/>
                      <w:szCs w:val="22"/>
                    </w:rPr>
                  </m:ctrlPr>
                </m:e>
                <m:sub>
                  <m:r>
                    <m:rPr/>
                    <w:rPr>
                      <w:rFonts w:ascii="Cambria Math" w:hAnsi="Cambria Math"/>
                      <w:szCs w:val="18"/>
                    </w:rPr>
                    <m:t>0</m:t>
                  </m:r>
                  <m:ctrlPr>
                    <w:rPr>
                      <w:rFonts w:ascii="Cambria Math" w:hAnsi="Cambria Math"/>
                      <w:kern w:val="2"/>
                      <w:szCs w:val="22"/>
                    </w:rPr>
                  </m:ctrlPr>
                </m:sub>
              </m:sSub>
            </m:oMath>
            <w:r>
              <w:rPr>
                <w:rFonts w:hint="eastAsia" w:ascii="Times New Roman"/>
                <w:szCs w:val="18"/>
              </w:rPr>
              <w:t>，连续进行</w:t>
            </w:r>
            <w:r>
              <w:rPr>
                <w:rFonts w:ascii="Times New Roman"/>
                <w:szCs w:val="18"/>
              </w:rPr>
              <w:t>5</w:t>
            </w:r>
            <w:r>
              <w:rPr>
                <w:rFonts w:hint="eastAsia" w:ascii="Times New Roman"/>
                <w:szCs w:val="18"/>
              </w:rPr>
              <w:t>个循环，每次均绘制阻尼力</w:t>
            </w:r>
            <w:r>
              <w:rPr>
                <w:rFonts w:ascii="Times New Roman"/>
                <w:szCs w:val="18"/>
              </w:rPr>
              <w:t>-</w:t>
            </w:r>
            <w:r>
              <w:rPr>
                <w:rFonts w:hint="eastAsia" w:ascii="Times New Roman"/>
                <w:szCs w:val="18"/>
              </w:rPr>
              <w:t>位移滞回曲线，并计算各工况下第</w:t>
            </w:r>
            <w:r>
              <w:rPr>
                <w:rFonts w:ascii="Times New Roman"/>
                <w:szCs w:val="18"/>
              </w:rPr>
              <w:t>3</w:t>
            </w:r>
            <w:r>
              <w:rPr>
                <w:rFonts w:hint="eastAsia" w:ascii="Times New Roman"/>
                <w:szCs w:val="18"/>
              </w:rPr>
              <w:t>个循环所对应的阻尼系数、阻尼指数、初始刚度作为实测值。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shd w:val="clear" w:color="auto" w:fill="auto"/>
            <w:vAlign w:val="center"/>
          </w:tcPr>
          <w:p>
            <w:pPr>
              <w:pStyle w:val="180"/>
            </w:pPr>
            <w:r>
              <w:t>4</w:t>
            </w:r>
          </w:p>
        </w:tc>
        <w:tc>
          <w:tcPr>
            <w:tcW w:w="709" w:type="dxa"/>
            <w:shd w:val="clear" w:color="auto" w:fill="auto"/>
            <w:vAlign w:val="center"/>
          </w:tcPr>
          <w:p>
            <w:pPr>
              <w:pStyle w:val="180"/>
            </w:pPr>
            <w:r>
              <w:rPr>
                <w:rFonts w:hint="eastAsia"/>
              </w:rPr>
              <w:t>阻尼</w:t>
            </w:r>
          </w:p>
          <w:p>
            <w:pPr>
              <w:pStyle w:val="180"/>
            </w:pPr>
            <w:r>
              <w:rPr>
                <w:rFonts w:hint="eastAsia"/>
              </w:rPr>
              <w:t>指数</w:t>
            </w:r>
          </w:p>
        </w:tc>
        <w:tc>
          <w:tcPr>
            <w:tcW w:w="1984" w:type="dxa"/>
            <w:vMerge w:val="continue"/>
            <w:shd w:val="clear" w:color="auto" w:fill="auto"/>
            <w:vAlign w:val="center"/>
          </w:tcPr>
          <w:p>
            <w:pPr>
              <w:pStyle w:val="180"/>
            </w:pPr>
          </w:p>
        </w:tc>
        <w:tc>
          <w:tcPr>
            <w:tcW w:w="5942" w:type="dxa"/>
            <w:vMerge w:val="continue"/>
            <w:shd w:val="clear" w:color="auto" w:fill="auto"/>
            <w:vAlign w:val="center"/>
          </w:tcPr>
          <w:p>
            <w:pPr>
              <w:pStyle w:val="1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shd w:val="clear" w:color="auto" w:fill="auto"/>
            <w:vAlign w:val="center"/>
          </w:tcPr>
          <w:p>
            <w:pPr>
              <w:pStyle w:val="180"/>
            </w:pPr>
            <w:r>
              <w:t>5</w:t>
            </w:r>
          </w:p>
        </w:tc>
        <w:tc>
          <w:tcPr>
            <w:tcW w:w="709" w:type="dxa"/>
            <w:shd w:val="clear" w:color="auto" w:fill="auto"/>
            <w:vAlign w:val="center"/>
          </w:tcPr>
          <w:p>
            <w:pPr>
              <w:pStyle w:val="180"/>
            </w:pPr>
            <w:r>
              <w:rPr>
                <w:rFonts w:hint="eastAsia"/>
              </w:rPr>
              <w:t>初始</w:t>
            </w:r>
          </w:p>
          <w:p>
            <w:pPr>
              <w:pStyle w:val="180"/>
            </w:pPr>
            <w:r>
              <w:rPr>
                <w:rFonts w:hint="eastAsia"/>
              </w:rPr>
              <w:t>刚度</w:t>
            </w:r>
          </w:p>
        </w:tc>
        <w:tc>
          <w:tcPr>
            <w:tcW w:w="1984" w:type="dxa"/>
            <w:vMerge w:val="continue"/>
            <w:shd w:val="clear" w:color="auto" w:fill="auto"/>
            <w:vAlign w:val="center"/>
          </w:tcPr>
          <w:p>
            <w:pPr>
              <w:pStyle w:val="180"/>
            </w:pPr>
          </w:p>
        </w:tc>
        <w:tc>
          <w:tcPr>
            <w:tcW w:w="5942" w:type="dxa"/>
            <w:vMerge w:val="continue"/>
            <w:shd w:val="clear" w:color="auto" w:fill="auto"/>
            <w:vAlign w:val="center"/>
          </w:tcPr>
          <w:p>
            <w:pPr>
              <w:pStyle w:val="1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shd w:val="clear" w:color="auto" w:fill="auto"/>
            <w:vAlign w:val="center"/>
          </w:tcPr>
          <w:p>
            <w:pPr>
              <w:pStyle w:val="180"/>
            </w:pPr>
            <w:r>
              <w:t>6</w:t>
            </w:r>
          </w:p>
        </w:tc>
        <w:tc>
          <w:tcPr>
            <w:tcW w:w="709" w:type="dxa"/>
            <w:shd w:val="clear" w:color="auto" w:fill="auto"/>
            <w:vAlign w:val="center"/>
          </w:tcPr>
          <w:p>
            <w:pPr>
              <w:pStyle w:val="180"/>
            </w:pPr>
            <w:r>
              <w:rPr>
                <w:rFonts w:hint="eastAsia"/>
              </w:rPr>
              <w:t>滞回</w:t>
            </w:r>
          </w:p>
          <w:p>
            <w:pPr>
              <w:pStyle w:val="180"/>
            </w:pPr>
            <w:r>
              <w:rPr>
                <w:rFonts w:hint="eastAsia"/>
              </w:rPr>
              <w:t>曲线</w:t>
            </w:r>
          </w:p>
        </w:tc>
        <w:tc>
          <w:tcPr>
            <w:tcW w:w="1984" w:type="dxa"/>
            <w:vMerge w:val="continue"/>
            <w:shd w:val="clear" w:color="auto" w:fill="auto"/>
            <w:vAlign w:val="center"/>
          </w:tcPr>
          <w:p>
            <w:pPr>
              <w:pStyle w:val="180"/>
            </w:pPr>
          </w:p>
        </w:tc>
        <w:tc>
          <w:tcPr>
            <w:tcW w:w="5942" w:type="dxa"/>
            <w:shd w:val="clear" w:color="auto" w:fill="auto"/>
            <w:vAlign w:val="center"/>
          </w:tcPr>
          <w:p>
            <w:pPr>
              <w:pStyle w:val="180"/>
            </w:pPr>
            <w:r>
              <w:rPr>
                <w:rFonts w:hint="eastAsia" w:ascii="Times New Roman"/>
                <w:color w:val="000000"/>
                <w:szCs w:val="18"/>
              </w:rPr>
              <w:t>记录每次循环加载的抗力与消能器活塞相对位移时程，采用横向为消能器相对位移坐标，竖向取抗力坐标，绘制封闭曲线。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334" w:type="dxa"/>
            <w:gridSpan w:val="4"/>
            <w:shd w:val="clear" w:color="auto" w:fill="auto"/>
            <w:vAlign w:val="center"/>
          </w:tcPr>
          <w:p>
            <w:pPr>
              <w:jc w:val="center"/>
              <w:rPr>
                <w:rFonts w:ascii="Times New Roman" w:hAnsi="Times New Roman"/>
                <w:color w:val="000000"/>
                <w:sz w:val="18"/>
                <w:szCs w:val="18"/>
              </w:rPr>
            </w:pPr>
            <w:r>
              <w:rPr>
                <w:rFonts w:hint="eastAsia"/>
                <w:color w:val="000000"/>
                <w:sz w:val="18"/>
                <w:szCs w:val="18"/>
              </w:rPr>
              <w:t>注：</w:t>
            </w:r>
            <m:oMath>
              <m:r>
                <m:rPr>
                  <m:sty m:val="p"/>
                </m:rPr>
                <w:rPr>
                  <w:rFonts w:ascii="Cambria Math" w:hAnsi="Cambria Math"/>
                  <w:color w:val="000000"/>
                  <w:sz w:val="18"/>
                  <w:szCs w:val="18"/>
                </w:rPr>
                <m:t>ω=2</m:t>
              </m:r>
              <m:sSub>
                <m:sSubPr>
                  <m:ctrlPr>
                    <w:rPr>
                      <w:rFonts w:ascii="Cambria Math" w:hAnsi="Cambria Math"/>
                      <w:color w:val="000000"/>
                      <w:sz w:val="18"/>
                      <w:szCs w:val="22"/>
                    </w:rPr>
                  </m:ctrlPr>
                </m:sSubPr>
                <m:e>
                  <m:r>
                    <m:rPr/>
                    <w:rPr>
                      <w:rFonts w:ascii="Cambria Math" w:hAnsi="Cambria Math"/>
                      <w:color w:val="000000"/>
                      <w:sz w:val="18"/>
                      <w:szCs w:val="18"/>
                    </w:rPr>
                    <m:t>πf</m:t>
                  </m:r>
                  <m:ctrlPr>
                    <w:rPr>
                      <w:rFonts w:ascii="Cambria Math" w:hAnsi="Cambria Math"/>
                      <w:color w:val="000000"/>
                      <w:sz w:val="18"/>
                      <w:szCs w:val="22"/>
                    </w:rPr>
                  </m:ctrlPr>
                </m:e>
                <m:sub>
                  <m:r>
                    <m:rPr/>
                    <w:rPr>
                      <w:rFonts w:ascii="Cambria Math" w:hAnsi="Cambria Math"/>
                      <w:color w:val="000000"/>
                      <w:sz w:val="18"/>
                      <w:szCs w:val="18"/>
                    </w:rPr>
                    <m:t>1</m:t>
                  </m:r>
                  <m:ctrlPr>
                    <w:rPr>
                      <w:rFonts w:ascii="Cambria Math" w:hAnsi="Cambria Math"/>
                      <w:color w:val="000000"/>
                      <w:sz w:val="18"/>
                      <w:szCs w:val="22"/>
                    </w:rPr>
                  </m:ctrlPr>
                </m:sub>
              </m:sSub>
            </m:oMath>
            <w:r>
              <w:rPr>
                <w:rFonts w:ascii="Times New Roman" w:hAnsi="Times New Roman"/>
                <w:color w:val="000000"/>
                <w:sz w:val="18"/>
                <w:szCs w:val="18"/>
              </w:rPr>
              <w:t>,</w:t>
            </w:r>
            <m:oMath>
              <m:r>
                <m:rPr>
                  <m:sty m:val="p"/>
                </m:rPr>
                <w:rPr>
                  <w:rFonts w:ascii="Cambria Math" w:hAnsi="Cambria Math"/>
                  <w:color w:val="000000"/>
                  <w:sz w:val="18"/>
                  <w:szCs w:val="18"/>
                </w:rPr>
                <m:t>ω</m:t>
              </m:r>
            </m:oMath>
            <w:r>
              <w:rPr>
                <w:rFonts w:hint="eastAsia" w:ascii="Times New Roman" w:hAnsi="Times New Roman"/>
                <w:color w:val="000000"/>
                <w:sz w:val="18"/>
                <w:szCs w:val="18"/>
              </w:rPr>
              <w:t>为圆频率，</w:t>
            </w:r>
            <m:oMath>
              <m:sSub>
                <m:sSubPr>
                  <m:ctrlPr>
                    <w:rPr>
                      <w:rFonts w:ascii="Cambria Math" w:hAnsi="Cambria Math"/>
                      <w:color w:val="000000"/>
                      <w:sz w:val="18"/>
                      <w:szCs w:val="22"/>
                    </w:rPr>
                  </m:ctrlPr>
                </m:sSubPr>
                <m:e>
                  <m:r>
                    <m:rPr/>
                    <w:rPr>
                      <w:rFonts w:ascii="Cambria Math" w:hAnsi="Cambria Math"/>
                      <w:color w:val="000000"/>
                      <w:sz w:val="18"/>
                      <w:szCs w:val="18"/>
                    </w:rPr>
                    <m:t>f</m:t>
                  </m:r>
                  <m:ctrlPr>
                    <w:rPr>
                      <w:rFonts w:ascii="Cambria Math" w:hAnsi="Cambria Math"/>
                      <w:color w:val="000000"/>
                      <w:sz w:val="18"/>
                      <w:szCs w:val="22"/>
                    </w:rPr>
                  </m:ctrlPr>
                </m:e>
                <m:sub>
                  <m:r>
                    <m:rPr/>
                    <w:rPr>
                      <w:rFonts w:ascii="Cambria Math" w:hAnsi="Cambria Math"/>
                      <w:color w:val="000000"/>
                      <w:sz w:val="18"/>
                      <w:szCs w:val="18"/>
                    </w:rPr>
                    <m:t>1</m:t>
                  </m:r>
                  <m:ctrlPr>
                    <w:rPr>
                      <w:rFonts w:ascii="Cambria Math" w:hAnsi="Cambria Math"/>
                      <w:color w:val="000000"/>
                      <w:sz w:val="18"/>
                      <w:szCs w:val="22"/>
                    </w:rPr>
                  </m:ctrlPr>
                </m:sub>
              </m:sSub>
            </m:oMath>
            <w:r>
              <w:rPr>
                <w:rFonts w:hint="eastAsia" w:ascii="Times New Roman" w:hAnsi="Times New Roman"/>
                <w:color w:val="000000"/>
                <w:sz w:val="18"/>
                <w:szCs w:val="18"/>
              </w:rPr>
              <w:t>为减震结构基频，</w:t>
            </w:r>
            <m:oMath>
              <m:sSub>
                <m:sSubPr>
                  <m:ctrlPr>
                    <w:rPr>
                      <w:rFonts w:ascii="Cambria Math" w:hAnsi="Cambria Math"/>
                      <w:color w:val="000000"/>
                      <w:sz w:val="18"/>
                      <w:szCs w:val="22"/>
                    </w:rPr>
                  </m:ctrlPr>
                </m:sSubPr>
                <m:e>
                  <m:r>
                    <m:rPr/>
                    <w:rPr>
                      <w:rFonts w:ascii="Cambria Math" w:hAnsi="Cambria Math"/>
                      <w:color w:val="000000"/>
                      <w:sz w:val="18"/>
                      <w:szCs w:val="18"/>
                    </w:rPr>
                    <m:t>u</m:t>
                  </m:r>
                  <m:ctrlPr>
                    <w:rPr>
                      <w:rFonts w:ascii="Cambria Math" w:hAnsi="Cambria Math"/>
                      <w:color w:val="000000"/>
                      <w:sz w:val="18"/>
                      <w:szCs w:val="22"/>
                    </w:rPr>
                  </m:ctrlPr>
                </m:e>
                <m:sub>
                  <m:r>
                    <m:rPr/>
                    <w:rPr>
                      <w:rFonts w:ascii="Cambria Math" w:hAnsi="Cambria Math"/>
                      <w:color w:val="000000"/>
                      <w:sz w:val="18"/>
                      <w:szCs w:val="18"/>
                    </w:rPr>
                    <m:t>0</m:t>
                  </m:r>
                  <m:ctrlPr>
                    <w:rPr>
                      <w:rFonts w:ascii="Cambria Math" w:hAnsi="Cambria Math"/>
                      <w:color w:val="000000"/>
                      <w:sz w:val="18"/>
                      <w:szCs w:val="22"/>
                    </w:rPr>
                  </m:ctrlPr>
                </m:sub>
              </m:sSub>
            </m:oMath>
            <w:r>
              <w:rPr>
                <w:rFonts w:hint="eastAsia" w:ascii="Times New Roman" w:hAnsi="Times New Roman"/>
                <w:color w:val="000000"/>
                <w:sz w:val="18"/>
                <w:szCs w:val="18"/>
              </w:rPr>
              <w:t>为黏滞消能器设计位移。</w:t>
            </w:r>
          </w:p>
        </w:tc>
      </w:tr>
    </w:tbl>
    <w:p>
      <w:pPr>
        <w:pStyle w:val="114"/>
        <w:numPr>
          <w:ilvl w:val="0"/>
          <w:numId w:val="0"/>
        </w:numPr>
        <w:spacing w:before="156" w:after="156"/>
      </w:pPr>
      <w:r>
        <w:rPr>
          <w:rFonts w:hint="eastAsia"/>
        </w:rPr>
        <w:t>表7.5.3-2  黏滞消能器疲劳、抗渗漏力学性能要求</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90"/>
        <w:gridCol w:w="1427"/>
        <w:gridCol w:w="2759"/>
        <w:gridCol w:w="44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690" w:type="dxa"/>
            <w:tcBorders>
              <w:top w:val="single" w:color="auto" w:sz="8" w:space="0"/>
              <w:bottom w:val="single" w:color="auto" w:sz="8" w:space="0"/>
            </w:tcBorders>
            <w:shd w:val="clear" w:color="auto" w:fill="auto"/>
            <w:vAlign w:val="center"/>
          </w:tcPr>
          <w:p>
            <w:pPr>
              <w:pStyle w:val="180"/>
            </w:pPr>
            <w:r>
              <w:rPr>
                <w:rFonts w:hint="eastAsia"/>
              </w:rPr>
              <w:t>序号</w:t>
            </w:r>
          </w:p>
        </w:tc>
        <w:tc>
          <w:tcPr>
            <w:tcW w:w="1427" w:type="dxa"/>
            <w:tcBorders>
              <w:top w:val="single" w:color="auto" w:sz="8" w:space="0"/>
              <w:bottom w:val="single" w:color="auto" w:sz="8" w:space="0"/>
            </w:tcBorders>
            <w:shd w:val="clear" w:color="auto" w:fill="auto"/>
            <w:vAlign w:val="center"/>
          </w:tcPr>
          <w:p>
            <w:pPr>
              <w:pStyle w:val="180"/>
            </w:pPr>
            <w:r>
              <w:rPr>
                <w:rFonts w:hint="eastAsia"/>
              </w:rPr>
              <w:t>项目</w:t>
            </w:r>
          </w:p>
        </w:tc>
        <w:tc>
          <w:tcPr>
            <w:tcW w:w="2759" w:type="dxa"/>
            <w:tcBorders>
              <w:top w:val="single" w:color="auto" w:sz="8" w:space="0"/>
              <w:bottom w:val="single" w:color="auto" w:sz="8" w:space="0"/>
            </w:tcBorders>
            <w:shd w:val="clear" w:color="auto" w:fill="auto"/>
            <w:vAlign w:val="center"/>
          </w:tcPr>
          <w:p>
            <w:pPr>
              <w:pStyle w:val="180"/>
            </w:pPr>
            <w:r>
              <w:rPr>
                <w:rFonts w:hint="eastAsia"/>
              </w:rPr>
              <w:t>性能要求</w:t>
            </w:r>
          </w:p>
        </w:tc>
        <w:tc>
          <w:tcPr>
            <w:tcW w:w="4458" w:type="dxa"/>
            <w:tcBorders>
              <w:top w:val="single" w:color="auto" w:sz="8" w:space="0"/>
              <w:bottom w:val="single" w:color="auto" w:sz="8" w:space="0"/>
            </w:tcBorders>
            <w:shd w:val="clear" w:color="auto" w:fill="auto"/>
            <w:vAlign w:val="center"/>
          </w:tcPr>
          <w:p>
            <w:pPr>
              <w:pStyle w:val="180"/>
            </w:pPr>
            <w:r>
              <w:rPr>
                <w:rFonts w:hint="eastAsia"/>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0" w:type="dxa"/>
            <w:tcBorders>
              <w:top w:val="single" w:color="auto" w:sz="8" w:space="0"/>
            </w:tcBorders>
            <w:shd w:val="clear" w:color="auto" w:fill="auto"/>
            <w:vAlign w:val="center"/>
          </w:tcPr>
          <w:p>
            <w:pPr>
              <w:pStyle w:val="180"/>
            </w:pPr>
            <w:r>
              <w:t>1</w:t>
            </w:r>
          </w:p>
        </w:tc>
        <w:tc>
          <w:tcPr>
            <w:tcW w:w="1427" w:type="dxa"/>
            <w:tcBorders>
              <w:top w:val="single" w:color="auto" w:sz="8" w:space="0"/>
            </w:tcBorders>
            <w:shd w:val="clear" w:color="auto" w:fill="auto"/>
            <w:vAlign w:val="center"/>
          </w:tcPr>
          <w:p>
            <w:pPr>
              <w:pStyle w:val="180"/>
            </w:pPr>
            <w:r>
              <w:rPr>
                <w:rFonts w:hint="eastAsia"/>
              </w:rPr>
              <w:t>最大阻尼力</w:t>
            </w:r>
          </w:p>
        </w:tc>
        <w:tc>
          <w:tcPr>
            <w:tcW w:w="2759" w:type="dxa"/>
            <w:tcBorders>
              <w:top w:val="single" w:color="auto" w:sz="8" w:space="0"/>
            </w:tcBorders>
            <w:shd w:val="clear" w:color="auto" w:fill="auto"/>
            <w:vAlign w:val="center"/>
          </w:tcPr>
          <w:p>
            <w:pPr>
              <w:pStyle w:val="180"/>
            </w:pPr>
            <w:r>
              <w:rPr>
                <w:rFonts w:hint="eastAsia"/>
              </w:rPr>
              <w:t>变化率不大于±15%</w:t>
            </w:r>
          </w:p>
        </w:tc>
        <w:tc>
          <w:tcPr>
            <w:tcW w:w="4458" w:type="dxa"/>
            <w:vMerge w:val="restart"/>
            <w:tcBorders>
              <w:top w:val="single" w:color="auto" w:sz="8" w:space="0"/>
            </w:tcBorders>
            <w:shd w:val="clear" w:color="auto" w:fill="auto"/>
            <w:vAlign w:val="center"/>
          </w:tcPr>
          <w:p>
            <w:pPr>
              <w:pStyle w:val="180"/>
            </w:pPr>
            <w:r>
              <w:rPr>
                <w:rFonts w:hint="eastAsia" w:ascii="Times New Roman"/>
                <w:color w:val="000000"/>
                <w:szCs w:val="18"/>
              </w:rPr>
              <w:t>先测定产品的设计位移</w:t>
            </w:r>
            <m:oMath>
              <m:sSub>
                <m:sSubPr>
                  <m:ctrlPr>
                    <w:rPr>
                      <w:rFonts w:ascii="Cambria Math" w:hAnsi="Cambria Math" w:eastAsiaTheme="minorEastAsia"/>
                      <w:color w:val="000000"/>
                      <w:kern w:val="2"/>
                      <w:szCs w:val="22"/>
                    </w:rPr>
                  </m:ctrlPr>
                </m:sSubPr>
                <m:e>
                  <m:r>
                    <m:rPr/>
                    <w:rPr>
                      <w:rFonts w:ascii="Cambria Math" w:hAnsi="Cambria Math"/>
                      <w:color w:val="000000"/>
                      <w:szCs w:val="18"/>
                    </w:rPr>
                    <m:t>u</m:t>
                  </m:r>
                  <m:ctrlPr>
                    <w:rPr>
                      <w:rFonts w:ascii="Cambria Math" w:hAnsi="Cambria Math" w:eastAsiaTheme="minorEastAsia"/>
                      <w:color w:val="000000"/>
                      <w:kern w:val="2"/>
                      <w:szCs w:val="22"/>
                    </w:rPr>
                  </m:ctrlPr>
                </m:e>
                <m:sub>
                  <m:r>
                    <m:rPr/>
                    <w:rPr>
                      <w:rFonts w:ascii="Cambria Math" w:hAnsi="Cambria Math"/>
                      <w:color w:val="000000"/>
                      <w:szCs w:val="18"/>
                    </w:rPr>
                    <m:t>0</m:t>
                  </m:r>
                  <m:ctrlPr>
                    <w:rPr>
                      <w:rFonts w:ascii="Cambria Math" w:hAnsi="Cambria Math" w:eastAsiaTheme="minorEastAsia"/>
                      <w:color w:val="000000"/>
                      <w:kern w:val="2"/>
                      <w:szCs w:val="22"/>
                    </w:rPr>
                  </m:ctrlPr>
                </m:sub>
              </m:sSub>
            </m:oMath>
            <w:r>
              <w:rPr>
                <w:rFonts w:hint="eastAsia" w:ascii="Times New Roman"/>
                <w:color w:val="000000"/>
                <w:szCs w:val="18"/>
              </w:rPr>
              <w:t>和最大阻尼力，然后在同样环境下采用正弦激励法，对阻尼器施加频率为</w:t>
            </w:r>
            <m:oMath>
              <m:sSub>
                <m:sSubPr>
                  <m:ctrlPr>
                    <w:rPr>
                      <w:rFonts w:ascii="Cambria Math" w:hAnsi="Cambria Math" w:eastAsiaTheme="minorEastAsia"/>
                      <w:color w:val="000000"/>
                      <w:kern w:val="2"/>
                      <w:szCs w:val="22"/>
                    </w:rPr>
                  </m:ctrlPr>
                </m:sSubPr>
                <m:e>
                  <m:r>
                    <m:rPr/>
                    <w:rPr>
                      <w:rFonts w:ascii="Cambria Math" w:hAnsi="Cambria Math"/>
                      <w:color w:val="000000"/>
                      <w:szCs w:val="18"/>
                    </w:rPr>
                    <m:t>f</m:t>
                  </m:r>
                  <m:ctrlPr>
                    <w:rPr>
                      <w:rFonts w:ascii="Cambria Math" w:hAnsi="Cambria Math" w:eastAsiaTheme="minorEastAsia"/>
                      <w:color w:val="000000"/>
                      <w:kern w:val="2"/>
                      <w:szCs w:val="22"/>
                    </w:rPr>
                  </m:ctrlPr>
                </m:e>
                <m:sub>
                  <m:r>
                    <m:rPr/>
                    <w:rPr>
                      <w:rFonts w:ascii="Cambria Math" w:hAnsi="Cambria Math"/>
                      <w:color w:val="000000"/>
                      <w:szCs w:val="18"/>
                    </w:rPr>
                    <m:t>1</m:t>
                  </m:r>
                  <m:ctrlPr>
                    <w:rPr>
                      <w:rFonts w:ascii="Cambria Math" w:hAnsi="Cambria Math" w:eastAsiaTheme="minorEastAsia"/>
                      <w:color w:val="000000"/>
                      <w:kern w:val="2"/>
                      <w:szCs w:val="22"/>
                    </w:rPr>
                  </m:ctrlPr>
                </m:sub>
              </m:sSub>
            </m:oMath>
            <w:r>
              <w:rPr>
                <w:rFonts w:hint="eastAsia" w:ascii="Times New Roman"/>
                <w:color w:val="000000"/>
                <w:szCs w:val="18"/>
              </w:rPr>
              <w:t>的正弦波，当以地震为主时，输入位移</w:t>
            </w:r>
            <m:oMath>
              <m:r>
                <m:rPr/>
                <w:rPr>
                  <w:rFonts w:ascii="Cambria Math" w:hAnsi="Cambria Math"/>
                  <w:color w:val="000000"/>
                  <w:szCs w:val="18"/>
                </w:rPr>
                <m:t>u</m:t>
              </m:r>
              <m:r>
                <m:rPr>
                  <m:sty m:val="p"/>
                </m:rPr>
                <w:rPr>
                  <w:rFonts w:ascii="Cambria Math" w:hAnsi="Cambria Math"/>
                  <w:color w:val="000000"/>
                  <w:szCs w:val="18"/>
                </w:rPr>
                <m:t>=</m:t>
              </m:r>
              <m:sSub>
                <m:sSubPr>
                  <m:ctrlPr>
                    <w:rPr>
                      <w:rFonts w:ascii="Cambria Math" w:hAnsi="Cambria Math" w:eastAsiaTheme="minorEastAsia"/>
                      <w:color w:val="000000"/>
                      <w:kern w:val="2"/>
                      <w:szCs w:val="22"/>
                    </w:rPr>
                  </m:ctrlPr>
                </m:sSubPr>
                <m:e>
                  <m:r>
                    <m:rPr/>
                    <w:rPr>
                      <w:rFonts w:ascii="Cambria Math" w:hAnsi="Cambria Math"/>
                      <w:color w:val="000000"/>
                      <w:szCs w:val="18"/>
                    </w:rPr>
                    <m:t>u</m:t>
                  </m:r>
                  <m:ctrlPr>
                    <w:rPr>
                      <w:rFonts w:ascii="Cambria Math" w:hAnsi="Cambria Math" w:eastAsiaTheme="minorEastAsia"/>
                      <w:color w:val="000000"/>
                      <w:kern w:val="2"/>
                      <w:szCs w:val="22"/>
                    </w:rPr>
                  </m:ctrlPr>
                </m:e>
                <m:sub>
                  <m:r>
                    <m:rPr/>
                    <w:rPr>
                      <w:rFonts w:ascii="Cambria Math" w:hAnsi="Cambria Math"/>
                      <w:color w:val="000000"/>
                      <w:szCs w:val="18"/>
                    </w:rPr>
                    <m:t>0</m:t>
                  </m:r>
                  <m:ctrlPr>
                    <w:rPr>
                      <w:rFonts w:ascii="Cambria Math" w:hAnsi="Cambria Math" w:eastAsiaTheme="minorEastAsia"/>
                      <w:color w:val="000000"/>
                      <w:kern w:val="2"/>
                      <w:szCs w:val="22"/>
                    </w:rPr>
                  </m:ctrlPr>
                </m:sub>
              </m:sSub>
              <m:func>
                <m:funcPr>
                  <m:ctrlPr>
                    <w:rPr>
                      <w:rFonts w:ascii="Cambria Math" w:hAnsi="Cambria Math" w:eastAsiaTheme="minorEastAsia"/>
                      <w:color w:val="000000"/>
                      <w:kern w:val="2"/>
                      <w:szCs w:val="22"/>
                    </w:rPr>
                  </m:ctrlPr>
                </m:funcPr>
                <m:fName>
                  <m:r>
                    <m:rPr>
                      <m:sty m:val="p"/>
                    </m:rPr>
                    <w:rPr>
                      <w:rFonts w:ascii="Cambria Math" w:hAnsi="Cambria Math"/>
                      <w:color w:val="000000"/>
                      <w:szCs w:val="18"/>
                    </w:rPr>
                    <m:t>sin</m:t>
                  </m:r>
                  <m:ctrlPr>
                    <w:rPr>
                      <w:rFonts w:ascii="Cambria Math" w:hAnsi="Cambria Math" w:eastAsiaTheme="minorEastAsia"/>
                      <w:color w:val="000000"/>
                      <w:kern w:val="2"/>
                      <w:szCs w:val="22"/>
                    </w:rPr>
                  </m:ctrlPr>
                </m:fName>
                <m:e>
                  <m:r>
                    <m:rPr/>
                    <w:rPr>
                      <w:rFonts w:ascii="Cambria Math" w:hAnsi="Cambria Math"/>
                      <w:color w:val="000000"/>
                      <w:szCs w:val="18"/>
                    </w:rPr>
                    <m:t>ωt</m:t>
                  </m:r>
                  <m:ctrlPr>
                    <w:rPr>
                      <w:rFonts w:ascii="Cambria Math" w:hAnsi="Cambria Math" w:eastAsiaTheme="minorEastAsia"/>
                      <w:color w:val="000000"/>
                      <w:kern w:val="2"/>
                      <w:szCs w:val="22"/>
                    </w:rPr>
                  </m:ctrlPr>
                </m:e>
              </m:func>
            </m:oMath>
            <w:r>
              <w:rPr>
                <w:rFonts w:hint="eastAsia" w:ascii="Times New Roman"/>
                <w:color w:val="000000"/>
                <w:szCs w:val="18"/>
              </w:rPr>
              <w:t>，连续加载</w:t>
            </w:r>
            <w:r>
              <w:rPr>
                <w:rFonts w:ascii="Times New Roman"/>
                <w:color w:val="000000"/>
                <w:szCs w:val="18"/>
              </w:rPr>
              <w:t>30</w:t>
            </w:r>
            <w:r>
              <w:rPr>
                <w:rFonts w:hint="eastAsia" w:ascii="Times New Roman"/>
                <w:color w:val="000000"/>
                <w:szCs w:val="18"/>
              </w:rPr>
              <w:t>个循环，位移大于</w:t>
            </w:r>
            <w:r>
              <w:rPr>
                <w:rFonts w:ascii="Times New Roman"/>
                <w:color w:val="000000"/>
                <w:szCs w:val="18"/>
              </w:rPr>
              <w:t>100mm</w:t>
            </w:r>
            <w:r>
              <w:rPr>
                <w:rFonts w:hint="eastAsia" w:ascii="Times New Roman"/>
                <w:color w:val="000000"/>
                <w:szCs w:val="18"/>
              </w:rPr>
              <w:t>时加载</w:t>
            </w:r>
            <w:r>
              <w:rPr>
                <w:rFonts w:ascii="Times New Roman"/>
                <w:color w:val="000000"/>
                <w:szCs w:val="18"/>
              </w:rPr>
              <w:t>5</w:t>
            </w:r>
            <w:r>
              <w:rPr>
                <w:rFonts w:hint="eastAsia" w:ascii="Times New Roman"/>
                <w:color w:val="000000"/>
                <w:szCs w:val="18"/>
              </w:rPr>
              <w:t>个循环；当以风振控制时，输入</w:t>
            </w:r>
            <m:oMath>
              <m:r>
                <m:rPr/>
                <w:rPr>
                  <w:rFonts w:ascii="Cambria Math" w:hAnsi="Cambria Math"/>
                  <w:color w:val="000000"/>
                  <w:szCs w:val="18"/>
                </w:rPr>
                <m:t>u</m:t>
              </m:r>
              <m:r>
                <m:rPr>
                  <m:sty m:val="p"/>
                </m:rPr>
                <w:rPr>
                  <w:rFonts w:ascii="Cambria Math" w:hAnsi="Cambria Math"/>
                  <w:color w:val="000000"/>
                  <w:szCs w:val="18"/>
                </w:rPr>
                <m:t>=</m:t>
              </m:r>
              <m:sSub>
                <m:sSubPr>
                  <m:ctrlPr>
                    <w:rPr>
                      <w:rFonts w:ascii="Cambria Math" w:hAnsi="Cambria Math" w:eastAsiaTheme="minorEastAsia"/>
                      <w:color w:val="000000"/>
                      <w:kern w:val="2"/>
                      <w:szCs w:val="22"/>
                    </w:rPr>
                  </m:ctrlPr>
                </m:sSubPr>
                <m:e>
                  <m:r>
                    <m:rPr/>
                    <w:rPr>
                      <w:rFonts w:ascii="Cambria Math" w:hAnsi="Cambria Math"/>
                      <w:color w:val="000000"/>
                      <w:szCs w:val="18"/>
                    </w:rPr>
                    <m:t>0.1u</m:t>
                  </m:r>
                  <m:ctrlPr>
                    <w:rPr>
                      <w:rFonts w:ascii="Cambria Math" w:hAnsi="Cambria Math" w:eastAsiaTheme="minorEastAsia"/>
                      <w:color w:val="000000"/>
                      <w:kern w:val="2"/>
                      <w:szCs w:val="22"/>
                    </w:rPr>
                  </m:ctrlPr>
                </m:e>
                <m:sub>
                  <m:r>
                    <m:rPr/>
                    <w:rPr>
                      <w:rFonts w:ascii="Cambria Math" w:hAnsi="Cambria Math"/>
                      <w:color w:val="000000"/>
                      <w:szCs w:val="18"/>
                    </w:rPr>
                    <m:t>0</m:t>
                  </m:r>
                  <m:ctrlPr>
                    <w:rPr>
                      <w:rFonts w:ascii="Cambria Math" w:hAnsi="Cambria Math" w:eastAsiaTheme="minorEastAsia"/>
                      <w:color w:val="000000"/>
                      <w:kern w:val="2"/>
                      <w:szCs w:val="22"/>
                    </w:rPr>
                  </m:ctrlPr>
                </m:sub>
              </m:sSub>
              <m:func>
                <m:funcPr>
                  <m:ctrlPr>
                    <w:rPr>
                      <w:rFonts w:ascii="Cambria Math" w:hAnsi="Cambria Math" w:eastAsiaTheme="minorEastAsia"/>
                      <w:color w:val="000000"/>
                      <w:kern w:val="2"/>
                      <w:szCs w:val="22"/>
                    </w:rPr>
                  </m:ctrlPr>
                </m:funcPr>
                <m:fName>
                  <m:r>
                    <m:rPr>
                      <m:sty m:val="p"/>
                    </m:rPr>
                    <w:rPr>
                      <w:rFonts w:ascii="Cambria Math" w:hAnsi="Cambria Math"/>
                      <w:color w:val="000000"/>
                      <w:szCs w:val="18"/>
                    </w:rPr>
                    <m:t>sin</m:t>
                  </m:r>
                  <m:ctrlPr>
                    <w:rPr>
                      <w:rFonts w:ascii="Cambria Math" w:hAnsi="Cambria Math" w:eastAsiaTheme="minorEastAsia"/>
                      <w:color w:val="000000"/>
                      <w:kern w:val="2"/>
                      <w:szCs w:val="22"/>
                    </w:rPr>
                  </m:ctrlPr>
                </m:fName>
                <m:e>
                  <m:r>
                    <m:rPr/>
                    <w:rPr>
                      <w:rFonts w:ascii="Cambria Math" w:hAnsi="Cambria Math"/>
                      <w:color w:val="000000"/>
                      <w:szCs w:val="18"/>
                    </w:rPr>
                    <m:t>ωt</m:t>
                  </m:r>
                  <m:ctrlPr>
                    <w:rPr>
                      <w:rFonts w:ascii="Cambria Math" w:hAnsi="Cambria Math" w:eastAsiaTheme="minorEastAsia"/>
                      <w:color w:val="000000"/>
                      <w:kern w:val="2"/>
                      <w:szCs w:val="22"/>
                    </w:rPr>
                  </m:ctrlPr>
                </m:e>
              </m:func>
            </m:oMath>
            <w:r>
              <w:rPr>
                <w:rFonts w:hint="eastAsia" w:ascii="Times New Roman"/>
                <w:color w:val="000000"/>
                <w:szCs w:val="18"/>
              </w:rPr>
              <w:t>，连续加载</w:t>
            </w:r>
            <w:r>
              <w:rPr>
                <w:rFonts w:ascii="Times New Roman"/>
                <w:color w:val="000000"/>
                <w:szCs w:val="18"/>
              </w:rPr>
              <w:t>60000</w:t>
            </w:r>
            <w:r>
              <w:rPr>
                <w:rFonts w:hint="eastAsia" w:ascii="Times New Roman"/>
                <w:color w:val="000000"/>
                <w:szCs w:val="18"/>
              </w:rPr>
              <w:t>个循环，每</w:t>
            </w:r>
            <w:r>
              <w:rPr>
                <w:rFonts w:ascii="Times New Roman"/>
                <w:color w:val="000000"/>
                <w:szCs w:val="18"/>
              </w:rPr>
              <w:t>20000</w:t>
            </w:r>
            <w:r>
              <w:rPr>
                <w:rFonts w:hint="eastAsia" w:ascii="Times New Roman"/>
                <w:color w:val="000000"/>
                <w:szCs w:val="18"/>
              </w:rPr>
              <w:t>次可暂停休整。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0" w:type="dxa"/>
            <w:shd w:val="clear" w:color="auto" w:fill="auto"/>
            <w:vAlign w:val="center"/>
          </w:tcPr>
          <w:p>
            <w:pPr>
              <w:pStyle w:val="180"/>
            </w:pPr>
            <w:r>
              <w:t>2</w:t>
            </w:r>
          </w:p>
        </w:tc>
        <w:tc>
          <w:tcPr>
            <w:tcW w:w="1427" w:type="dxa"/>
            <w:shd w:val="clear" w:color="auto" w:fill="auto"/>
            <w:vAlign w:val="center"/>
          </w:tcPr>
          <w:p>
            <w:pPr>
              <w:pStyle w:val="180"/>
            </w:pPr>
            <w:r>
              <w:rPr>
                <w:rFonts w:hint="eastAsia"/>
              </w:rPr>
              <w:t>阻尼系数</w:t>
            </w:r>
          </w:p>
        </w:tc>
        <w:tc>
          <w:tcPr>
            <w:tcW w:w="2759" w:type="dxa"/>
            <w:shd w:val="clear" w:color="auto" w:fill="auto"/>
            <w:vAlign w:val="center"/>
          </w:tcPr>
          <w:p>
            <w:pPr>
              <w:pStyle w:val="180"/>
            </w:pPr>
            <w:r>
              <w:rPr>
                <w:rFonts w:hint="eastAsia"/>
              </w:rPr>
              <w:t>变化率不大于±15%</w:t>
            </w:r>
          </w:p>
        </w:tc>
        <w:tc>
          <w:tcPr>
            <w:tcW w:w="4458" w:type="dxa"/>
            <w:vMerge w:val="continue"/>
            <w:shd w:val="clear" w:color="auto" w:fill="auto"/>
            <w:vAlign w:val="center"/>
          </w:tcPr>
          <w:p>
            <w:pPr>
              <w:pStyle w:val="1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0" w:type="dxa"/>
            <w:shd w:val="clear" w:color="auto" w:fill="auto"/>
            <w:vAlign w:val="center"/>
          </w:tcPr>
          <w:p>
            <w:pPr>
              <w:pStyle w:val="180"/>
            </w:pPr>
            <w:r>
              <w:t>3</w:t>
            </w:r>
          </w:p>
        </w:tc>
        <w:tc>
          <w:tcPr>
            <w:tcW w:w="1427" w:type="dxa"/>
            <w:shd w:val="clear" w:color="auto" w:fill="auto"/>
            <w:vAlign w:val="center"/>
          </w:tcPr>
          <w:p>
            <w:pPr>
              <w:pStyle w:val="180"/>
            </w:pPr>
            <w:r>
              <w:rPr>
                <w:rFonts w:hint="eastAsia"/>
              </w:rPr>
              <w:t>阻尼指数</w:t>
            </w:r>
          </w:p>
        </w:tc>
        <w:tc>
          <w:tcPr>
            <w:tcW w:w="2759" w:type="dxa"/>
            <w:shd w:val="clear" w:color="auto" w:fill="auto"/>
            <w:vAlign w:val="center"/>
          </w:tcPr>
          <w:p>
            <w:pPr>
              <w:pStyle w:val="180"/>
            </w:pPr>
            <w:r>
              <w:rPr>
                <w:rFonts w:hint="eastAsia"/>
              </w:rPr>
              <w:t>变化率不大于±15%</w:t>
            </w:r>
          </w:p>
        </w:tc>
        <w:tc>
          <w:tcPr>
            <w:tcW w:w="4458" w:type="dxa"/>
            <w:vMerge w:val="continue"/>
            <w:shd w:val="clear" w:color="auto" w:fill="auto"/>
            <w:vAlign w:val="center"/>
          </w:tcPr>
          <w:p>
            <w:pPr>
              <w:pStyle w:val="1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0" w:type="dxa"/>
            <w:shd w:val="clear" w:color="auto" w:fill="auto"/>
            <w:vAlign w:val="center"/>
          </w:tcPr>
          <w:p>
            <w:pPr>
              <w:pStyle w:val="180"/>
            </w:pPr>
            <w:r>
              <w:t>4</w:t>
            </w:r>
          </w:p>
        </w:tc>
        <w:tc>
          <w:tcPr>
            <w:tcW w:w="1427" w:type="dxa"/>
            <w:shd w:val="clear" w:color="auto" w:fill="auto"/>
            <w:vAlign w:val="center"/>
          </w:tcPr>
          <w:p>
            <w:pPr>
              <w:pStyle w:val="180"/>
            </w:pPr>
            <w:r>
              <w:rPr>
                <w:rFonts w:hint="eastAsia"/>
              </w:rPr>
              <w:t>滞回曲线</w:t>
            </w:r>
          </w:p>
        </w:tc>
        <w:tc>
          <w:tcPr>
            <w:tcW w:w="2759" w:type="dxa"/>
            <w:shd w:val="clear" w:color="auto" w:fill="auto"/>
            <w:vAlign w:val="center"/>
          </w:tcPr>
          <w:p>
            <w:pPr>
              <w:pStyle w:val="180"/>
            </w:pPr>
            <w:r>
              <w:rPr>
                <w:rFonts w:hint="eastAsia"/>
              </w:rPr>
              <w:t>光滑，无异常，包络面积变化率不大于±15%</w:t>
            </w:r>
          </w:p>
        </w:tc>
        <w:tc>
          <w:tcPr>
            <w:tcW w:w="4458" w:type="dxa"/>
            <w:vMerge w:val="continue"/>
            <w:shd w:val="clear" w:color="auto" w:fill="auto"/>
            <w:vAlign w:val="center"/>
          </w:tcPr>
          <w:p>
            <w:pPr>
              <w:pStyle w:val="1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0" w:type="dxa"/>
            <w:shd w:val="clear" w:color="auto" w:fill="auto"/>
            <w:vAlign w:val="center"/>
          </w:tcPr>
          <w:p>
            <w:pPr>
              <w:pStyle w:val="180"/>
            </w:pPr>
            <w:r>
              <w:rPr>
                <w:rFonts w:hint="eastAsia"/>
              </w:rPr>
              <w:t>5</w:t>
            </w:r>
          </w:p>
        </w:tc>
        <w:tc>
          <w:tcPr>
            <w:tcW w:w="1427" w:type="dxa"/>
            <w:shd w:val="clear" w:color="auto" w:fill="auto"/>
            <w:vAlign w:val="center"/>
          </w:tcPr>
          <w:p>
            <w:pPr>
              <w:pStyle w:val="180"/>
            </w:pPr>
            <w:r>
              <w:rPr>
                <w:rFonts w:hint="eastAsia"/>
              </w:rPr>
              <w:t>密闭性能</w:t>
            </w:r>
          </w:p>
        </w:tc>
        <w:tc>
          <w:tcPr>
            <w:tcW w:w="2759" w:type="dxa"/>
            <w:shd w:val="clear" w:color="auto" w:fill="auto"/>
            <w:vAlign w:val="center"/>
          </w:tcPr>
          <w:p>
            <w:pPr>
              <w:pStyle w:val="180"/>
            </w:pPr>
            <w:r>
              <w:rPr>
                <w:rFonts w:hint="eastAsia"/>
              </w:rPr>
              <w:t>实测产品在超压下不应出现渗漏、屈服或损坏等现象，且阻尼力衰减值不大于5%</w:t>
            </w:r>
          </w:p>
        </w:tc>
        <w:tc>
          <w:tcPr>
            <w:tcW w:w="4458" w:type="dxa"/>
            <w:shd w:val="clear" w:color="auto" w:fill="auto"/>
            <w:vAlign w:val="center"/>
          </w:tcPr>
          <w:p>
            <w:pPr>
              <w:pStyle w:val="180"/>
            </w:pPr>
            <w:r>
              <w:rPr>
                <w:rFonts w:hint="eastAsia"/>
              </w:rPr>
              <w:t>以1.5倍的最大压强作为控制压强持续加载3min，记录并检验结果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34" w:type="dxa"/>
            <w:gridSpan w:val="4"/>
            <w:shd w:val="clear" w:color="auto" w:fill="auto"/>
            <w:vAlign w:val="center"/>
          </w:tcPr>
          <w:p>
            <w:pPr>
              <w:pStyle w:val="180"/>
            </w:pPr>
            <m:oMath>
              <m:r>
                <m:rPr>
                  <m:sty m:val="p"/>
                </m:rPr>
                <w:rPr>
                  <w:rFonts w:hint="eastAsia" w:ascii="Cambria Math" w:hAnsi="Cambria Math"/>
                  <w:color w:val="000000"/>
                  <w:szCs w:val="18"/>
                </w:rPr>
                <m:t>注：</m:t>
              </m:r>
              <m:r>
                <m:rPr>
                  <m:sty m:val="p"/>
                </m:rPr>
                <w:rPr>
                  <w:rFonts w:ascii="Cambria Math" w:hAnsi="Cambria Math"/>
                  <w:color w:val="000000"/>
                  <w:szCs w:val="18"/>
                </w:rPr>
                <m:t>ω</m:t>
              </m:r>
              <m:r>
                <m:rPr>
                  <m:sty m:val="p"/>
                </m:rPr>
                <w:rPr>
                  <w:rFonts w:ascii="Cambria Math" w:hAnsi="Cambria Math" w:cs="宋体"/>
                  <w:color w:val="000000"/>
                  <w:szCs w:val="18"/>
                </w:rPr>
                <m:t>=2</m:t>
              </m:r>
              <m:sSub>
                <m:sSubPr>
                  <m:ctrlPr>
                    <w:rPr>
                      <w:rFonts w:ascii="Cambria Math" w:hAnsi="Cambria Math" w:eastAsiaTheme="minorEastAsia"/>
                      <w:color w:val="000000"/>
                      <w:kern w:val="2"/>
                      <w:szCs w:val="22"/>
                    </w:rPr>
                  </m:ctrlPr>
                </m:sSubPr>
                <m:e>
                  <m:r>
                    <m:rPr/>
                    <w:rPr>
                      <w:rFonts w:ascii="Cambria Math" w:hAnsi="Cambria Math" w:cs="宋体"/>
                      <w:color w:val="000000"/>
                      <w:szCs w:val="18"/>
                    </w:rPr>
                    <m:t>πf</m:t>
                  </m:r>
                  <m:ctrlPr>
                    <w:rPr>
                      <w:rFonts w:ascii="Cambria Math" w:hAnsi="Cambria Math" w:eastAsiaTheme="minorEastAsia"/>
                      <w:color w:val="000000"/>
                      <w:kern w:val="2"/>
                      <w:szCs w:val="22"/>
                    </w:rPr>
                  </m:ctrlPr>
                </m:e>
                <m:sub>
                  <m:r>
                    <m:rPr/>
                    <w:rPr>
                      <w:rFonts w:ascii="Cambria Math" w:hAnsi="Cambria Math" w:cs="宋体"/>
                      <w:color w:val="000000"/>
                      <w:szCs w:val="18"/>
                    </w:rPr>
                    <m:t>1</m:t>
                  </m:r>
                  <m:ctrlPr>
                    <w:rPr>
                      <w:rFonts w:ascii="Cambria Math" w:hAnsi="Cambria Math" w:eastAsiaTheme="minorEastAsia"/>
                      <w:color w:val="000000"/>
                      <w:kern w:val="2"/>
                      <w:szCs w:val="22"/>
                    </w:rPr>
                  </m:ctrlPr>
                </m:sub>
              </m:sSub>
            </m:oMath>
            <w:r>
              <w:rPr>
                <w:rFonts w:cs="宋体"/>
                <w:color w:val="000000"/>
                <w:szCs w:val="18"/>
              </w:rPr>
              <w:t>,</w:t>
            </w:r>
            <w:r>
              <w:rPr>
                <w:rFonts w:ascii="Cambria Math" w:hAnsi="Cambria Math"/>
                <w:color w:val="000000"/>
                <w:szCs w:val="18"/>
              </w:rPr>
              <w:t xml:space="preserve"> </w:t>
            </w:r>
            <m:oMath>
              <m:r>
                <m:rPr>
                  <m:sty m:val="p"/>
                </m:rPr>
                <w:rPr>
                  <w:rFonts w:ascii="Cambria Math" w:hAnsi="Cambria Math"/>
                  <w:color w:val="000000"/>
                  <w:szCs w:val="18"/>
                </w:rPr>
                <m:t>ω</m:t>
              </m:r>
            </m:oMath>
            <w:r>
              <w:rPr>
                <w:rFonts w:hint="eastAsia" w:ascii="Times New Roman"/>
                <w:color w:val="000000"/>
                <w:szCs w:val="18"/>
              </w:rPr>
              <w:t>为圆频率</w:t>
            </w:r>
            <w:r>
              <w:rPr>
                <w:rFonts w:hint="eastAsia" w:hAnsi="宋体" w:cs="宋体"/>
                <w:color w:val="000000"/>
                <w:szCs w:val="18"/>
              </w:rPr>
              <w:t>，</w:t>
            </w:r>
            <m:oMath>
              <m:sSub>
                <m:sSubPr>
                  <m:ctrlPr>
                    <w:rPr>
                      <w:rFonts w:ascii="Cambria Math" w:hAnsi="Cambria Math" w:eastAsiaTheme="minorEastAsia"/>
                      <w:color w:val="000000"/>
                      <w:kern w:val="2"/>
                      <w:szCs w:val="22"/>
                    </w:rPr>
                  </m:ctrlPr>
                </m:sSubPr>
                <m:e>
                  <m:r>
                    <m:rPr/>
                    <w:rPr>
                      <w:rFonts w:ascii="Cambria Math" w:hAnsi="Cambria Math" w:cs="宋体"/>
                      <w:color w:val="000000"/>
                      <w:szCs w:val="18"/>
                    </w:rPr>
                    <m:t>f</m:t>
                  </m:r>
                  <m:ctrlPr>
                    <w:rPr>
                      <w:rFonts w:ascii="Cambria Math" w:hAnsi="Cambria Math" w:eastAsiaTheme="minorEastAsia"/>
                      <w:color w:val="000000"/>
                      <w:kern w:val="2"/>
                      <w:szCs w:val="22"/>
                    </w:rPr>
                  </m:ctrlPr>
                </m:e>
                <m:sub>
                  <m:r>
                    <m:rPr/>
                    <w:rPr>
                      <w:rFonts w:ascii="Cambria Math" w:hAnsi="Cambria Math" w:cs="宋体"/>
                      <w:color w:val="000000"/>
                      <w:szCs w:val="18"/>
                    </w:rPr>
                    <m:t>1</m:t>
                  </m:r>
                  <m:ctrlPr>
                    <w:rPr>
                      <w:rFonts w:ascii="Cambria Math" w:hAnsi="Cambria Math" w:eastAsiaTheme="minorEastAsia"/>
                      <w:color w:val="000000"/>
                      <w:kern w:val="2"/>
                      <w:szCs w:val="22"/>
                    </w:rPr>
                  </m:ctrlPr>
                </m:sub>
              </m:sSub>
            </m:oMath>
            <w:r>
              <w:rPr>
                <w:rFonts w:hint="eastAsia" w:hAnsi="宋体" w:cs="宋体"/>
                <w:color w:val="000000"/>
                <w:szCs w:val="18"/>
              </w:rPr>
              <w:t>为减震结构基频，</w:t>
            </w:r>
            <m:oMath>
              <m:sSub>
                <m:sSubPr>
                  <m:ctrlPr>
                    <w:rPr>
                      <w:rFonts w:ascii="Cambria Math" w:hAnsi="Cambria Math" w:eastAsiaTheme="minorEastAsia"/>
                      <w:color w:val="000000"/>
                      <w:kern w:val="2"/>
                      <w:szCs w:val="22"/>
                    </w:rPr>
                  </m:ctrlPr>
                </m:sSubPr>
                <m:e>
                  <m:r>
                    <m:rPr/>
                    <w:rPr>
                      <w:rFonts w:ascii="Cambria Math" w:hAnsi="Cambria Math" w:cs="宋体"/>
                      <w:color w:val="000000"/>
                      <w:szCs w:val="18"/>
                    </w:rPr>
                    <m:t>u</m:t>
                  </m:r>
                  <m:ctrlPr>
                    <w:rPr>
                      <w:rFonts w:ascii="Cambria Math" w:hAnsi="Cambria Math" w:eastAsiaTheme="minorEastAsia"/>
                      <w:color w:val="000000"/>
                      <w:kern w:val="2"/>
                      <w:szCs w:val="22"/>
                    </w:rPr>
                  </m:ctrlPr>
                </m:e>
                <m:sub>
                  <m:r>
                    <m:rPr/>
                    <w:rPr>
                      <w:rFonts w:ascii="Cambria Math" w:hAnsi="Cambria Math" w:cs="宋体"/>
                      <w:color w:val="000000"/>
                      <w:szCs w:val="18"/>
                    </w:rPr>
                    <m:t>0</m:t>
                  </m:r>
                  <m:ctrlPr>
                    <w:rPr>
                      <w:rFonts w:ascii="Cambria Math" w:hAnsi="Cambria Math" w:eastAsiaTheme="minorEastAsia"/>
                      <w:color w:val="000000"/>
                      <w:kern w:val="2"/>
                      <w:szCs w:val="22"/>
                    </w:rPr>
                  </m:ctrlPr>
                </m:sub>
              </m:sSub>
            </m:oMath>
            <w:r>
              <w:rPr>
                <w:rFonts w:hint="eastAsia" w:hAnsi="宋体" w:cs="宋体"/>
                <w:color w:val="000000"/>
                <w:szCs w:val="18"/>
              </w:rPr>
              <w:t>为黏滞消能器设计位移。</w:t>
            </w:r>
          </w:p>
        </w:tc>
      </w:tr>
    </w:tbl>
    <w:p>
      <w:pPr>
        <w:pStyle w:val="167"/>
      </w:pPr>
      <w:r>
        <w:rPr>
          <w:rFonts w:hint="eastAsia"/>
        </w:rPr>
        <w:t>黏滞消能器的其他性能要求应符合下列规定：</w:t>
      </w:r>
    </w:p>
    <w:p>
      <w:pPr>
        <w:pStyle w:val="58"/>
        <w:ind w:firstLine="420"/>
      </w:pPr>
      <w:r>
        <w:rPr>
          <w:rFonts w:hint="eastAsia"/>
        </w:rPr>
        <w:t>1  黏滞消能器在-20℃～40℃下，在1.0</w:t>
      </w:r>
      <w:r>
        <w:t xml:space="preserve"> </w:t>
      </w:r>
      <w:r>
        <w:rPr>
          <w:rFonts w:ascii="Times New Roman"/>
          <w:i/>
          <w:szCs w:val="21"/>
        </w:rPr>
        <w:t>f</w:t>
      </w:r>
      <w:r>
        <w:rPr>
          <w:rFonts w:ascii="Times New Roman"/>
          <w:szCs w:val="21"/>
          <w:vertAlign w:val="subscript"/>
        </w:rPr>
        <w:t>1</w:t>
      </w:r>
      <w:r>
        <w:rPr>
          <w:rFonts w:hint="eastAsia"/>
        </w:rPr>
        <w:t>测试频率下，输入位移采用公式（5.2.5-1），每隔10℃记录消能器的最大阻尼力的实测值偏差应为理论设计值的±15%内。</w:t>
      </w:r>
    </w:p>
    <w:p>
      <w:pPr>
        <w:pStyle w:val="115"/>
      </w:pPr>
      <w:r>
        <w:tab/>
      </w:r>
      <w:r>
        <w:rPr>
          <w:rFonts w:ascii="Times New Roman" w:hAnsi="Times New Roman"/>
          <w:position w:val="-10"/>
        </w:rPr>
        <w:object>
          <v:shape id="_x0000_i1164" o:spt="75" type="#_x0000_t75" style="height:16.15pt;width:75.65pt;" o:ole="t" filled="f" o:preferrelative="t" stroked="f" coordsize="21600,21600">
            <v:path/>
            <v:fill on="f" focussize="0,0"/>
            <v:stroke on="f" joinstyle="miter"/>
            <v:imagedata r:id="rId276" o:title=""/>
            <o:lock v:ext="edit" aspectratio="t"/>
            <w10:wrap type="none"/>
            <w10:anchorlock/>
          </v:shape>
          <o:OLEObject Type="Embed" ProgID="Equation.DSMT4" ShapeID="_x0000_i1164" DrawAspect="Content" ObjectID="_1468075864" r:id="rId275">
            <o:LockedField>false</o:LockedField>
          </o:OLEObject>
        </w:object>
      </w:r>
      <w:r>
        <w:rPr>
          <w:rFonts w:ascii="微软雅黑" w:hAnsi="微软雅黑" w:eastAsia="微软雅黑"/>
        </w:rPr>
        <w:tab/>
      </w:r>
      <w:r>
        <w:t>(7.5.4-1)</w:t>
      </w:r>
    </w:p>
    <w:p>
      <w:pPr>
        <w:pStyle w:val="58"/>
        <w:ind w:firstLine="420"/>
      </w:pPr>
      <w:r>
        <w:rPr>
          <w:rFonts w:hint="eastAsia"/>
        </w:rPr>
        <w:t>式中：</w:t>
      </w:r>
      <w:r>
        <w:t xml:space="preserve"> </w:t>
      </w:r>
      <w:r>
        <w:rPr>
          <w:position w:val="-10"/>
        </w:rPr>
        <w:object>
          <v:shape id="_x0000_i1165" o:spt="75" type="#_x0000_t75" style="height:16.15pt;width:11pt;" o:ole="t" filled="f" o:preferrelative="t" stroked="f" coordsize="21600,21600">
            <v:path/>
            <v:fill on="f" focussize="0,0"/>
            <v:stroke on="f" joinstyle="miter"/>
            <v:imagedata r:id="rId278" o:title=""/>
            <o:lock v:ext="edit" aspectratio="t"/>
            <w10:wrap type="none"/>
            <w10:anchorlock/>
          </v:shape>
          <o:OLEObject Type="Embed" ProgID="Equation.DSMT4" ShapeID="_x0000_i1165" DrawAspect="Content" ObjectID="_1468075865" r:id="rId277">
            <o:LockedField>false</o:LockedField>
          </o:OLEObject>
        </w:object>
      </w:r>
      <w:r>
        <w:t>—</w:t>
      </w:r>
      <w:r>
        <w:rPr>
          <w:rFonts w:hint="eastAsia"/>
        </w:rPr>
        <w:t>消能减震结构的第一自振频率（</w:t>
      </w:r>
      <w:r>
        <w:t>Hz</w:t>
      </w:r>
      <w:r>
        <w:rPr>
          <w:rFonts w:hint="eastAsia"/>
        </w:rPr>
        <w:t>）；</w:t>
      </w:r>
    </w:p>
    <w:p>
      <w:pPr>
        <w:pStyle w:val="58"/>
        <w:ind w:firstLine="1050" w:firstLineChars="500"/>
      </w:pPr>
      <w:r>
        <w:rPr>
          <w:position w:val="-10"/>
        </w:rPr>
        <w:object>
          <v:shape id="_x0000_i1166" o:spt="75" type="#_x0000_t75" style="height:16.15pt;width:16.15pt;" o:ole="t" filled="f" o:preferrelative="t" stroked="f" coordsize="21600,21600">
            <v:path/>
            <v:fill on="f" focussize="0,0"/>
            <v:stroke on="f" joinstyle="miter"/>
            <v:imagedata r:id="rId280" o:title=""/>
            <o:lock v:ext="edit" aspectratio="t"/>
            <w10:wrap type="none"/>
            <w10:anchorlock/>
          </v:shape>
          <o:OLEObject Type="Embed" ProgID="Equation.DSMT4" ShapeID="_x0000_i1166" DrawAspect="Content" ObjectID="_1468075866" r:id="rId279">
            <o:LockedField>false</o:LockedField>
          </o:OLEObject>
        </w:object>
      </w:r>
      <w:r>
        <w:t>—</w:t>
      </w:r>
      <w:r>
        <w:rPr>
          <w:rFonts w:hint="eastAsia"/>
        </w:rPr>
        <w:t>黏滞消能器设计位移（</w:t>
      </w:r>
      <w:r>
        <w:t>mm</w:t>
      </w:r>
      <w:r>
        <w:rPr>
          <w:rFonts w:hint="eastAsia"/>
        </w:rPr>
        <w:t>）</w:t>
      </w:r>
    </w:p>
    <w:p>
      <w:pPr>
        <w:pStyle w:val="57"/>
        <w:ind w:firstLine="420"/>
      </w:pPr>
      <w:r>
        <w:rPr>
          <w:rFonts w:hint="eastAsia"/>
        </w:rPr>
        <w:t>2  黏滞消能器在</w:t>
      </w:r>
      <w:r>
        <w:rPr>
          <w:rFonts w:ascii="Times New Roman" w:hAnsi="Times New Roman"/>
          <w:position w:val="-12"/>
        </w:rPr>
        <w:object>
          <v:shape id="_x0000_i1167" o:spt="75" type="#_x0000_t75" style="height:18.35pt;width:199.85pt;" o:ole="t" filled="f" o:preferrelative="t" stroked="f" coordsize="21600,21600">
            <v:path/>
            <v:fill on="f" focussize="0,0"/>
            <v:stroke on="f" joinstyle="miter"/>
            <v:imagedata r:id="rId282" o:title=""/>
            <o:lock v:ext="edit" aspectratio="t"/>
            <w10:wrap type="none"/>
            <w10:anchorlock/>
          </v:shape>
          <o:OLEObject Type="Embed" ProgID="Equation.DSMT4" ShapeID="_x0000_i1167" DrawAspect="Content" ObjectID="_1468075867" r:id="rId281">
            <o:LockedField>false</o:LockedField>
          </o:OLEObject>
        </w:object>
      </w:r>
      <w:r>
        <w:rPr>
          <w:rFonts w:hint="eastAsia"/>
        </w:rPr>
        <w:t>测试频率下，输入位移采用公式（</w:t>
      </w:r>
      <w:r>
        <w:t>7.5.4</w:t>
      </w:r>
      <w:r>
        <w:rPr>
          <w:rFonts w:hint="eastAsia"/>
        </w:rPr>
        <w:t>-2），其最大阻尼力的实测值偏差应为理论设计值的±15%内。</w:t>
      </w:r>
    </w:p>
    <w:p>
      <w:pPr>
        <w:pStyle w:val="115"/>
      </w:pPr>
      <w:r>
        <w:tab/>
      </w:r>
      <w:r>
        <w:rPr>
          <w:rFonts w:ascii="Times New Roman" w:hAnsi="Times New Roman"/>
          <w:position w:val="-10"/>
        </w:rPr>
        <w:object>
          <v:shape id="_x0000_i1168" o:spt="75" type="#_x0000_t75" style="height:16.15pt;width:108.75pt;" o:ole="t" filled="f" o:preferrelative="t" stroked="f" coordsize="21600,21600">
            <v:path/>
            <v:fill on="f" focussize="0,0"/>
            <v:stroke on="f" joinstyle="miter"/>
            <v:imagedata r:id="rId284" o:title=""/>
            <o:lock v:ext="edit" aspectratio="t"/>
            <w10:wrap type="none"/>
            <w10:anchorlock/>
          </v:shape>
          <o:OLEObject Type="Embed" ProgID="Equation.DSMT4" ShapeID="_x0000_i1168" DrawAspect="Content" ObjectID="_1468075868" r:id="rId283">
            <o:LockedField>false</o:LockedField>
          </o:OLEObject>
        </w:object>
      </w:r>
      <w:r>
        <w:rPr>
          <w:rFonts w:ascii="微软雅黑" w:hAnsi="微软雅黑" w:eastAsia="微软雅黑"/>
        </w:rPr>
        <w:tab/>
      </w:r>
      <w:r>
        <w:t>(7.5.4-2)</w:t>
      </w:r>
    </w:p>
    <w:p>
      <w:pPr>
        <w:pStyle w:val="58"/>
        <w:ind w:firstLine="420"/>
      </w:pPr>
      <w:r>
        <w:rPr>
          <w:rFonts w:hint="eastAsia"/>
        </w:rPr>
        <w:t>式中：</w:t>
      </w:r>
      <w:r>
        <w:t xml:space="preserve"> </w:t>
      </w:r>
      <w:r>
        <w:rPr>
          <w:position w:val="-10"/>
        </w:rPr>
        <w:object>
          <v:shape id="_x0000_i1169" o:spt="75" type="#_x0000_t75" style="height:16.15pt;width:11pt;" o:ole="t" filled="f" o:preferrelative="t" stroked="f" coordsize="21600,21600">
            <v:path/>
            <v:fill on="f" focussize="0,0"/>
            <v:stroke on="f" joinstyle="miter"/>
            <v:imagedata r:id="rId286" o:title=""/>
            <o:lock v:ext="edit" aspectratio="t"/>
            <w10:wrap type="none"/>
            <w10:anchorlock/>
          </v:shape>
          <o:OLEObject Type="Embed" ProgID="Equation.DSMT4" ShapeID="_x0000_i1169" DrawAspect="Content" ObjectID="_1468075869" r:id="rId285">
            <o:LockedField>false</o:LockedField>
          </o:OLEObject>
        </w:object>
      </w:r>
      <w:r>
        <w:t>—</w:t>
      </w:r>
      <w:r>
        <w:rPr>
          <w:rFonts w:hint="eastAsia"/>
        </w:rPr>
        <w:t>测试加载频率（</w:t>
      </w:r>
      <w:r>
        <w:t>Hz</w:t>
      </w:r>
      <w:r>
        <w:rPr>
          <w:rFonts w:hint="eastAsia"/>
        </w:rPr>
        <w:t>）。</w:t>
      </w:r>
    </w:p>
    <w:p>
      <w:pPr>
        <w:pStyle w:val="107"/>
        <w:spacing w:before="156" w:after="156"/>
        <w:jc w:val="center"/>
      </w:pPr>
      <w:r>
        <w:rPr>
          <w:rFonts w:hint="eastAsia"/>
        </w:rPr>
        <w:t>黏弹性消能器</w:t>
      </w:r>
    </w:p>
    <w:p>
      <w:pPr>
        <w:pStyle w:val="167"/>
      </w:pPr>
      <w:r>
        <w:rPr>
          <w:rFonts w:hint="eastAsia"/>
        </w:rPr>
        <w:t>黏弹性消能器的外观及内部应符合下列规定：</w:t>
      </w:r>
    </w:p>
    <w:p>
      <w:pPr>
        <w:pStyle w:val="58"/>
        <w:ind w:firstLine="420"/>
      </w:pPr>
      <w:r>
        <w:rPr>
          <w:rFonts w:hint="eastAsia"/>
        </w:rPr>
        <w:t>1  黏弹性消能器钢板应平整、光滑、无锈蚀、无毛刺，涂刷防锈料两次，钢板坡口焊接，焊缝一级、平整。</w:t>
      </w:r>
    </w:p>
    <w:p>
      <w:pPr>
        <w:pStyle w:val="58"/>
        <w:ind w:firstLine="420"/>
      </w:pPr>
      <w:r>
        <w:rPr>
          <w:rFonts w:hint="eastAsia"/>
        </w:rPr>
        <w:t>2  黏弹性材料表面应密实、平整。</w:t>
      </w:r>
    </w:p>
    <w:p>
      <w:pPr>
        <w:pStyle w:val="58"/>
        <w:ind w:firstLine="420"/>
      </w:pPr>
      <w:r>
        <w:rPr>
          <w:rFonts w:hint="eastAsia"/>
        </w:rPr>
        <w:t>3  黏弹性材料与薄钢板之间应密实、无裂缝。</w:t>
      </w:r>
    </w:p>
    <w:p>
      <w:pPr>
        <w:pStyle w:val="58"/>
        <w:ind w:firstLine="420"/>
      </w:pPr>
      <w:r>
        <w:rPr>
          <w:rFonts w:hint="eastAsia"/>
        </w:rPr>
        <w:t>4  黏弹性消能器的尺寸偏差应满足下列要求：</w:t>
      </w:r>
    </w:p>
    <w:p>
      <w:pPr>
        <w:pStyle w:val="111"/>
        <w:numPr>
          <w:ilvl w:val="0"/>
          <w:numId w:val="0"/>
        </w:numPr>
        <w:ind w:left="851"/>
      </w:pPr>
      <w:r>
        <w:rPr>
          <w:rFonts w:hint="eastAsia"/>
        </w:rPr>
        <w:t>1）黏弹性消能器钢构件和黏弹性层长宽的尺寸允许偏差应为产品设计值的±2%。</w:t>
      </w:r>
    </w:p>
    <w:p>
      <w:pPr>
        <w:pStyle w:val="111"/>
        <w:numPr>
          <w:ilvl w:val="0"/>
          <w:numId w:val="0"/>
        </w:numPr>
        <w:ind w:left="851"/>
      </w:pPr>
      <w:r>
        <w:rPr>
          <w:rFonts w:hint="eastAsia"/>
        </w:rPr>
        <w:t>2）黏弹性层厚度允许偏差应为产品设计值的±3%，不同地方厚度允许偏差应为±5%。</w:t>
      </w:r>
    </w:p>
    <w:p>
      <w:pPr>
        <w:pStyle w:val="167"/>
      </w:pPr>
      <w:r>
        <w:rPr>
          <w:rFonts w:hint="eastAsia"/>
        </w:rPr>
        <w:t>黏弹性材料性能要求应符合现行标准《建筑消能阻尼器》（GB/T 209）的规定。钢材质量指标应符合现行国家标准《碳素钢结构》GB/T 700中碳素结构钢或低合金钢的规定。</w:t>
      </w:r>
    </w:p>
    <w:p>
      <w:pPr>
        <w:pStyle w:val="167"/>
      </w:pPr>
      <w:r>
        <w:rPr>
          <w:rFonts w:hint="eastAsia"/>
        </w:rPr>
        <w:t>黏弹性消能器力学性能试验方法应符合现行行业标准《建筑消能阻尼器》（GB/T 209）的规定。在相同的环境温度、加载幅值和频率下，黏弹性消能器力学性能要求应符合表7.5.3-1的规定。</w:t>
      </w:r>
    </w:p>
    <w:p>
      <w:pPr>
        <w:pStyle w:val="114"/>
        <w:numPr>
          <w:ilvl w:val="0"/>
          <w:numId w:val="0"/>
        </w:numPr>
        <w:spacing w:before="156" w:after="156"/>
      </w:pPr>
      <w:r>
        <w:rPr>
          <w:rFonts w:hint="eastAsia"/>
        </w:rPr>
        <w:t>表7.6.3-1  黏弹性消能器力学性能要求</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691"/>
        <w:gridCol w:w="66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691" w:type="dxa"/>
            <w:tcBorders>
              <w:top w:val="single" w:color="auto" w:sz="8" w:space="0"/>
              <w:bottom w:val="single" w:color="auto" w:sz="8" w:space="0"/>
            </w:tcBorders>
            <w:shd w:val="clear" w:color="auto" w:fill="auto"/>
            <w:vAlign w:val="center"/>
          </w:tcPr>
          <w:p>
            <w:pPr>
              <w:pStyle w:val="180"/>
            </w:pPr>
            <w:r>
              <w:rPr>
                <w:rFonts w:hint="eastAsia"/>
              </w:rPr>
              <w:t>项  目</w:t>
            </w:r>
          </w:p>
        </w:tc>
        <w:tc>
          <w:tcPr>
            <w:tcW w:w="6663" w:type="dxa"/>
            <w:tcBorders>
              <w:top w:val="single" w:color="auto" w:sz="8" w:space="0"/>
              <w:bottom w:val="single" w:color="auto" w:sz="8" w:space="0"/>
            </w:tcBorders>
            <w:shd w:val="clear" w:color="auto" w:fill="auto"/>
            <w:vAlign w:val="center"/>
          </w:tcPr>
          <w:p>
            <w:pPr>
              <w:pStyle w:val="180"/>
            </w:pPr>
            <w:r>
              <w:rPr>
                <w:rFonts w:hint="eastAsia"/>
              </w:rPr>
              <w:t>性  能  要  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691" w:type="dxa"/>
            <w:tcBorders>
              <w:top w:val="single" w:color="auto" w:sz="8" w:space="0"/>
            </w:tcBorders>
            <w:shd w:val="clear" w:color="auto" w:fill="auto"/>
            <w:vAlign w:val="center"/>
          </w:tcPr>
          <w:p>
            <w:pPr>
              <w:pStyle w:val="180"/>
            </w:pPr>
            <w:r>
              <w:rPr>
                <w:rFonts w:hint="eastAsia"/>
              </w:rPr>
              <w:t>最大阻尼力</w:t>
            </w:r>
          </w:p>
        </w:tc>
        <w:tc>
          <w:tcPr>
            <w:tcW w:w="6663" w:type="dxa"/>
            <w:vMerge w:val="restart"/>
            <w:tcBorders>
              <w:top w:val="single" w:color="auto" w:sz="8" w:space="0"/>
            </w:tcBorders>
            <w:shd w:val="clear" w:color="auto" w:fill="auto"/>
            <w:vAlign w:val="center"/>
          </w:tcPr>
          <w:p>
            <w:pPr>
              <w:pStyle w:val="180"/>
            </w:pPr>
            <w:r>
              <w:rPr>
                <w:rFonts w:hint="eastAsia"/>
              </w:rPr>
              <w:t>每个产品实测值偏差在产品设计值的±15%以内；实测值偏差的平均值在产品设计值的±10%以内。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691" w:type="dxa"/>
            <w:shd w:val="clear" w:color="auto" w:fill="auto"/>
            <w:vAlign w:val="center"/>
          </w:tcPr>
          <w:p>
            <w:pPr>
              <w:pStyle w:val="180"/>
            </w:pPr>
            <w:r>
              <w:rPr>
                <w:rFonts w:hint="eastAsia"/>
              </w:rPr>
              <w:t>表观剪切模量</w:t>
            </w:r>
          </w:p>
        </w:tc>
        <w:tc>
          <w:tcPr>
            <w:tcW w:w="6663" w:type="dxa"/>
            <w:vMerge w:val="continue"/>
            <w:shd w:val="clear" w:color="auto" w:fill="auto"/>
            <w:vAlign w:val="center"/>
          </w:tcPr>
          <w:p>
            <w:pPr>
              <w:pStyle w:val="1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691" w:type="dxa"/>
            <w:shd w:val="clear" w:color="auto" w:fill="auto"/>
            <w:vAlign w:val="center"/>
          </w:tcPr>
          <w:p>
            <w:pPr>
              <w:pStyle w:val="180"/>
            </w:pPr>
            <w:r>
              <w:rPr>
                <w:rFonts w:hint="eastAsia"/>
              </w:rPr>
              <w:t>损耗因子</w:t>
            </w:r>
          </w:p>
        </w:tc>
        <w:tc>
          <w:tcPr>
            <w:tcW w:w="6663" w:type="dxa"/>
            <w:vMerge w:val="continue"/>
            <w:shd w:val="clear" w:color="auto" w:fill="auto"/>
            <w:vAlign w:val="center"/>
          </w:tcPr>
          <w:p>
            <w:pPr>
              <w:pStyle w:val="1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691" w:type="dxa"/>
            <w:shd w:val="clear" w:color="auto" w:fill="auto"/>
            <w:vAlign w:val="center"/>
          </w:tcPr>
          <w:p>
            <w:pPr>
              <w:pStyle w:val="180"/>
            </w:pPr>
            <w:r>
              <w:rPr>
                <w:rFonts w:hint="eastAsia"/>
              </w:rPr>
              <w:t>滞回曲线面积</w:t>
            </w:r>
          </w:p>
        </w:tc>
        <w:tc>
          <w:tcPr>
            <w:tcW w:w="6663" w:type="dxa"/>
            <w:vMerge w:val="continue"/>
            <w:shd w:val="clear" w:color="auto" w:fill="auto"/>
            <w:vAlign w:val="center"/>
          </w:tcPr>
          <w:p>
            <w:pPr>
              <w:pStyle w:val="1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691" w:type="dxa"/>
            <w:shd w:val="clear" w:color="auto" w:fill="auto"/>
            <w:vAlign w:val="center"/>
          </w:tcPr>
          <w:p>
            <w:pPr>
              <w:pStyle w:val="180"/>
            </w:pPr>
            <w:r>
              <w:rPr>
                <w:rFonts w:hint="eastAsia"/>
              </w:rPr>
              <w:t>极限应变</w:t>
            </w:r>
          </w:p>
        </w:tc>
        <w:tc>
          <w:tcPr>
            <w:tcW w:w="6663" w:type="dxa"/>
            <w:shd w:val="clear" w:color="auto" w:fill="auto"/>
            <w:vAlign w:val="center"/>
          </w:tcPr>
          <w:p>
            <w:pPr>
              <w:pStyle w:val="180"/>
            </w:pPr>
            <w:r>
              <w:rPr>
                <w:rFonts w:hint="eastAsia"/>
              </w:rPr>
              <w:t>每个产品极限应变实测值不应小于极限应变设计值，且不应小于1.25倍设计位移对应的应变。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691" w:type="dxa"/>
            <w:shd w:val="clear" w:color="auto" w:fill="auto"/>
            <w:vAlign w:val="center"/>
          </w:tcPr>
          <w:p>
            <w:pPr>
              <w:pStyle w:val="180"/>
            </w:pPr>
            <w:r>
              <w:rPr>
                <w:rFonts w:hint="eastAsia"/>
              </w:rPr>
              <w:t>滞回曲线</w:t>
            </w:r>
          </w:p>
        </w:tc>
        <w:tc>
          <w:tcPr>
            <w:tcW w:w="6663" w:type="dxa"/>
            <w:shd w:val="clear" w:color="auto" w:fill="auto"/>
            <w:vAlign w:val="center"/>
          </w:tcPr>
          <w:p>
            <w:pPr>
              <w:pStyle w:val="180"/>
            </w:pPr>
            <w:r>
              <w:rPr>
                <w:rFonts w:hint="eastAsia"/>
              </w:rPr>
              <w:t>实测滞回曲线应光滑、无异常。</w:t>
            </w:r>
          </w:p>
        </w:tc>
      </w:tr>
    </w:tbl>
    <w:p>
      <w:pPr>
        <w:pStyle w:val="167"/>
      </w:pPr>
      <w:r>
        <w:rPr>
          <w:rFonts w:hint="eastAsia"/>
        </w:rPr>
        <w:t>黏弹性消能器耐久性能(包括老化性能、疲劳性能)试验方法应符合现行标准《建筑消能阻尼器》（GB/T 209）的规定。在相同的环境温度、加载幅值和频率下，黏弹性消能器耐久性能要求应符合表7.6.4-1的规定。</w:t>
      </w:r>
    </w:p>
    <w:p>
      <w:pPr>
        <w:pStyle w:val="114"/>
        <w:numPr>
          <w:ilvl w:val="0"/>
          <w:numId w:val="0"/>
        </w:numPr>
        <w:spacing w:before="156" w:after="156"/>
      </w:pPr>
      <w:r>
        <w:rPr>
          <w:rFonts w:hint="eastAsia"/>
        </w:rPr>
        <w:t>表7.6.4-1  黏弹性消能器耐久性能要求</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16"/>
        <w:gridCol w:w="1842"/>
        <w:gridCol w:w="61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416" w:type="dxa"/>
            <w:tcBorders>
              <w:top w:val="single" w:color="auto" w:sz="8" w:space="0"/>
              <w:bottom w:val="single" w:color="auto" w:sz="8" w:space="0"/>
            </w:tcBorders>
            <w:shd w:val="clear" w:color="auto" w:fill="auto"/>
            <w:vAlign w:val="center"/>
          </w:tcPr>
          <w:p>
            <w:pPr>
              <w:pStyle w:val="180"/>
            </w:pPr>
            <w:r>
              <w:rPr>
                <w:rFonts w:hint="eastAsia"/>
              </w:rPr>
              <w:t>试验内容</w:t>
            </w:r>
          </w:p>
        </w:tc>
        <w:tc>
          <w:tcPr>
            <w:tcW w:w="1842" w:type="dxa"/>
            <w:tcBorders>
              <w:top w:val="single" w:color="auto" w:sz="8" w:space="0"/>
              <w:bottom w:val="single" w:color="auto" w:sz="8" w:space="0"/>
            </w:tcBorders>
            <w:shd w:val="clear" w:color="auto" w:fill="auto"/>
            <w:vAlign w:val="center"/>
          </w:tcPr>
          <w:p>
            <w:pPr>
              <w:pStyle w:val="180"/>
            </w:pPr>
            <w:r>
              <w:rPr>
                <w:rFonts w:hint="eastAsia"/>
              </w:rPr>
              <w:t>项  目</w:t>
            </w:r>
          </w:p>
        </w:tc>
        <w:tc>
          <w:tcPr>
            <w:tcW w:w="6103" w:type="dxa"/>
            <w:tcBorders>
              <w:top w:val="single" w:color="auto" w:sz="8" w:space="0"/>
              <w:bottom w:val="single" w:color="auto" w:sz="8" w:space="0"/>
            </w:tcBorders>
            <w:shd w:val="clear" w:color="auto" w:fill="auto"/>
            <w:vAlign w:val="center"/>
          </w:tcPr>
          <w:p>
            <w:pPr>
              <w:pStyle w:val="180"/>
            </w:pPr>
            <w:r>
              <w:rPr>
                <w:rFonts w:hint="eastAsia"/>
              </w:rPr>
              <w:t>性  能  要  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tcBorders>
              <w:top w:val="single" w:color="auto" w:sz="8" w:space="0"/>
            </w:tcBorders>
            <w:shd w:val="clear" w:color="auto" w:fill="auto"/>
            <w:vAlign w:val="center"/>
          </w:tcPr>
          <w:p>
            <w:pPr>
              <w:pStyle w:val="180"/>
            </w:pPr>
            <w:r>
              <w:rPr>
                <w:rFonts w:hint="eastAsia"/>
              </w:rPr>
              <w:t>老化性能</w:t>
            </w:r>
          </w:p>
        </w:tc>
        <w:tc>
          <w:tcPr>
            <w:tcW w:w="1842" w:type="dxa"/>
            <w:tcBorders>
              <w:top w:val="single" w:color="auto" w:sz="8" w:space="0"/>
            </w:tcBorders>
            <w:shd w:val="clear" w:color="auto" w:fill="auto"/>
            <w:vAlign w:val="center"/>
          </w:tcPr>
          <w:p>
            <w:pPr>
              <w:pStyle w:val="180"/>
            </w:pPr>
            <w:r>
              <w:rPr>
                <w:rFonts w:hint="eastAsia"/>
              </w:rPr>
              <w:t>变形</w:t>
            </w:r>
          </w:p>
        </w:tc>
        <w:tc>
          <w:tcPr>
            <w:tcW w:w="6103" w:type="dxa"/>
            <w:tcBorders>
              <w:top w:val="single" w:color="auto" w:sz="8" w:space="0"/>
            </w:tcBorders>
            <w:shd w:val="clear" w:color="auto" w:fill="auto"/>
            <w:vAlign w:val="center"/>
          </w:tcPr>
          <w:p>
            <w:pPr>
              <w:pStyle w:val="180"/>
            </w:pPr>
            <w:r>
              <w:rPr>
                <w:rFonts w:hint="eastAsia"/>
              </w:rPr>
              <w:t>变化率在±15%以内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vAlign w:val="center"/>
          </w:tcPr>
          <w:p>
            <w:pPr>
              <w:pStyle w:val="180"/>
            </w:pPr>
          </w:p>
        </w:tc>
        <w:tc>
          <w:tcPr>
            <w:tcW w:w="1842" w:type="dxa"/>
            <w:shd w:val="clear" w:color="auto" w:fill="auto"/>
            <w:vAlign w:val="center"/>
          </w:tcPr>
          <w:p>
            <w:pPr>
              <w:pStyle w:val="180"/>
            </w:pPr>
            <w:r>
              <w:rPr>
                <w:rFonts w:hint="eastAsia"/>
              </w:rPr>
              <w:t>最大阻尼力、表观剪切模量、损耗因子</w:t>
            </w:r>
          </w:p>
        </w:tc>
        <w:tc>
          <w:tcPr>
            <w:tcW w:w="6103" w:type="dxa"/>
            <w:shd w:val="clear" w:color="auto" w:fill="auto"/>
            <w:vAlign w:val="center"/>
          </w:tcPr>
          <w:p>
            <w:pPr>
              <w:pStyle w:val="180"/>
            </w:pPr>
            <w:r>
              <w:rPr>
                <w:rFonts w:hint="eastAsia"/>
              </w:rPr>
              <w:t>变化率在±15%以内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vAlign w:val="center"/>
          </w:tcPr>
          <w:p>
            <w:pPr>
              <w:pStyle w:val="180"/>
            </w:pPr>
          </w:p>
        </w:tc>
        <w:tc>
          <w:tcPr>
            <w:tcW w:w="1842" w:type="dxa"/>
            <w:shd w:val="clear" w:color="auto" w:fill="auto"/>
            <w:vAlign w:val="center"/>
          </w:tcPr>
          <w:p>
            <w:pPr>
              <w:pStyle w:val="180"/>
            </w:pPr>
            <w:r>
              <w:rPr>
                <w:rFonts w:hint="eastAsia"/>
              </w:rPr>
              <w:t>外观</w:t>
            </w:r>
          </w:p>
        </w:tc>
        <w:tc>
          <w:tcPr>
            <w:tcW w:w="6103" w:type="dxa"/>
            <w:shd w:val="clear" w:color="auto" w:fill="auto"/>
            <w:vAlign w:val="center"/>
          </w:tcPr>
          <w:p>
            <w:pPr>
              <w:pStyle w:val="180"/>
            </w:pPr>
            <w:r>
              <w:rPr>
                <w:rFonts w:hint="eastAsia"/>
              </w:rPr>
              <w:t>目视无变化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shd w:val="clear" w:color="auto" w:fill="auto"/>
            <w:vAlign w:val="center"/>
          </w:tcPr>
          <w:p>
            <w:pPr>
              <w:pStyle w:val="180"/>
            </w:pPr>
            <w:r>
              <w:rPr>
                <w:rFonts w:hint="eastAsia"/>
              </w:rPr>
              <w:t>疲劳性能</w:t>
            </w:r>
          </w:p>
        </w:tc>
        <w:tc>
          <w:tcPr>
            <w:tcW w:w="1842" w:type="dxa"/>
            <w:shd w:val="clear" w:color="auto" w:fill="auto"/>
            <w:vAlign w:val="center"/>
          </w:tcPr>
          <w:p>
            <w:pPr>
              <w:pStyle w:val="180"/>
            </w:pPr>
            <w:r>
              <w:rPr>
                <w:rFonts w:hint="eastAsia"/>
              </w:rPr>
              <w:t>变形</w:t>
            </w:r>
          </w:p>
        </w:tc>
        <w:tc>
          <w:tcPr>
            <w:tcW w:w="6103" w:type="dxa"/>
            <w:shd w:val="clear" w:color="auto" w:fill="auto"/>
            <w:vAlign w:val="center"/>
          </w:tcPr>
          <w:p>
            <w:pPr>
              <w:pStyle w:val="180"/>
            </w:pPr>
            <w:r>
              <w:rPr>
                <w:rFonts w:hint="eastAsia"/>
              </w:rPr>
              <w:t>变化率在±15%以内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vAlign w:val="center"/>
          </w:tcPr>
          <w:p>
            <w:pPr>
              <w:pStyle w:val="180"/>
            </w:pPr>
          </w:p>
        </w:tc>
        <w:tc>
          <w:tcPr>
            <w:tcW w:w="1842" w:type="dxa"/>
            <w:shd w:val="clear" w:color="auto" w:fill="auto"/>
            <w:vAlign w:val="center"/>
          </w:tcPr>
          <w:p>
            <w:pPr>
              <w:pStyle w:val="180"/>
            </w:pPr>
            <w:r>
              <w:rPr>
                <w:rFonts w:hint="eastAsia"/>
              </w:rPr>
              <w:t>外观</w:t>
            </w:r>
          </w:p>
        </w:tc>
        <w:tc>
          <w:tcPr>
            <w:tcW w:w="6103" w:type="dxa"/>
            <w:shd w:val="clear" w:color="auto" w:fill="auto"/>
            <w:vAlign w:val="center"/>
          </w:tcPr>
          <w:p>
            <w:pPr>
              <w:pStyle w:val="180"/>
            </w:pPr>
            <w:r>
              <w:rPr>
                <w:rFonts w:hint="eastAsia"/>
              </w:rPr>
              <w:t>目视无变化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vAlign w:val="center"/>
          </w:tcPr>
          <w:p>
            <w:pPr>
              <w:pStyle w:val="180"/>
            </w:pPr>
          </w:p>
        </w:tc>
        <w:tc>
          <w:tcPr>
            <w:tcW w:w="1842" w:type="dxa"/>
            <w:shd w:val="clear" w:color="auto" w:fill="auto"/>
            <w:vAlign w:val="center"/>
          </w:tcPr>
          <w:p>
            <w:pPr>
              <w:pStyle w:val="180"/>
            </w:pPr>
            <w:r>
              <w:rPr>
                <w:rFonts w:hint="eastAsia"/>
              </w:rPr>
              <w:t>最大阻尼力</w:t>
            </w:r>
          </w:p>
        </w:tc>
        <w:tc>
          <w:tcPr>
            <w:tcW w:w="6103" w:type="dxa"/>
            <w:shd w:val="clear" w:color="auto" w:fill="auto"/>
            <w:vAlign w:val="center"/>
          </w:tcPr>
          <w:p>
            <w:pPr>
              <w:pStyle w:val="180"/>
            </w:pPr>
            <w:r>
              <w:rPr>
                <w:rFonts w:hint="eastAsia"/>
              </w:rPr>
              <w:t>实测产品在设计位移下连续加载30圈，从第3圈开始任一循环的最大、最小阻尼力应为所有循环的最大、最小阻尼力平均值的±15%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vAlign w:val="center"/>
          </w:tcPr>
          <w:p>
            <w:pPr>
              <w:pStyle w:val="180"/>
            </w:pPr>
          </w:p>
        </w:tc>
        <w:tc>
          <w:tcPr>
            <w:tcW w:w="1842" w:type="dxa"/>
            <w:shd w:val="clear" w:color="auto" w:fill="auto"/>
            <w:vAlign w:val="center"/>
          </w:tcPr>
          <w:p>
            <w:pPr>
              <w:pStyle w:val="180"/>
            </w:pPr>
            <w:r>
              <w:rPr>
                <w:rFonts w:hint="eastAsia"/>
              </w:rPr>
              <w:t>表观剪切模量</w:t>
            </w:r>
          </w:p>
        </w:tc>
        <w:tc>
          <w:tcPr>
            <w:tcW w:w="6103" w:type="dxa"/>
            <w:vMerge w:val="restart"/>
            <w:shd w:val="clear" w:color="auto" w:fill="auto"/>
            <w:vAlign w:val="center"/>
          </w:tcPr>
          <w:p>
            <w:pPr>
              <w:pStyle w:val="180"/>
            </w:pPr>
            <w:r>
              <w:rPr>
                <w:rFonts w:hint="eastAsia"/>
              </w:rPr>
              <w:t>变化率在±15%以内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vAlign w:val="center"/>
          </w:tcPr>
          <w:p>
            <w:pPr>
              <w:pStyle w:val="180"/>
            </w:pPr>
          </w:p>
        </w:tc>
        <w:tc>
          <w:tcPr>
            <w:tcW w:w="1842" w:type="dxa"/>
            <w:shd w:val="clear" w:color="auto" w:fill="auto"/>
            <w:vAlign w:val="center"/>
          </w:tcPr>
          <w:p>
            <w:pPr>
              <w:pStyle w:val="180"/>
            </w:pPr>
            <w:r>
              <w:rPr>
                <w:rFonts w:hint="eastAsia"/>
              </w:rPr>
              <w:t>损耗因子</w:t>
            </w:r>
          </w:p>
        </w:tc>
        <w:tc>
          <w:tcPr>
            <w:tcW w:w="6103" w:type="dxa"/>
            <w:vMerge w:val="continue"/>
            <w:shd w:val="clear" w:color="auto" w:fill="auto"/>
            <w:vAlign w:val="center"/>
          </w:tcPr>
          <w:p>
            <w:pPr>
              <w:pStyle w:val="1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vAlign w:val="center"/>
          </w:tcPr>
          <w:p>
            <w:pPr>
              <w:pStyle w:val="180"/>
            </w:pPr>
          </w:p>
        </w:tc>
        <w:tc>
          <w:tcPr>
            <w:tcW w:w="1842" w:type="dxa"/>
            <w:shd w:val="clear" w:color="auto" w:fill="auto"/>
            <w:vAlign w:val="center"/>
          </w:tcPr>
          <w:p>
            <w:pPr>
              <w:pStyle w:val="180"/>
            </w:pPr>
            <w:r>
              <w:rPr>
                <w:rFonts w:hint="eastAsia"/>
              </w:rPr>
              <w:t>滞回曲线面积</w:t>
            </w:r>
          </w:p>
        </w:tc>
        <w:tc>
          <w:tcPr>
            <w:tcW w:w="6103" w:type="dxa"/>
            <w:shd w:val="clear" w:color="auto" w:fill="auto"/>
            <w:vAlign w:val="center"/>
          </w:tcPr>
          <w:p>
            <w:pPr>
              <w:pStyle w:val="180"/>
            </w:pPr>
            <w:r>
              <w:rPr>
                <w:rFonts w:hint="eastAsia"/>
              </w:rPr>
              <w:t>实测产品在设计位移下连续加载30圈，从第3圈开始任一循环的滞回曲线面积应为所有循环的滞回曲线面积平均值的±15%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vAlign w:val="center"/>
          </w:tcPr>
          <w:p>
            <w:pPr>
              <w:pStyle w:val="180"/>
            </w:pPr>
          </w:p>
        </w:tc>
        <w:tc>
          <w:tcPr>
            <w:tcW w:w="1842" w:type="dxa"/>
            <w:vMerge w:val="restart"/>
            <w:shd w:val="clear" w:color="auto" w:fill="auto"/>
            <w:vAlign w:val="center"/>
          </w:tcPr>
          <w:p>
            <w:pPr>
              <w:pStyle w:val="180"/>
            </w:pPr>
            <w:r>
              <w:rPr>
                <w:rFonts w:hint="eastAsia"/>
              </w:rPr>
              <w:t>滞回曲线</w:t>
            </w:r>
          </w:p>
        </w:tc>
        <w:tc>
          <w:tcPr>
            <w:tcW w:w="6103" w:type="dxa"/>
            <w:shd w:val="clear" w:color="auto" w:fill="auto"/>
            <w:vAlign w:val="center"/>
          </w:tcPr>
          <w:p>
            <w:pPr>
              <w:pStyle w:val="180"/>
            </w:pPr>
            <w:r>
              <w:rPr>
                <w:rFonts w:hint="eastAsia"/>
              </w:rPr>
              <w:t>1）实测产品在设计位移下连续加载30圈，从第3圈开始任一循环中位移在零时的最大、最小阻尼力应为所有循环中位移在零时的最大、最小阻尼力平均值±15%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vAlign w:val="center"/>
          </w:tcPr>
          <w:p>
            <w:pPr>
              <w:pStyle w:val="180"/>
            </w:pPr>
          </w:p>
        </w:tc>
        <w:tc>
          <w:tcPr>
            <w:tcW w:w="1842" w:type="dxa"/>
            <w:vMerge w:val="continue"/>
            <w:shd w:val="clear" w:color="auto" w:fill="auto"/>
            <w:vAlign w:val="center"/>
          </w:tcPr>
          <w:p>
            <w:pPr>
              <w:pStyle w:val="180"/>
            </w:pPr>
          </w:p>
        </w:tc>
        <w:tc>
          <w:tcPr>
            <w:tcW w:w="6103" w:type="dxa"/>
            <w:shd w:val="clear" w:color="auto" w:fill="auto"/>
            <w:vAlign w:val="center"/>
          </w:tcPr>
          <w:p>
            <w:pPr>
              <w:pStyle w:val="180"/>
            </w:pPr>
            <w:r>
              <w:rPr>
                <w:rFonts w:hint="eastAsia"/>
              </w:rPr>
              <w:t>2）实测产品在设计位移下连续加载30圈，从第3圈开始任一循环中阻尼力在零时的最大、最小位移应为所有循环中阻尼力在零时的最大、最小位移平均值±15%</w:t>
            </w:r>
          </w:p>
        </w:tc>
      </w:tr>
    </w:tbl>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7.6.4</w:t>
      </w:r>
      <w:r>
        <w:rPr>
          <w:rFonts w:hint="eastAsia" w:ascii="华文楷体" w:hAnsi="华文楷体" w:eastAsia="华文楷体" w:cs="华文楷体"/>
          <w:color w:val="0000FF"/>
          <w:szCs w:val="22"/>
        </w:rPr>
        <w:t>同一试件如需进行两个及以上项目的试验，在试件未发生破坏的基础上，相邻工况之间需有足够的时间间隔，以保证黏弹性耗能器力学性能得到有效恢复。黏弹性耗能器的破坏以黏弹性材料与约束钢构件出现剥离现象或耗能器力学性能出现快速下降或不稳定现象为标志。</w:t>
      </w:r>
    </w:p>
    <w:p>
      <w:pPr>
        <w:pStyle w:val="167"/>
      </w:pPr>
      <w:r>
        <w:rPr>
          <w:rFonts w:hint="eastAsia"/>
        </w:rPr>
        <w:t>黏弹性消能器在-10℃~40℃下，在1.0</w:t>
      </w:r>
      <w:r>
        <w:rPr>
          <w:rFonts w:ascii="Times New Roman"/>
          <w:szCs w:val="21"/>
        </w:rPr>
        <w:t xml:space="preserve"> </w:t>
      </w:r>
      <w:r>
        <w:rPr>
          <w:rFonts w:ascii="Times New Roman"/>
          <w:position w:val="-10"/>
          <w:szCs w:val="21"/>
        </w:rPr>
        <w:object>
          <v:shape id="_x0000_i1170" o:spt="75" type="#_x0000_t75" style="height:16.15pt;width:11pt;" o:ole="t" filled="f" o:preferrelative="t" stroked="f" coordsize="21600,21600">
            <v:path/>
            <v:fill on="f" focussize="0,0"/>
            <v:stroke on="f" joinstyle="miter"/>
            <v:imagedata r:id="rId278" o:title=""/>
            <o:lock v:ext="edit" aspectratio="t"/>
            <w10:wrap type="none"/>
            <w10:anchorlock/>
          </v:shape>
          <o:OLEObject Type="Embed" ProgID="Equation.DSMT4" ShapeID="_x0000_i1170" DrawAspect="Content" ObjectID="_1468075870" r:id="rId287">
            <o:LockedField>false</o:LockedField>
          </o:OLEObject>
        </w:object>
      </w:r>
      <w:r>
        <w:rPr>
          <w:rFonts w:hint="eastAsia"/>
        </w:rPr>
        <w:t>测试频率下，输入位移采用公式7.5.4-1，每隔10℃记录消能器最大阻尼力的实测值，不应小于设计值的85%。</w:t>
      </w:r>
    </w:p>
    <w:p>
      <w:pPr>
        <w:pStyle w:val="107"/>
        <w:spacing w:before="156" w:after="156"/>
        <w:jc w:val="center"/>
      </w:pPr>
      <w:r>
        <w:rPr>
          <w:rFonts w:hint="eastAsia"/>
        </w:rPr>
        <w:t>铅黏弹性消能器</w:t>
      </w:r>
    </w:p>
    <w:p>
      <w:pPr>
        <w:pStyle w:val="167"/>
      </w:pPr>
      <w:r>
        <w:rPr>
          <w:rFonts w:hint="eastAsia"/>
        </w:rPr>
        <w:t>铅黏弹性消能器主要由黏弹性材料、铅和钢材组成，其中黏弹性材料和铅为耗能材料，钢材为非消能元件。</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7.7.1</w:t>
      </w:r>
      <w:r>
        <w:rPr>
          <w:rFonts w:hint="eastAsia" w:ascii="华文楷体" w:hAnsi="华文楷体" w:eastAsia="华文楷体" w:cs="华文楷体"/>
          <w:color w:val="0000FF"/>
          <w:szCs w:val="22"/>
        </w:rPr>
        <w:t>：铅黏弹消能器中的钢材包括剪切板、约束板、薄钢板、连接板等。</w:t>
      </w:r>
    </w:p>
    <w:p>
      <w:pPr>
        <w:pStyle w:val="167"/>
      </w:pPr>
      <w:r>
        <w:rPr>
          <w:rFonts w:hint="eastAsia"/>
        </w:rPr>
        <w:t>铅黏弹性消能器的外观及内部应符合7.6.1条规定。</w:t>
      </w:r>
    </w:p>
    <w:p>
      <w:pPr>
        <w:pStyle w:val="167"/>
      </w:pPr>
      <w:r>
        <w:rPr>
          <w:rFonts w:hint="eastAsia"/>
        </w:rPr>
        <w:t>黏弹性材料性能要求应符合现行行业标准《建筑消能阻尼器》（JG/T 209）的规定。</w:t>
      </w:r>
    </w:p>
    <w:p>
      <w:pPr>
        <w:pStyle w:val="58"/>
        <w:ind w:firstLine="420"/>
      </w:pPr>
      <w:r>
        <w:rPr>
          <w:rFonts w:hint="eastAsia"/>
        </w:rPr>
        <w:t>钢材等级不应低于Q235，且其质量指标应符合现行国家标准《碳素结构钢和低合金结构钢热轧钢板和钢带》（GB/T 3274）中的相关规定。</w:t>
      </w:r>
    </w:p>
    <w:p>
      <w:pPr>
        <w:pStyle w:val="58"/>
        <w:ind w:firstLine="420"/>
        <w:rPr>
          <w:color w:val="FF0000"/>
        </w:rPr>
      </w:pPr>
      <w:r>
        <w:rPr>
          <w:rFonts w:hint="eastAsia"/>
          <w:color w:val="FF0000"/>
        </w:rPr>
        <w:t>铅宜采用铅锭经加工而成，铅锭应符合现行国家标准《铅锭》GB/T</w:t>
      </w:r>
      <w:r>
        <w:rPr>
          <w:color w:val="FF0000"/>
        </w:rPr>
        <w:t xml:space="preserve"> </w:t>
      </w:r>
      <w:r>
        <w:rPr>
          <w:rFonts w:hint="eastAsia"/>
          <w:color w:val="FF0000"/>
        </w:rPr>
        <w:t>469的规定。</w:t>
      </w:r>
    </w:p>
    <w:p>
      <w:pPr>
        <w:widowControl/>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7.7.3</w:t>
      </w:r>
      <w:r>
        <w:rPr>
          <w:rFonts w:hint="eastAsia" w:ascii="华文楷体" w:hAnsi="华文楷体" w:eastAsia="华文楷体" w:cs="华文楷体"/>
          <w:color w:val="0000FF"/>
          <w:szCs w:val="22"/>
        </w:rPr>
        <w:t>：</w:t>
      </w:r>
      <w:bookmarkStart w:id="51" w:name="_Hlk89847359"/>
      <w:r>
        <w:rPr>
          <w:rFonts w:hint="eastAsia" w:ascii="华文楷体" w:hAnsi="华文楷体" w:eastAsia="华文楷体" w:cs="华文楷体"/>
          <w:color w:val="0000FF"/>
          <w:szCs w:val="22"/>
        </w:rPr>
        <w:t>铅黏弹性消能器中的钢材应具备足够的强度，按照非消能元件设计要求，在</w:t>
      </w:r>
      <w:r>
        <w:rPr>
          <w:rFonts w:ascii="华文楷体" w:hAnsi="华文楷体" w:eastAsia="华文楷体" w:cs="华文楷体"/>
          <w:color w:val="0000FF"/>
          <w:szCs w:val="22"/>
        </w:rPr>
        <w:t>1.5</w:t>
      </w:r>
      <w:r>
        <w:rPr>
          <w:rFonts w:hint="eastAsia" w:ascii="华文楷体" w:hAnsi="华文楷体" w:eastAsia="华文楷体" w:cs="华文楷体"/>
          <w:color w:val="0000FF"/>
          <w:szCs w:val="22"/>
        </w:rPr>
        <w:t>倍极限阻尼力下仍应保持在弹性状态，因此建议钢材等级不应低于</w:t>
      </w:r>
      <w:r>
        <w:rPr>
          <w:rFonts w:ascii="华文楷体" w:hAnsi="华文楷体" w:eastAsia="华文楷体" w:cs="华文楷体"/>
          <w:color w:val="0000FF"/>
          <w:szCs w:val="22"/>
        </w:rPr>
        <w:t>Q235</w:t>
      </w:r>
      <w:r>
        <w:rPr>
          <w:rFonts w:hint="eastAsia" w:ascii="华文楷体" w:hAnsi="华文楷体" w:eastAsia="华文楷体" w:cs="华文楷体"/>
          <w:color w:val="0000FF"/>
          <w:szCs w:val="22"/>
        </w:rPr>
        <w:t>。</w:t>
      </w:r>
      <w:bookmarkEnd w:id="51"/>
    </w:p>
    <w:p>
      <w:pPr>
        <w:pStyle w:val="167"/>
      </w:pPr>
      <w:r>
        <w:rPr>
          <w:rFonts w:hint="eastAsia"/>
        </w:rPr>
        <w:t>铅黏弹性消能器性能要求及试验方法应根据位移相关型消能器和速度相关型消能器的性能综合考虑确定。</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7.7.4</w:t>
      </w:r>
      <w:r>
        <w:rPr>
          <w:rFonts w:hint="eastAsia" w:ascii="华文楷体" w:hAnsi="华文楷体" w:eastAsia="华文楷体" w:cs="华文楷体"/>
          <w:color w:val="0000FF"/>
          <w:szCs w:val="22"/>
        </w:rPr>
        <w:t>：铅黏弹性消能器属于复合型消能器，包括黏弹材料和铅两种耗能材料，阻尼力也由这两种耗能材料提供。若铅黏弹性消能器中的黏弹性材料为普通天然橡胶，其位移相关型消能器的特征比较明显，常规力学性能要求和试验方法宜按位移相关型消能器确定。当铅黏弹性消能器中采用高阻尼黏弹性材料时，铅黏弹性消能器的耗能特性同时包括速度相关型和位移相关型消能器的特征，因此其性能要求及相应试验方法应根据位移相关型消能器和速度相关型消能器的性能综合考虑确定。</w:t>
      </w:r>
    </w:p>
    <w:p>
      <w:pPr>
        <w:pStyle w:val="167"/>
      </w:pPr>
      <w:r>
        <w:rPr>
          <w:rFonts w:hint="eastAsia"/>
        </w:rPr>
        <w:t>铅黏弹性消能器耐久性能包括老化性能和疲劳性能，其试验方法和性能要求应符合表7.7.5-1的规定。</w:t>
      </w:r>
    </w:p>
    <w:p>
      <w:pPr>
        <w:pStyle w:val="114"/>
        <w:numPr>
          <w:ilvl w:val="0"/>
          <w:numId w:val="0"/>
        </w:numPr>
        <w:spacing w:before="156" w:after="156"/>
      </w:pPr>
      <w:r>
        <w:rPr>
          <w:rFonts w:hint="eastAsia"/>
        </w:rPr>
        <w:t>表 7.7.5-1 铅黏弹消能器耐久性能要求</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50"/>
        <w:gridCol w:w="1876"/>
        <w:gridCol w:w="2478"/>
        <w:gridCol w:w="25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1250" w:type="dxa"/>
            <w:tcBorders>
              <w:top w:val="single" w:color="auto" w:sz="8" w:space="0"/>
              <w:bottom w:val="single" w:color="auto" w:sz="8" w:space="0"/>
            </w:tcBorders>
            <w:shd w:val="clear" w:color="auto" w:fill="auto"/>
            <w:vAlign w:val="center"/>
          </w:tcPr>
          <w:p>
            <w:pPr>
              <w:pStyle w:val="180"/>
            </w:pPr>
            <w:r>
              <w:rPr>
                <w:rFonts w:hint="eastAsia"/>
              </w:rPr>
              <w:t>实验内容</w:t>
            </w:r>
          </w:p>
        </w:tc>
        <w:tc>
          <w:tcPr>
            <w:tcW w:w="1876" w:type="dxa"/>
            <w:tcBorders>
              <w:top w:val="single" w:color="auto" w:sz="8" w:space="0"/>
              <w:bottom w:val="single" w:color="auto" w:sz="8" w:space="0"/>
            </w:tcBorders>
            <w:shd w:val="clear" w:color="auto" w:fill="auto"/>
            <w:vAlign w:val="center"/>
          </w:tcPr>
          <w:p>
            <w:pPr>
              <w:pStyle w:val="180"/>
            </w:pPr>
            <w:r>
              <w:rPr>
                <w:rFonts w:hint="eastAsia"/>
              </w:rPr>
              <w:t>项目</w:t>
            </w:r>
          </w:p>
        </w:tc>
        <w:tc>
          <w:tcPr>
            <w:tcW w:w="2478" w:type="dxa"/>
            <w:tcBorders>
              <w:top w:val="single" w:color="auto" w:sz="8" w:space="0"/>
              <w:bottom w:val="single" w:color="auto" w:sz="8" w:space="0"/>
            </w:tcBorders>
            <w:shd w:val="clear" w:color="auto" w:fill="auto"/>
            <w:vAlign w:val="center"/>
          </w:tcPr>
          <w:p>
            <w:pPr>
              <w:pStyle w:val="180"/>
            </w:pPr>
            <w:r>
              <w:rPr>
                <w:rFonts w:hint="eastAsia"/>
              </w:rPr>
              <w:t>性能要求</w:t>
            </w:r>
          </w:p>
        </w:tc>
        <w:tc>
          <w:tcPr>
            <w:tcW w:w="2547" w:type="dxa"/>
            <w:tcBorders>
              <w:top w:val="single" w:color="auto" w:sz="8" w:space="0"/>
              <w:bottom w:val="single" w:color="auto" w:sz="8" w:space="0"/>
            </w:tcBorders>
            <w:shd w:val="clear" w:color="auto" w:fill="auto"/>
            <w:vAlign w:val="center"/>
          </w:tcPr>
          <w:p>
            <w:pPr>
              <w:pStyle w:val="180"/>
            </w:pPr>
            <w:r>
              <w:rPr>
                <w:rFonts w:hint="eastAsia"/>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1250" w:type="dxa"/>
            <w:vMerge w:val="restart"/>
            <w:tcBorders>
              <w:top w:val="single" w:color="auto" w:sz="8" w:space="0"/>
            </w:tcBorders>
            <w:shd w:val="clear" w:color="auto" w:fill="auto"/>
            <w:vAlign w:val="center"/>
          </w:tcPr>
          <w:p>
            <w:pPr>
              <w:pStyle w:val="180"/>
            </w:pPr>
            <w:r>
              <w:rPr>
                <w:rFonts w:hint="eastAsia"/>
              </w:rPr>
              <w:t>老化性能</w:t>
            </w:r>
          </w:p>
        </w:tc>
        <w:tc>
          <w:tcPr>
            <w:tcW w:w="1876" w:type="dxa"/>
            <w:tcBorders>
              <w:top w:val="single" w:color="auto" w:sz="8" w:space="0"/>
            </w:tcBorders>
            <w:shd w:val="clear" w:color="auto" w:fill="auto"/>
            <w:vAlign w:val="center"/>
          </w:tcPr>
          <w:p>
            <w:pPr>
              <w:pStyle w:val="180"/>
            </w:pPr>
            <w:r>
              <w:rPr>
                <w:rFonts w:hint="eastAsia"/>
              </w:rPr>
              <w:t>极限变形</w:t>
            </w:r>
          </w:p>
        </w:tc>
        <w:tc>
          <w:tcPr>
            <w:tcW w:w="2478" w:type="dxa"/>
            <w:tcBorders>
              <w:top w:val="single" w:color="auto" w:sz="8" w:space="0"/>
            </w:tcBorders>
            <w:shd w:val="clear" w:color="auto" w:fill="auto"/>
            <w:vAlign w:val="center"/>
          </w:tcPr>
          <w:p>
            <w:pPr>
              <w:pStyle w:val="180"/>
            </w:pPr>
            <w:r>
              <w:rPr>
                <w:rFonts w:hint="eastAsia"/>
              </w:rPr>
              <w:t>老化后实测值不应小于设计位移</w:t>
            </w:r>
          </w:p>
        </w:tc>
        <w:tc>
          <w:tcPr>
            <w:tcW w:w="2547" w:type="dxa"/>
            <w:vMerge w:val="restart"/>
            <w:tcBorders>
              <w:top w:val="single" w:color="auto" w:sz="8" w:space="0"/>
            </w:tcBorders>
            <w:shd w:val="clear" w:color="auto" w:fill="auto"/>
            <w:vAlign w:val="center"/>
          </w:tcPr>
          <w:p>
            <w:pPr>
              <w:pStyle w:val="180"/>
            </w:pPr>
            <w:r>
              <w:rPr>
                <w:rFonts w:hint="eastAsia"/>
              </w:rPr>
              <w:t>将试件放入鼓风电热恒温干燥箱中，保持温度80℃，经192h后取出并冷却至室温后，做常规力学性能试验。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1250" w:type="dxa"/>
            <w:vMerge w:val="continue"/>
            <w:shd w:val="clear" w:color="auto" w:fill="auto"/>
            <w:vAlign w:val="center"/>
          </w:tcPr>
          <w:p>
            <w:pPr>
              <w:pStyle w:val="180"/>
            </w:pPr>
          </w:p>
        </w:tc>
        <w:tc>
          <w:tcPr>
            <w:tcW w:w="1876" w:type="dxa"/>
            <w:shd w:val="clear" w:color="auto" w:fill="auto"/>
            <w:vAlign w:val="center"/>
          </w:tcPr>
          <w:p>
            <w:pPr>
              <w:pStyle w:val="180"/>
            </w:pPr>
            <w:r>
              <w:rPr>
                <w:rFonts w:hint="eastAsia"/>
              </w:rPr>
              <w:t>最大阻尼力</w:t>
            </w:r>
          </w:p>
        </w:tc>
        <w:tc>
          <w:tcPr>
            <w:tcW w:w="2478" w:type="dxa"/>
            <w:shd w:val="clear" w:color="auto" w:fill="auto"/>
            <w:vAlign w:val="center"/>
          </w:tcPr>
          <w:p>
            <w:pPr>
              <w:pStyle w:val="180"/>
            </w:pPr>
            <w:r>
              <w:rPr>
                <w:rFonts w:hint="eastAsia"/>
              </w:rPr>
              <w:t>变化率±15%以内</w:t>
            </w:r>
          </w:p>
        </w:tc>
        <w:tc>
          <w:tcPr>
            <w:tcW w:w="2547" w:type="dxa"/>
            <w:vMerge w:val="continue"/>
            <w:shd w:val="clear" w:color="auto" w:fill="auto"/>
            <w:vAlign w:val="center"/>
          </w:tcPr>
          <w:p>
            <w:pPr>
              <w:pStyle w:val="1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1250" w:type="dxa"/>
            <w:vMerge w:val="continue"/>
            <w:shd w:val="clear" w:color="auto" w:fill="auto"/>
            <w:vAlign w:val="center"/>
          </w:tcPr>
          <w:p>
            <w:pPr>
              <w:pStyle w:val="180"/>
            </w:pPr>
          </w:p>
        </w:tc>
        <w:tc>
          <w:tcPr>
            <w:tcW w:w="1876" w:type="dxa"/>
            <w:shd w:val="clear" w:color="auto" w:fill="auto"/>
            <w:vAlign w:val="center"/>
          </w:tcPr>
          <w:p>
            <w:pPr>
              <w:pStyle w:val="180"/>
            </w:pPr>
            <w:r>
              <w:rPr>
                <w:rFonts w:hint="eastAsia"/>
              </w:rPr>
              <w:t>外观</w:t>
            </w:r>
          </w:p>
        </w:tc>
        <w:tc>
          <w:tcPr>
            <w:tcW w:w="2478" w:type="dxa"/>
            <w:shd w:val="clear" w:color="auto" w:fill="auto"/>
            <w:vAlign w:val="center"/>
          </w:tcPr>
          <w:p>
            <w:pPr>
              <w:pStyle w:val="180"/>
            </w:pPr>
            <w:r>
              <w:rPr>
                <w:rFonts w:hint="eastAsia"/>
              </w:rPr>
              <w:t>目测无变化</w:t>
            </w:r>
          </w:p>
        </w:tc>
        <w:tc>
          <w:tcPr>
            <w:tcW w:w="2547" w:type="dxa"/>
            <w:vMerge w:val="continue"/>
            <w:shd w:val="clear" w:color="auto" w:fill="auto"/>
            <w:vAlign w:val="center"/>
          </w:tcPr>
          <w:p>
            <w:pPr>
              <w:pStyle w:val="1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1250" w:type="dxa"/>
            <w:vMerge w:val="restart"/>
            <w:shd w:val="clear" w:color="auto" w:fill="auto"/>
            <w:vAlign w:val="center"/>
          </w:tcPr>
          <w:p>
            <w:pPr>
              <w:pStyle w:val="180"/>
            </w:pPr>
            <w:r>
              <w:rPr>
                <w:rFonts w:hint="eastAsia"/>
              </w:rPr>
              <w:t>疲劳性能</w:t>
            </w:r>
          </w:p>
        </w:tc>
        <w:tc>
          <w:tcPr>
            <w:tcW w:w="1876" w:type="dxa"/>
            <w:shd w:val="clear" w:color="auto" w:fill="auto"/>
            <w:vAlign w:val="center"/>
          </w:tcPr>
          <w:p>
            <w:pPr>
              <w:pStyle w:val="180"/>
            </w:pPr>
            <w:r>
              <w:rPr>
                <w:rFonts w:hint="eastAsia"/>
              </w:rPr>
              <w:t>最大阻尼力</w:t>
            </w:r>
          </w:p>
        </w:tc>
        <w:tc>
          <w:tcPr>
            <w:tcW w:w="2478" w:type="dxa"/>
            <w:shd w:val="clear" w:color="auto" w:fill="auto"/>
            <w:vAlign w:val="center"/>
          </w:tcPr>
          <w:p>
            <w:pPr>
              <w:pStyle w:val="180"/>
            </w:pPr>
            <w:r>
              <w:rPr>
                <w:rFonts w:hint="eastAsia"/>
              </w:rPr>
              <w:t>任一圈滞回曲线的最大阻尼力应为所有循环的最大阻尼力平均值的 ± 15%</w:t>
            </w:r>
          </w:p>
        </w:tc>
        <w:tc>
          <w:tcPr>
            <w:tcW w:w="2547" w:type="dxa"/>
            <w:vMerge w:val="restart"/>
            <w:shd w:val="clear" w:color="auto" w:fill="auto"/>
            <w:vAlign w:val="center"/>
          </w:tcPr>
          <w:p>
            <w:pPr>
              <w:pStyle w:val="180"/>
            </w:pPr>
            <w:r>
              <w:rPr>
                <w:rFonts w:hint="eastAsia"/>
              </w:rPr>
              <w:t>试件在设计位移下重复加载30圈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1250" w:type="dxa"/>
            <w:vMerge w:val="continue"/>
            <w:shd w:val="clear" w:color="auto" w:fill="auto"/>
            <w:vAlign w:val="center"/>
          </w:tcPr>
          <w:p>
            <w:pPr>
              <w:pStyle w:val="180"/>
            </w:pPr>
          </w:p>
        </w:tc>
        <w:tc>
          <w:tcPr>
            <w:tcW w:w="1876" w:type="dxa"/>
            <w:shd w:val="clear" w:color="auto" w:fill="auto"/>
            <w:vAlign w:val="center"/>
          </w:tcPr>
          <w:p>
            <w:pPr>
              <w:pStyle w:val="180"/>
            </w:pPr>
            <w:r>
              <w:rPr>
                <w:rFonts w:hint="eastAsia"/>
              </w:rPr>
              <w:t>滞回曲线</w:t>
            </w:r>
          </w:p>
        </w:tc>
        <w:tc>
          <w:tcPr>
            <w:tcW w:w="2478" w:type="dxa"/>
            <w:shd w:val="clear" w:color="auto" w:fill="auto"/>
            <w:vAlign w:val="center"/>
          </w:tcPr>
          <w:p>
            <w:pPr>
              <w:pStyle w:val="180"/>
            </w:pPr>
            <w:r>
              <w:rPr>
                <w:rFonts w:hint="eastAsia"/>
              </w:rPr>
              <w:t>实测滞回曲线应光滑饱满，无明显异常</w:t>
            </w:r>
          </w:p>
        </w:tc>
        <w:tc>
          <w:tcPr>
            <w:tcW w:w="2547" w:type="dxa"/>
            <w:vMerge w:val="continue"/>
            <w:shd w:val="clear" w:color="auto" w:fill="auto"/>
            <w:vAlign w:val="center"/>
          </w:tcPr>
          <w:p>
            <w:pPr>
              <w:pStyle w:val="1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1250" w:type="dxa"/>
            <w:vMerge w:val="continue"/>
            <w:shd w:val="clear" w:color="auto" w:fill="auto"/>
            <w:vAlign w:val="center"/>
          </w:tcPr>
          <w:p>
            <w:pPr>
              <w:pStyle w:val="180"/>
            </w:pPr>
          </w:p>
        </w:tc>
        <w:tc>
          <w:tcPr>
            <w:tcW w:w="1876" w:type="dxa"/>
            <w:shd w:val="clear" w:color="auto" w:fill="auto"/>
            <w:vAlign w:val="center"/>
          </w:tcPr>
          <w:p>
            <w:pPr>
              <w:pStyle w:val="180"/>
            </w:pPr>
            <w:r>
              <w:rPr>
                <w:rFonts w:hint="eastAsia"/>
              </w:rPr>
              <w:t>外观</w:t>
            </w:r>
          </w:p>
        </w:tc>
        <w:tc>
          <w:tcPr>
            <w:tcW w:w="2478" w:type="dxa"/>
            <w:shd w:val="clear" w:color="auto" w:fill="auto"/>
            <w:vAlign w:val="center"/>
          </w:tcPr>
          <w:p>
            <w:pPr>
              <w:pStyle w:val="180"/>
            </w:pPr>
            <w:r>
              <w:rPr>
                <w:rFonts w:hint="eastAsia"/>
              </w:rPr>
              <w:t>目测无变化</w:t>
            </w:r>
          </w:p>
        </w:tc>
        <w:tc>
          <w:tcPr>
            <w:tcW w:w="2547" w:type="dxa"/>
            <w:vMerge w:val="continue"/>
            <w:shd w:val="clear" w:color="auto" w:fill="auto"/>
            <w:vAlign w:val="center"/>
          </w:tcPr>
          <w:p>
            <w:pPr>
              <w:pStyle w:val="180"/>
            </w:pPr>
          </w:p>
        </w:tc>
      </w:tr>
    </w:tbl>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7.7.5</w:t>
      </w:r>
      <w:r>
        <w:rPr>
          <w:rFonts w:hint="eastAsia" w:ascii="华文楷体" w:hAnsi="华文楷体" w:eastAsia="华文楷体" w:cs="华文楷体"/>
          <w:color w:val="0000FF"/>
          <w:szCs w:val="22"/>
        </w:rPr>
        <w:t>：目前，《建筑消能减震技术规程》和《建筑消能阻尼器》规定消能器的极限位移不应小于设计位移的</w:t>
      </w:r>
      <w:r>
        <w:rPr>
          <w:rFonts w:ascii="华文楷体" w:hAnsi="华文楷体" w:eastAsia="华文楷体" w:cs="华文楷体"/>
          <w:color w:val="0000FF"/>
          <w:szCs w:val="22"/>
        </w:rPr>
        <w:t>1.2</w:t>
      </w:r>
      <w:r>
        <w:rPr>
          <w:rFonts w:hint="eastAsia" w:ascii="华文楷体" w:hAnsi="华文楷体" w:eastAsia="华文楷体" w:cs="华文楷体"/>
          <w:color w:val="0000FF"/>
          <w:szCs w:val="22"/>
        </w:rPr>
        <w:t>倍。同时，规定黏弹性消能器的极限变形能力老化后变化率在±</w:t>
      </w:r>
      <w:r>
        <w:rPr>
          <w:rFonts w:ascii="华文楷体" w:hAnsi="华文楷体" w:eastAsia="华文楷体" w:cs="华文楷体"/>
          <w:color w:val="0000FF"/>
          <w:szCs w:val="22"/>
        </w:rPr>
        <w:t>15%</w:t>
      </w:r>
      <w:r>
        <w:rPr>
          <w:rFonts w:hint="eastAsia" w:ascii="华文楷体" w:hAnsi="华文楷体" w:eastAsia="华文楷体" w:cs="华文楷体"/>
          <w:color w:val="0000FF"/>
          <w:szCs w:val="22"/>
        </w:rPr>
        <w:t>以内。按照下限原则，定消能器极限位移为设计位移的</w:t>
      </w:r>
      <w:r>
        <w:rPr>
          <w:rFonts w:ascii="华文楷体" w:hAnsi="华文楷体" w:eastAsia="华文楷体" w:cs="华文楷体"/>
          <w:color w:val="0000FF"/>
          <w:szCs w:val="22"/>
        </w:rPr>
        <w:t>1.2</w:t>
      </w:r>
      <w:r>
        <w:rPr>
          <w:rFonts w:hint="eastAsia" w:ascii="华文楷体" w:hAnsi="华文楷体" w:eastAsia="华文楷体" w:cs="华文楷体"/>
          <w:color w:val="0000FF"/>
          <w:szCs w:val="22"/>
        </w:rPr>
        <w:t>倍，老化后极限变形能力下降</w:t>
      </w:r>
      <w:r>
        <w:rPr>
          <w:rFonts w:ascii="华文楷体" w:hAnsi="华文楷体" w:eastAsia="华文楷体" w:cs="华文楷体"/>
          <w:color w:val="0000FF"/>
          <w:szCs w:val="22"/>
        </w:rPr>
        <w:t>15%</w:t>
      </w:r>
      <w:r>
        <w:rPr>
          <w:rFonts w:hint="eastAsia" w:ascii="华文楷体" w:hAnsi="华文楷体" w:eastAsia="华文楷体" w:cs="华文楷体"/>
          <w:color w:val="0000FF"/>
          <w:szCs w:val="22"/>
        </w:rPr>
        <w:t>为：</w:t>
      </w:r>
      <w:r>
        <w:rPr>
          <w:rFonts w:ascii="华文楷体" w:hAnsi="华文楷体" w:eastAsia="华文楷体" w:cs="华文楷体"/>
          <w:color w:val="0000FF"/>
          <w:szCs w:val="22"/>
        </w:rPr>
        <w:t>1.2</w:t>
      </w:r>
      <w:r>
        <w:rPr>
          <w:rFonts w:hint="eastAsia" w:ascii="华文楷体" w:hAnsi="华文楷体" w:eastAsia="华文楷体" w:cs="华文楷体"/>
          <w:color w:val="0000FF"/>
          <w:szCs w:val="22"/>
        </w:rPr>
        <w:t>×</w:t>
      </w:r>
      <w:r>
        <w:rPr>
          <w:rFonts w:ascii="华文楷体" w:hAnsi="华文楷体" w:eastAsia="华文楷体" w:cs="华文楷体"/>
          <w:color w:val="0000FF"/>
          <w:szCs w:val="22"/>
        </w:rPr>
        <w:t>0.85 = 1.02</w:t>
      </w:r>
      <w:r>
        <w:rPr>
          <w:rFonts w:hint="eastAsia" w:ascii="华文楷体" w:hAnsi="华文楷体" w:eastAsia="华文楷体" w:cs="华文楷体"/>
          <w:color w:val="0000FF"/>
          <w:szCs w:val="22"/>
        </w:rPr>
        <w:t>倍的设计位移。在表</w:t>
      </w:r>
      <w:r>
        <w:rPr>
          <w:rFonts w:ascii="华文楷体" w:hAnsi="华文楷体" w:eastAsia="华文楷体" w:cs="华文楷体"/>
          <w:color w:val="0000FF"/>
          <w:szCs w:val="22"/>
        </w:rPr>
        <w:t>7.7.5-1</w:t>
      </w:r>
      <w:r>
        <w:rPr>
          <w:rFonts w:hint="eastAsia" w:ascii="华文楷体" w:hAnsi="华文楷体" w:eastAsia="华文楷体" w:cs="华文楷体"/>
          <w:color w:val="0000FF"/>
          <w:szCs w:val="22"/>
        </w:rPr>
        <w:t>中，将铅黏弹性消能器老化后的极限变形能力简化为：不应小于设计位移。这样仍可确保铅黏弹性消能器老化后在罕遇地震下可正常工作，同时又便于工程检测。</w:t>
      </w:r>
    </w:p>
    <w:p>
      <w:pPr>
        <w:pStyle w:val="167"/>
      </w:pPr>
      <w:r>
        <w:rPr>
          <w:rFonts w:hint="eastAsia"/>
        </w:rPr>
        <w:t>铅黏弹性消能器变形相关性、频率相关性和温度相关性试验方法应符合现行业标准《建筑消能阻尼器》（JG/T 209）的规定。最大阻尼力的变形相关性、频率相关性和温度相关性的试验值应分别随变形、频率和温度的变化而连续变化，其试验值不应发生突变。</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7.7.6</w:t>
      </w:r>
      <w:r>
        <w:rPr>
          <w:rFonts w:hint="eastAsia" w:ascii="华文楷体" w:hAnsi="华文楷体" w:eastAsia="华文楷体" w:cs="华文楷体"/>
          <w:color w:val="0000FF"/>
          <w:szCs w:val="22"/>
        </w:rPr>
        <w:t>：由于黏弹性材料是铅黏弹性消能器中的耗能材料之一，因此应确保消能器在不同频率、变形及温度下均能正常发挥耗能减震功能，性能不发生突变。</w:t>
      </w:r>
      <w:r>
        <w:rPr>
          <w:rFonts w:ascii="华文楷体" w:hAnsi="华文楷体" w:eastAsia="华文楷体" w:cs="华文楷体"/>
          <w:color w:val="0000FF"/>
          <w:szCs w:val="2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华文楷体" w:hAnsi="华文楷体" w:eastAsia="华文楷体" w:cs="华文楷体"/>
          <w:color w:val="0000FF"/>
          <w:szCs w:val="22"/>
        </w:rPr>
        <w:instrText xml:space="preserve">ADDIN CNKISM.UserStyle</w:instrText>
      </w:r>
      <w:r>
        <w:rPr>
          <w:rFonts w:ascii="华文楷体" w:hAnsi="华文楷体" w:eastAsia="华文楷体" w:cs="华文楷体"/>
          <w:color w:val="0000FF"/>
          <w:szCs w:val="22"/>
        </w:rPr>
        <w:fldChar w:fldCharType="end"/>
      </w:r>
    </w:p>
    <w:p>
      <w:pPr>
        <w:pStyle w:val="107"/>
        <w:spacing w:before="156" w:after="156"/>
        <w:jc w:val="center"/>
      </w:pPr>
      <w:r>
        <w:rPr>
          <w:rFonts w:hint="eastAsia"/>
        </w:rPr>
        <w:t>钢管复合型消能器</w:t>
      </w:r>
    </w:p>
    <w:p>
      <w:pPr>
        <w:pStyle w:val="167"/>
      </w:pPr>
      <w:r>
        <w:rPr>
          <w:rFonts w:hint="eastAsia"/>
        </w:rPr>
        <w:t>钢管复合型消能器是由钢管（波纹钢管）、钢管内部填充体（铅、叠层黏弹性体等）以及上下连接板组成的消能器，包括钢管铅消能器、波纹管铅消能器和钢管叠层黏弹性体消能器等。</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7.8.1</w:t>
      </w:r>
      <w:r>
        <w:rPr>
          <w:rFonts w:hint="eastAsia" w:ascii="华文楷体" w:hAnsi="华文楷体" w:eastAsia="华文楷体" w:cs="华文楷体"/>
          <w:color w:val="0000FF"/>
          <w:szCs w:val="22"/>
        </w:rPr>
        <w:t>钢管铅消能器是由钢管、铅以及上下连接板组成，铅填充在钢管内部；波纹管铅消能器是由波纹钢管、铅以及上下连接板组成，铅充满波纹钢管内部；钢管叠层黏弹性体消能器是由钢管、黏弹性材料、钢板以及上下连接板组成，黏弹性材料和钢板经过硫化成为叠层黏弹性体，填充在钢管内部。如图</w:t>
      </w:r>
      <w:r>
        <w:rPr>
          <w:rFonts w:ascii="华文楷体" w:hAnsi="华文楷体" w:eastAsia="华文楷体" w:cs="华文楷体"/>
          <w:color w:val="0000FF"/>
          <w:szCs w:val="22"/>
        </w:rPr>
        <w:t>7.8.1-1</w:t>
      </w:r>
      <w:r>
        <w:rPr>
          <w:rFonts w:hint="eastAsia" w:ascii="华文楷体" w:hAnsi="华文楷体" w:eastAsia="华文楷体" w:cs="华文楷体"/>
          <w:color w:val="0000FF"/>
          <w:szCs w:val="22"/>
        </w:rPr>
        <w:t>。</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5"/>
        <w:gridCol w:w="2765"/>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vAlign w:val="center"/>
          </w:tcPr>
          <w:p>
            <w:pPr>
              <w:adjustRightInd/>
              <w:spacing w:line="360" w:lineRule="auto"/>
              <w:jc w:val="center"/>
              <w:rPr>
                <w:rFonts w:ascii="Times New Roman" w:hAnsi="Times New Roman"/>
                <w:color w:val="000000" w:themeColor="text1"/>
                <w:sz w:val="24"/>
                <w:szCs w:val="24"/>
                <w14:textFill>
                  <w14:solidFill>
                    <w14:schemeClr w14:val="tx1"/>
                  </w14:solidFill>
                </w14:textFill>
              </w:rPr>
            </w:pPr>
            <w:r>
              <w:rPr>
                <w:rFonts w:asciiTheme="minorHAnsi" w:hAnsiTheme="minorHAnsi" w:eastAsiaTheme="minorEastAsia"/>
                <w:szCs w:val="22"/>
              </w:rPr>
              <w:drawing>
                <wp:inline distT="0" distB="0" distL="0" distR="0">
                  <wp:extent cx="1194435" cy="1744980"/>
                  <wp:effectExtent l="0" t="0" r="5715"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a:xfrm>
                            <a:off x="0" y="0"/>
                            <a:ext cx="1194435" cy="1744980"/>
                          </a:xfrm>
                          <a:prstGeom prst="rect">
                            <a:avLst/>
                          </a:prstGeom>
                          <a:noFill/>
                          <a:ln>
                            <a:noFill/>
                          </a:ln>
                        </pic:spPr>
                      </pic:pic>
                    </a:graphicData>
                  </a:graphic>
                </wp:inline>
              </w:drawing>
            </w:r>
          </w:p>
        </w:tc>
        <w:tc>
          <w:tcPr>
            <w:tcW w:w="2765" w:type="dxa"/>
            <w:vAlign w:val="center"/>
          </w:tcPr>
          <w:p>
            <w:pPr>
              <w:adjustRightInd/>
              <w:spacing w:line="360" w:lineRule="auto"/>
              <w:jc w:val="center"/>
              <w:rPr>
                <w:rFonts w:ascii="Times New Roman" w:hAnsi="Times New Roman"/>
                <w:color w:val="000000" w:themeColor="text1"/>
                <w:sz w:val="24"/>
                <w:szCs w:val="24"/>
                <w14:textFill>
                  <w14:solidFill>
                    <w14:schemeClr w14:val="tx1"/>
                  </w14:solidFill>
                </w14:textFill>
              </w:rPr>
            </w:pPr>
            <w:r>
              <w:rPr>
                <w:rFonts w:asciiTheme="minorHAnsi" w:hAnsiTheme="minorHAnsi" w:eastAsiaTheme="minorEastAsia"/>
                <w:szCs w:val="22"/>
              </w:rPr>
              <w:drawing>
                <wp:inline distT="0" distB="0" distL="0" distR="0">
                  <wp:extent cx="1203960" cy="17913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a:xfrm>
                            <a:off x="0" y="0"/>
                            <a:ext cx="1203960" cy="1791335"/>
                          </a:xfrm>
                          <a:prstGeom prst="rect">
                            <a:avLst/>
                          </a:prstGeom>
                          <a:noFill/>
                          <a:ln>
                            <a:noFill/>
                          </a:ln>
                        </pic:spPr>
                      </pic:pic>
                    </a:graphicData>
                  </a:graphic>
                </wp:inline>
              </w:drawing>
            </w:r>
          </w:p>
        </w:tc>
        <w:tc>
          <w:tcPr>
            <w:tcW w:w="2766" w:type="dxa"/>
            <w:vAlign w:val="center"/>
          </w:tcPr>
          <w:p>
            <w:pPr>
              <w:adjustRightInd/>
              <w:spacing w:line="360" w:lineRule="auto"/>
              <w:jc w:val="center"/>
              <w:rPr>
                <w:rFonts w:ascii="Times New Roman" w:hAnsi="Times New Roman"/>
                <w:color w:val="000000" w:themeColor="text1"/>
                <w:sz w:val="24"/>
                <w:szCs w:val="24"/>
                <w14:textFill>
                  <w14:solidFill>
                    <w14:schemeClr w14:val="tx1"/>
                  </w14:solidFill>
                </w14:textFill>
              </w:rPr>
            </w:pPr>
            <w:r>
              <w:rPr>
                <w:rFonts w:asciiTheme="minorHAnsi" w:hAnsiTheme="minorHAnsi" w:eastAsiaTheme="minorEastAsia"/>
                <w:szCs w:val="22"/>
              </w:rPr>
              <w:drawing>
                <wp:inline distT="0" distB="0" distL="0" distR="0">
                  <wp:extent cx="1194435" cy="1772920"/>
                  <wp:effectExtent l="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a:xfrm>
                            <a:off x="0" y="0"/>
                            <a:ext cx="1194435" cy="17729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vAlign w:val="center"/>
          </w:tcPr>
          <w:p>
            <w:pPr>
              <w:adjustRightInd/>
              <w:spacing w:line="360" w:lineRule="auto"/>
              <w:jc w:val="center"/>
              <w:rPr>
                <w:rFonts w:ascii="华文楷体" w:hAnsi="华文楷体" w:eastAsia="华文楷体"/>
                <w:color w:val="4472C4" w:themeColor="accent1"/>
                <w:sz w:val="18"/>
                <w:szCs w:val="18"/>
                <w14:textFill>
                  <w14:solidFill>
                    <w14:schemeClr w14:val="accent1"/>
                  </w14:solidFill>
                </w14:textFill>
              </w:rPr>
            </w:pPr>
            <w:r>
              <w:rPr>
                <w:rFonts w:hint="eastAsia" w:ascii="华文楷体" w:hAnsi="华文楷体" w:eastAsia="华文楷体"/>
                <w:color w:val="4472C4" w:themeColor="accent1"/>
                <w:sz w:val="18"/>
                <w:szCs w:val="18"/>
                <w14:textFill>
                  <w14:solidFill>
                    <w14:schemeClr w14:val="accent1"/>
                  </w14:solidFill>
                </w14:textFill>
              </w:rPr>
              <w:t>（</w:t>
            </w:r>
            <w:r>
              <w:rPr>
                <w:rFonts w:ascii="华文楷体" w:hAnsi="华文楷体" w:eastAsia="华文楷体"/>
                <w:color w:val="4472C4" w:themeColor="accent1"/>
                <w:sz w:val="18"/>
                <w:szCs w:val="18"/>
                <w14:textFill>
                  <w14:solidFill>
                    <w14:schemeClr w14:val="accent1"/>
                  </w14:solidFill>
                </w14:textFill>
              </w:rPr>
              <w:t>a</w:t>
            </w:r>
            <w:r>
              <w:rPr>
                <w:rFonts w:hint="eastAsia" w:ascii="华文楷体" w:hAnsi="华文楷体" w:eastAsia="华文楷体"/>
                <w:color w:val="4472C4" w:themeColor="accent1"/>
                <w:sz w:val="18"/>
                <w:szCs w:val="18"/>
                <w14:textFill>
                  <w14:solidFill>
                    <w14:schemeClr w14:val="accent1"/>
                  </w14:solidFill>
                </w14:textFill>
              </w:rPr>
              <w:t>）钢管铅消能器</w:t>
            </w:r>
            <w:r>
              <w:rPr>
                <w:rFonts w:ascii="华文楷体" w:hAnsi="华文楷体" w:eastAsia="华文楷体"/>
                <w:color w:val="4472C4" w:themeColor="accent1"/>
                <w:sz w:val="18"/>
                <w:szCs w:val="18"/>
                <w14:textFill>
                  <w14:solidFill>
                    <w14:schemeClr w14:val="accent1"/>
                  </w14:solidFill>
                </w14:textFill>
              </w:rPr>
              <w:t xml:space="preserve"> </w:t>
            </w:r>
          </w:p>
        </w:tc>
        <w:tc>
          <w:tcPr>
            <w:tcW w:w="2765" w:type="dxa"/>
            <w:vAlign w:val="center"/>
          </w:tcPr>
          <w:p>
            <w:pPr>
              <w:adjustRightInd/>
              <w:spacing w:line="360" w:lineRule="auto"/>
              <w:jc w:val="center"/>
              <w:rPr>
                <w:rFonts w:ascii="华文楷体" w:hAnsi="华文楷体" w:eastAsia="华文楷体"/>
                <w:color w:val="4472C4" w:themeColor="accent1"/>
                <w:sz w:val="18"/>
                <w:szCs w:val="18"/>
                <w14:textFill>
                  <w14:solidFill>
                    <w14:schemeClr w14:val="accent1"/>
                  </w14:solidFill>
                </w14:textFill>
              </w:rPr>
            </w:pPr>
            <w:r>
              <w:rPr>
                <w:rFonts w:hint="eastAsia" w:ascii="华文楷体" w:hAnsi="华文楷体" w:eastAsia="华文楷体"/>
                <w:color w:val="4472C4" w:themeColor="accent1"/>
                <w:sz w:val="18"/>
                <w:szCs w:val="18"/>
                <w14:textFill>
                  <w14:solidFill>
                    <w14:schemeClr w14:val="accent1"/>
                  </w14:solidFill>
                </w14:textFill>
              </w:rPr>
              <w:t>（</w:t>
            </w:r>
            <w:r>
              <w:rPr>
                <w:rFonts w:ascii="华文楷体" w:hAnsi="华文楷体" w:eastAsia="华文楷体"/>
                <w:color w:val="4472C4" w:themeColor="accent1"/>
                <w:sz w:val="18"/>
                <w:szCs w:val="18"/>
                <w14:textFill>
                  <w14:solidFill>
                    <w14:schemeClr w14:val="accent1"/>
                  </w14:solidFill>
                </w14:textFill>
              </w:rPr>
              <w:t>b</w:t>
            </w:r>
            <w:r>
              <w:rPr>
                <w:rFonts w:hint="eastAsia" w:ascii="华文楷体" w:hAnsi="华文楷体" w:eastAsia="华文楷体"/>
                <w:color w:val="4472C4" w:themeColor="accent1"/>
                <w:sz w:val="18"/>
                <w:szCs w:val="18"/>
                <w14:textFill>
                  <w14:solidFill>
                    <w14:schemeClr w14:val="accent1"/>
                  </w14:solidFill>
                </w14:textFill>
              </w:rPr>
              <w:t>）波纹管铅消能器</w:t>
            </w:r>
          </w:p>
        </w:tc>
        <w:tc>
          <w:tcPr>
            <w:tcW w:w="2766" w:type="dxa"/>
            <w:vAlign w:val="center"/>
          </w:tcPr>
          <w:p>
            <w:pPr>
              <w:adjustRightInd/>
              <w:spacing w:line="360" w:lineRule="auto"/>
              <w:jc w:val="center"/>
              <w:rPr>
                <w:rFonts w:ascii="华文楷体" w:hAnsi="华文楷体" w:eastAsia="华文楷体"/>
                <w:color w:val="4472C4" w:themeColor="accent1"/>
                <w:sz w:val="18"/>
                <w:szCs w:val="18"/>
                <w14:textFill>
                  <w14:solidFill>
                    <w14:schemeClr w14:val="accent1"/>
                  </w14:solidFill>
                </w14:textFill>
              </w:rPr>
            </w:pPr>
            <w:r>
              <w:rPr>
                <w:rFonts w:hint="eastAsia" w:ascii="华文楷体" w:hAnsi="华文楷体" w:eastAsia="华文楷体"/>
                <w:color w:val="4472C4" w:themeColor="accent1"/>
                <w:sz w:val="18"/>
                <w:szCs w:val="18"/>
                <w14:textFill>
                  <w14:solidFill>
                    <w14:schemeClr w14:val="accent1"/>
                  </w14:solidFill>
                </w14:textFill>
              </w:rPr>
              <w:t>（</w:t>
            </w:r>
            <w:r>
              <w:rPr>
                <w:rFonts w:ascii="华文楷体" w:hAnsi="华文楷体" w:eastAsia="华文楷体"/>
                <w:color w:val="4472C4" w:themeColor="accent1"/>
                <w:sz w:val="18"/>
                <w:szCs w:val="18"/>
                <w14:textFill>
                  <w14:solidFill>
                    <w14:schemeClr w14:val="accent1"/>
                  </w14:solidFill>
                </w14:textFill>
              </w:rPr>
              <w:t>c</w:t>
            </w:r>
            <w:r>
              <w:rPr>
                <w:rFonts w:hint="eastAsia" w:ascii="华文楷体" w:hAnsi="华文楷体" w:eastAsia="华文楷体"/>
                <w:color w:val="4472C4" w:themeColor="accent1"/>
                <w:sz w:val="18"/>
                <w:szCs w:val="18"/>
                <w14:textFill>
                  <w14:solidFill>
                    <w14:schemeClr w14:val="accent1"/>
                  </w14:solidFill>
                </w14:textFill>
              </w:rPr>
              <w:t>）钢管叠层黏弹性消能器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3"/>
            <w:vAlign w:val="center"/>
          </w:tcPr>
          <w:p>
            <w:pPr>
              <w:adjustRightInd/>
              <w:spacing w:line="360" w:lineRule="auto"/>
              <w:jc w:val="center"/>
              <w:rPr>
                <w:rFonts w:ascii="华文楷体" w:hAnsi="华文楷体" w:eastAsia="华文楷体"/>
                <w:color w:val="4472C4" w:themeColor="accent1"/>
                <w:sz w:val="18"/>
                <w:szCs w:val="18"/>
                <w14:textFill>
                  <w14:solidFill>
                    <w14:schemeClr w14:val="accent1"/>
                  </w14:solidFill>
                </w14:textFill>
              </w:rPr>
            </w:pPr>
            <w:r>
              <w:rPr>
                <w:rFonts w:hint="eastAsia" w:ascii="华文楷体" w:hAnsi="华文楷体" w:eastAsia="华文楷体"/>
                <w:color w:val="4472C4" w:themeColor="accent1"/>
                <w:sz w:val="18"/>
                <w:szCs w:val="18"/>
                <w14:textFill>
                  <w14:solidFill>
                    <w14:schemeClr w14:val="accent1"/>
                  </w14:solidFill>
                </w14:textFill>
              </w:rPr>
              <w:t>图</w:t>
            </w:r>
            <w:r>
              <w:rPr>
                <w:rFonts w:ascii="华文楷体" w:hAnsi="华文楷体" w:eastAsia="华文楷体"/>
                <w:color w:val="4472C4" w:themeColor="accent1"/>
                <w:sz w:val="18"/>
                <w:szCs w:val="18"/>
                <w14:textFill>
                  <w14:solidFill>
                    <w14:schemeClr w14:val="accent1"/>
                  </w14:solidFill>
                </w14:textFill>
              </w:rPr>
              <w:t xml:space="preserve">7.8.1-1 </w:t>
            </w:r>
            <w:r>
              <w:rPr>
                <w:rFonts w:hint="eastAsia" w:ascii="华文楷体" w:hAnsi="华文楷体" w:eastAsia="华文楷体"/>
                <w:color w:val="4472C4" w:themeColor="accent1"/>
                <w:sz w:val="18"/>
                <w:szCs w:val="18"/>
                <w14:textFill>
                  <w14:solidFill>
                    <w14:schemeClr w14:val="accent1"/>
                  </w14:solidFill>
                </w14:textFill>
              </w:rPr>
              <w:t>钢管复合型消能器</w:t>
            </w:r>
          </w:p>
        </w:tc>
      </w:tr>
    </w:tbl>
    <w:p>
      <w:pPr>
        <w:adjustRightInd/>
        <w:spacing w:line="240" w:lineRule="auto"/>
        <w:ind w:firstLine="420" w:firstLineChars="200"/>
        <w:rPr>
          <w:rFonts w:ascii="华文楷体" w:hAnsi="华文楷体" w:eastAsia="华文楷体" w:cs="华文楷体"/>
          <w:color w:val="0000FF"/>
          <w:szCs w:val="22"/>
        </w:rPr>
      </w:pPr>
      <w:r>
        <w:rPr>
          <w:rFonts w:hint="eastAsia" w:ascii="华文楷体" w:hAnsi="华文楷体" w:eastAsia="华文楷体" w:cs="华文楷体"/>
          <w:color w:val="0000FF"/>
          <w:szCs w:val="22"/>
        </w:rPr>
        <w:t>钢管为钢管复合型消能器主要耗能部位，分为工作段、过渡段和连接段（图</w:t>
      </w:r>
      <w:r>
        <w:rPr>
          <w:rFonts w:ascii="华文楷体" w:hAnsi="华文楷体" w:eastAsia="华文楷体" w:cs="华文楷体"/>
          <w:color w:val="0000FF"/>
          <w:szCs w:val="22"/>
        </w:rPr>
        <w:t>7.8.1-2</w:t>
      </w:r>
      <w:r>
        <w:rPr>
          <w:rFonts w:hint="eastAsia" w:ascii="华文楷体" w:hAnsi="华文楷体" w:eastAsia="华文楷体" w:cs="华文楷体"/>
          <w:color w:val="0000FF"/>
          <w:szCs w:val="22"/>
        </w:rPr>
        <w:t>所示）。</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296" w:type="dxa"/>
            <w:vAlign w:val="center"/>
          </w:tcPr>
          <w:p>
            <w:pPr>
              <w:adjustRightInd/>
              <w:spacing w:line="360" w:lineRule="auto"/>
              <w:jc w:val="center"/>
              <w:rPr>
                <w:rFonts w:ascii="华文楷体" w:hAnsi="华文楷体" w:eastAsia="华文楷体"/>
                <w:color w:val="4472C4" w:themeColor="accent1"/>
                <w:sz w:val="18"/>
                <w:szCs w:val="18"/>
                <w14:textFill>
                  <w14:solidFill>
                    <w14:schemeClr w14:val="accent1"/>
                  </w14:solidFill>
                </w14:textFill>
              </w:rPr>
            </w:pPr>
            <w:r>
              <w:rPr>
                <w:rFonts w:ascii="华文楷体" w:hAnsi="华文楷体" w:eastAsia="华文楷体"/>
                <w:color w:val="4472C4" w:themeColor="accent1"/>
                <w:sz w:val="18"/>
                <w:szCs w:val="18"/>
                <w14:textFill>
                  <w14:solidFill>
                    <w14:schemeClr w14:val="accent1"/>
                  </w14:solidFill>
                </w14:textFill>
              </w:rPr>
              <w:drawing>
                <wp:inline distT="0" distB="0" distL="0" distR="0">
                  <wp:extent cx="1717040" cy="21551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a:xfrm>
                            <a:off x="0" y="0"/>
                            <a:ext cx="1717040" cy="21551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vAlign w:val="center"/>
          </w:tcPr>
          <w:p>
            <w:pPr>
              <w:adjustRightInd/>
              <w:spacing w:line="360" w:lineRule="auto"/>
              <w:jc w:val="center"/>
              <w:rPr>
                <w:rFonts w:ascii="华文楷体" w:hAnsi="华文楷体" w:eastAsia="华文楷体"/>
                <w:color w:val="4472C4" w:themeColor="accent1"/>
                <w:sz w:val="18"/>
                <w:szCs w:val="18"/>
                <w14:textFill>
                  <w14:solidFill>
                    <w14:schemeClr w14:val="accent1"/>
                  </w14:solidFill>
                </w14:textFill>
              </w:rPr>
            </w:pPr>
            <w:r>
              <w:rPr>
                <w:rFonts w:hint="eastAsia" w:ascii="华文楷体" w:hAnsi="华文楷体" w:eastAsia="华文楷体"/>
                <w:color w:val="4472C4" w:themeColor="accent1"/>
                <w:sz w:val="18"/>
                <w:szCs w:val="18"/>
                <w14:textFill>
                  <w14:solidFill>
                    <w14:schemeClr w14:val="accent1"/>
                  </w14:solidFill>
                </w14:textFill>
              </w:rPr>
              <w:t>图</w:t>
            </w:r>
            <w:r>
              <w:rPr>
                <w:rFonts w:ascii="华文楷体" w:hAnsi="华文楷体" w:eastAsia="华文楷体"/>
                <w:color w:val="4472C4" w:themeColor="accent1"/>
                <w:sz w:val="18"/>
                <w:szCs w:val="18"/>
                <w14:textFill>
                  <w14:solidFill>
                    <w14:schemeClr w14:val="accent1"/>
                  </w14:solidFill>
                </w14:textFill>
              </w:rPr>
              <w:t xml:space="preserve">7.8.1-2 </w:t>
            </w:r>
            <w:r>
              <w:rPr>
                <w:rFonts w:hint="eastAsia" w:ascii="华文楷体" w:hAnsi="华文楷体" w:eastAsia="华文楷体"/>
                <w:color w:val="4472C4" w:themeColor="accent1"/>
                <w:sz w:val="18"/>
                <w:szCs w:val="18"/>
                <w14:textFill>
                  <w14:solidFill>
                    <w14:schemeClr w14:val="accent1"/>
                  </w14:solidFill>
                </w14:textFill>
              </w:rPr>
              <w:t>钢管截面示意图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vAlign w:val="center"/>
          </w:tcPr>
          <w:p>
            <w:pPr>
              <w:adjustRightInd/>
              <w:spacing w:line="360" w:lineRule="auto"/>
              <w:jc w:val="center"/>
              <w:rPr>
                <w:rFonts w:ascii="华文楷体" w:hAnsi="华文楷体" w:eastAsia="华文楷体"/>
                <w:color w:val="4472C4" w:themeColor="accent1"/>
                <w:sz w:val="18"/>
                <w:szCs w:val="18"/>
                <w14:textFill>
                  <w14:solidFill>
                    <w14:schemeClr w14:val="accent1"/>
                  </w14:solidFill>
                </w14:textFill>
              </w:rPr>
            </w:pPr>
            <w:r>
              <w:rPr>
                <w:rFonts w:ascii="华文楷体" w:hAnsi="华文楷体" w:eastAsia="华文楷体"/>
                <w:color w:val="4472C4" w:themeColor="accent1"/>
                <w:sz w:val="18"/>
                <w:szCs w:val="18"/>
                <w14:textFill>
                  <w14:solidFill>
                    <w14:schemeClr w14:val="accent1"/>
                  </w14:solidFill>
                </w14:textFill>
              </w:rPr>
              <w:t>1-</w:t>
            </w:r>
            <w:r>
              <w:rPr>
                <w:rFonts w:hint="eastAsia" w:ascii="华文楷体" w:hAnsi="华文楷体" w:eastAsia="华文楷体"/>
                <w:color w:val="4472C4" w:themeColor="accent1"/>
                <w:sz w:val="18"/>
                <w:szCs w:val="18"/>
                <w14:textFill>
                  <w14:solidFill>
                    <w14:schemeClr w14:val="accent1"/>
                  </w14:solidFill>
                </w14:textFill>
              </w:rPr>
              <w:t>连接段；</w:t>
            </w:r>
            <w:r>
              <w:rPr>
                <w:rFonts w:ascii="华文楷体" w:hAnsi="华文楷体" w:eastAsia="华文楷体"/>
                <w:color w:val="4472C4" w:themeColor="accent1"/>
                <w:sz w:val="18"/>
                <w:szCs w:val="18"/>
                <w14:textFill>
                  <w14:solidFill>
                    <w14:schemeClr w14:val="accent1"/>
                  </w14:solidFill>
                </w14:textFill>
              </w:rPr>
              <w:t>2-</w:t>
            </w:r>
            <w:r>
              <w:rPr>
                <w:rFonts w:hint="eastAsia" w:ascii="华文楷体" w:hAnsi="华文楷体" w:eastAsia="华文楷体"/>
                <w:color w:val="4472C4" w:themeColor="accent1"/>
                <w:sz w:val="18"/>
                <w:szCs w:val="18"/>
                <w14:textFill>
                  <w14:solidFill>
                    <w14:schemeClr w14:val="accent1"/>
                  </w14:solidFill>
                </w14:textFill>
              </w:rPr>
              <w:t>过渡段；</w:t>
            </w:r>
            <w:r>
              <w:rPr>
                <w:rFonts w:ascii="华文楷体" w:hAnsi="华文楷体" w:eastAsia="华文楷体"/>
                <w:color w:val="4472C4" w:themeColor="accent1"/>
                <w:sz w:val="18"/>
                <w:szCs w:val="18"/>
                <w14:textFill>
                  <w14:solidFill>
                    <w14:schemeClr w14:val="accent1"/>
                  </w14:solidFill>
                </w14:textFill>
              </w:rPr>
              <w:t>3-</w:t>
            </w:r>
            <w:r>
              <w:rPr>
                <w:rFonts w:hint="eastAsia" w:ascii="华文楷体" w:hAnsi="华文楷体" w:eastAsia="华文楷体"/>
                <w:color w:val="4472C4" w:themeColor="accent1"/>
                <w:sz w:val="18"/>
                <w:szCs w:val="18"/>
                <w14:textFill>
                  <w14:solidFill>
                    <w14:schemeClr w14:val="accent1"/>
                  </w14:solidFill>
                </w14:textFill>
              </w:rPr>
              <w:t>工作段</w:t>
            </w:r>
          </w:p>
        </w:tc>
      </w:tr>
    </w:tbl>
    <w:p>
      <w:pPr>
        <w:adjustRightInd/>
        <w:spacing w:line="240" w:lineRule="auto"/>
        <w:ind w:firstLine="420" w:firstLineChars="200"/>
        <w:rPr>
          <w:rFonts w:ascii="华文楷体" w:hAnsi="华文楷体" w:eastAsia="华文楷体" w:cs="华文楷体"/>
          <w:color w:val="0000FF"/>
          <w:szCs w:val="22"/>
        </w:rPr>
      </w:pPr>
      <w:r>
        <w:rPr>
          <w:rFonts w:hint="eastAsia" w:ascii="华文楷体" w:hAnsi="华文楷体" w:eastAsia="华文楷体" w:cs="华文楷体"/>
          <w:color w:val="0000FF"/>
          <w:szCs w:val="22"/>
        </w:rPr>
        <w:t>工作段又称耗能段：通过截面优化可使变形主要控制在耗能段，并可使耗能段达到同时屈服效果，这对于提高钢管复合型消能器耗能性能非常重要。</w:t>
      </w:r>
    </w:p>
    <w:p>
      <w:pPr>
        <w:adjustRightInd/>
        <w:spacing w:line="240" w:lineRule="auto"/>
        <w:ind w:firstLine="420" w:firstLineChars="200"/>
        <w:rPr>
          <w:rFonts w:ascii="华文楷体" w:hAnsi="华文楷体" w:eastAsia="华文楷体" w:cs="华文楷体"/>
          <w:color w:val="0000FF"/>
          <w:szCs w:val="22"/>
        </w:rPr>
      </w:pPr>
      <w:r>
        <w:rPr>
          <w:rFonts w:hint="eastAsia" w:ascii="华文楷体" w:hAnsi="华文楷体" w:eastAsia="华文楷体" w:cs="华文楷体"/>
          <w:color w:val="0000FF"/>
          <w:szCs w:val="22"/>
        </w:rPr>
        <w:t>过渡段：该部分是工作段的延伸部分，确保钢管端部不早于工作段破坏，避免焊接对工作段的影响。</w:t>
      </w:r>
    </w:p>
    <w:p>
      <w:pPr>
        <w:adjustRightInd/>
        <w:spacing w:line="240" w:lineRule="auto"/>
        <w:ind w:firstLine="420" w:firstLineChars="200"/>
        <w:rPr>
          <w:rFonts w:ascii="华文楷体" w:hAnsi="华文楷体" w:eastAsia="华文楷体" w:cs="华文楷体"/>
          <w:color w:val="0000FF"/>
          <w:szCs w:val="22"/>
        </w:rPr>
      </w:pPr>
      <w:r>
        <w:rPr>
          <w:rFonts w:hint="eastAsia" w:ascii="华文楷体" w:hAnsi="华文楷体" w:eastAsia="华文楷体" w:cs="华文楷体"/>
          <w:color w:val="0000FF"/>
          <w:szCs w:val="22"/>
        </w:rPr>
        <w:t>连接段：该部分是嵌入凹形连接板部分，保证钢管与上下连接板的可靠连接。</w:t>
      </w:r>
    </w:p>
    <w:p>
      <w:pPr>
        <w:pStyle w:val="167"/>
      </w:pPr>
      <w:r>
        <w:rPr>
          <w:rFonts w:hint="eastAsia"/>
        </w:rPr>
        <w:t>钢管复合型消能器的外观和内部构造应符合下列规定：</w:t>
      </w:r>
    </w:p>
    <w:p>
      <w:pPr>
        <w:pStyle w:val="58"/>
        <w:ind w:firstLine="420"/>
      </w:pPr>
      <w:r>
        <w:rPr>
          <w:rFonts w:hint="eastAsia"/>
        </w:rPr>
        <w:t>1</w:t>
      </w:r>
      <w:r>
        <w:t xml:space="preserve">  </w:t>
      </w:r>
      <w:r>
        <w:rPr>
          <w:rFonts w:hint="eastAsia"/>
        </w:rPr>
        <w:t>钢管复合型消能器产品外观应标志清晰、表面平整、无锈蚀、无毛刺、无机械损伤，连接板坡口焊接，焊缝一级，外表应采用防锈措施，涂层应均匀。</w:t>
      </w:r>
    </w:p>
    <w:p>
      <w:pPr>
        <w:pStyle w:val="58"/>
        <w:ind w:firstLine="420"/>
      </w:pPr>
      <w:r>
        <w:rPr>
          <w:rFonts w:hint="eastAsia"/>
        </w:rPr>
        <w:t>2</w:t>
      </w:r>
      <w:r>
        <w:t xml:space="preserve">  </w:t>
      </w:r>
      <w:r>
        <w:rPr>
          <w:rFonts w:hint="eastAsia"/>
        </w:rPr>
        <w:t>钢管复合型消能器外型安装尺寸偏差应为±2mm内。</w:t>
      </w:r>
    </w:p>
    <w:p>
      <w:pPr>
        <w:pStyle w:val="58"/>
        <w:ind w:firstLine="420"/>
      </w:pPr>
      <w:r>
        <w:rPr>
          <w:rFonts w:hint="eastAsia"/>
        </w:rPr>
        <w:t>3</w:t>
      </w:r>
      <w:r>
        <w:t xml:space="preserve">  </w:t>
      </w:r>
      <w:r>
        <w:rPr>
          <w:rFonts w:hint="eastAsia"/>
        </w:rPr>
        <w:t>黏弹性材料表面应密实、平整。</w:t>
      </w:r>
    </w:p>
    <w:p>
      <w:pPr>
        <w:pStyle w:val="58"/>
        <w:numPr>
          <w:ilvl w:val="0"/>
          <w:numId w:val="32"/>
        </w:numPr>
        <w:ind w:firstLineChars="0"/>
      </w:pPr>
      <w:r>
        <w:rPr>
          <w:rFonts w:hint="eastAsia"/>
        </w:rPr>
        <w:t>黏弹性材料与薄钢板之间应密实、无裂缝。</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7.8.2</w:t>
      </w:r>
      <w:r>
        <w:rPr>
          <w:rFonts w:hint="eastAsia" w:ascii="华文楷体" w:hAnsi="华文楷体" w:eastAsia="华文楷体" w:cs="华文楷体"/>
          <w:color w:val="0000FF"/>
          <w:szCs w:val="22"/>
        </w:rPr>
        <w:t>钢管复合消能器中耗能核心部位为钢管，对于钢管的需进行精加工。钢管内部铅芯、叠层黏弹性体应保证与钢管贴合。</w:t>
      </w:r>
    </w:p>
    <w:p>
      <w:pPr>
        <w:pStyle w:val="167"/>
      </w:pPr>
      <w:r>
        <w:rPr>
          <w:rFonts w:hint="eastAsia"/>
        </w:rPr>
        <w:t>钢管复合型消能器的材料应符合下列规定：</w:t>
      </w:r>
    </w:p>
    <w:p>
      <w:pPr>
        <w:pStyle w:val="58"/>
        <w:ind w:firstLine="420"/>
      </w:pPr>
      <w:r>
        <w:rPr>
          <w:rFonts w:hint="eastAsia"/>
        </w:rPr>
        <w:t>1</w:t>
      </w:r>
      <w:r>
        <w:t xml:space="preserve">  </w:t>
      </w:r>
      <w:r>
        <w:rPr>
          <w:rFonts w:hint="eastAsia"/>
        </w:rPr>
        <w:t>钢管复合型消能器可采用钢管（波纹管）、铅、黏弹性体和薄钢板等，铅纯度要求99.99%等材料制作。</w:t>
      </w:r>
    </w:p>
    <w:p>
      <w:pPr>
        <w:pStyle w:val="58"/>
        <w:ind w:firstLine="420"/>
      </w:pPr>
      <w:r>
        <w:rPr>
          <w:rFonts w:hint="eastAsia"/>
        </w:rPr>
        <w:t>2</w:t>
      </w:r>
      <w:r>
        <w:t xml:space="preserve">  </w:t>
      </w:r>
      <w:r>
        <w:rPr>
          <w:rFonts w:hint="eastAsia"/>
        </w:rPr>
        <w:t>钢管复合型消能器中钢管质量指标应符合现行国家标准《结构用无缝钢管》GB/T 8162中规定，应具有较强的塑性变形能力和良好的焊接性能，宜选取不锈钢管或者热处理后的普通钢管。叠层黏弹性体中黏弹性材料性能要求应符合现行行业标准《建筑消能阻尼器》（JG/T 209）的规定，薄钢板钢材等级不应低于Q235。</w:t>
      </w:r>
    </w:p>
    <w:p>
      <w:pPr>
        <w:pStyle w:val="58"/>
        <w:ind w:firstLine="420"/>
      </w:pPr>
      <w:r>
        <w:rPr>
          <w:rFonts w:hint="eastAsia"/>
        </w:rPr>
        <w:t>3</w:t>
      </w:r>
      <w:r>
        <w:t xml:space="preserve">  </w:t>
      </w:r>
      <w:r>
        <w:rPr>
          <w:rFonts w:hint="eastAsia"/>
        </w:rPr>
        <w:t>连接板钢材等级不应低于Q235，且其质量指标应符合现行国家标准《碳素结构钢和低合金结构钢热轧钢板和钢带》（GB/T 3274）中的相关规定。</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7.8.3</w:t>
      </w:r>
      <w:r>
        <w:rPr>
          <w:rFonts w:hint="eastAsia" w:ascii="华文楷体" w:hAnsi="华文楷体" w:eastAsia="华文楷体" w:cs="华文楷体"/>
          <w:color w:val="0000FF"/>
          <w:szCs w:val="22"/>
        </w:rPr>
        <w:t>：连接板应具备足够的刚度和强度，应按照非消能元件设计要求，在</w:t>
      </w:r>
      <w:r>
        <w:rPr>
          <w:rFonts w:ascii="华文楷体" w:hAnsi="华文楷体" w:eastAsia="华文楷体" w:cs="华文楷体"/>
          <w:color w:val="0000FF"/>
          <w:szCs w:val="22"/>
        </w:rPr>
        <w:t>1.5</w:t>
      </w:r>
      <w:r>
        <w:rPr>
          <w:rFonts w:hint="eastAsia" w:ascii="华文楷体" w:hAnsi="华文楷体" w:eastAsia="华文楷体" w:cs="华文楷体"/>
          <w:color w:val="0000FF"/>
          <w:szCs w:val="22"/>
        </w:rPr>
        <w:t>倍极限阻尼力下仍应保持在弹性状态，因此建议钢材等级不应低于</w:t>
      </w:r>
      <w:r>
        <w:rPr>
          <w:rFonts w:ascii="华文楷体" w:hAnsi="华文楷体" w:eastAsia="华文楷体" w:cs="华文楷体"/>
          <w:color w:val="0000FF"/>
          <w:szCs w:val="22"/>
        </w:rPr>
        <w:t>Q235</w:t>
      </w:r>
      <w:r>
        <w:rPr>
          <w:rFonts w:hint="eastAsia" w:ascii="华文楷体" w:hAnsi="华文楷体" w:eastAsia="华文楷体" w:cs="华文楷体"/>
          <w:color w:val="0000FF"/>
          <w:szCs w:val="22"/>
        </w:rPr>
        <w:t>。</w:t>
      </w:r>
    </w:p>
    <w:p>
      <w:pPr>
        <w:pStyle w:val="167"/>
      </w:pPr>
      <w:r>
        <w:rPr>
          <w:rFonts w:hint="eastAsia"/>
        </w:rPr>
        <w:t>钢管复合型消能器为位移相关型消能器，在多遇地震作用下进入消能工作状态时，其力学性能应符合表7.2.3规定。</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7.8.4</w:t>
      </w:r>
      <w:r>
        <w:rPr>
          <w:rFonts w:hint="eastAsia" w:ascii="华文楷体" w:hAnsi="华文楷体" w:eastAsia="华文楷体" w:cs="华文楷体"/>
          <w:color w:val="0000FF"/>
          <w:szCs w:val="22"/>
        </w:rPr>
        <w:t>钢管复合消能器力学性能检测方法根据《建筑消能减震技术规程》（</w:t>
      </w:r>
      <w:r>
        <w:rPr>
          <w:rFonts w:ascii="华文楷体" w:hAnsi="华文楷体" w:eastAsia="华文楷体" w:cs="华文楷体"/>
          <w:color w:val="0000FF"/>
          <w:szCs w:val="22"/>
        </w:rPr>
        <w:t>JGJ 297</w:t>
      </w:r>
      <w:r>
        <w:rPr>
          <w:rFonts w:hint="eastAsia" w:ascii="华文楷体" w:hAnsi="华文楷体" w:eastAsia="华文楷体" w:cs="华文楷体"/>
          <w:color w:val="0000FF"/>
          <w:szCs w:val="22"/>
        </w:rPr>
        <w:t>）和《建筑消能阻尼器》（</w:t>
      </w:r>
      <w:r>
        <w:rPr>
          <w:rFonts w:ascii="华文楷体" w:hAnsi="华文楷体" w:eastAsia="华文楷体" w:cs="华文楷体"/>
          <w:color w:val="0000FF"/>
          <w:szCs w:val="22"/>
        </w:rPr>
        <w:t>JG/T 209</w:t>
      </w:r>
      <w:r>
        <w:rPr>
          <w:rFonts w:hint="eastAsia" w:ascii="华文楷体" w:hAnsi="华文楷体" w:eastAsia="华文楷体" w:cs="华文楷体"/>
          <w:color w:val="0000FF"/>
          <w:szCs w:val="22"/>
        </w:rPr>
        <w:t>）进行检测。</w:t>
      </w:r>
    </w:p>
    <w:p>
      <w:pPr>
        <w:pStyle w:val="167"/>
      </w:pPr>
      <w:r>
        <w:rPr>
          <w:rFonts w:hint="eastAsia"/>
        </w:rPr>
        <w:t>钢管复合型消能器的加工工艺不应对铅芯和叠层黏弹性体性能有较大影响。</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7.8.5</w:t>
      </w:r>
      <w:r>
        <w:rPr>
          <w:rFonts w:hint="eastAsia" w:ascii="华文楷体" w:hAnsi="华文楷体" w:eastAsia="华文楷体" w:cs="华文楷体"/>
          <w:color w:val="0000FF"/>
          <w:szCs w:val="22"/>
        </w:rPr>
        <w:t>铅芯和叠层黏弹性体不是钢管复合型消能器的主要耗能部分，但对于钢管复合型消能器的耗能性能提升具有重要作用，因此，加工工艺不应对铅芯和叠层黏弹性体力学性能产生较大不利影响。</w:t>
      </w:r>
    </w:p>
    <w:p>
      <w:pPr>
        <w:pStyle w:val="107"/>
        <w:spacing w:before="156" w:after="156"/>
        <w:jc w:val="center"/>
      </w:pPr>
      <w:r>
        <w:rPr>
          <w:rFonts w:hint="eastAsia"/>
        </w:rPr>
        <w:t>消能器性能检验与性能参数确定</w:t>
      </w:r>
    </w:p>
    <w:p>
      <w:pPr>
        <w:pStyle w:val="167"/>
      </w:pPr>
      <w:r>
        <w:rPr>
          <w:rFonts w:hint="eastAsia"/>
        </w:rPr>
        <w:t>消能器产品检验分为型式检验、出厂检验和进场见证检验。</w:t>
      </w:r>
    </w:p>
    <w:p>
      <w:pPr>
        <w:pStyle w:val="167"/>
      </w:pPr>
      <w:r>
        <w:rPr>
          <w:rFonts w:hint="eastAsia"/>
        </w:rPr>
        <w:t>消能器型式检验应符合《建筑消能阻尼器》JG/T209及本规程的内容和要求；型式检验应由第三方完成。</w:t>
      </w:r>
    </w:p>
    <w:p>
      <w:pPr>
        <w:pStyle w:val="167"/>
      </w:pPr>
      <w:r>
        <w:rPr>
          <w:rFonts w:hint="eastAsia"/>
        </w:rPr>
        <w:t>消能器出厂检验由产品生产厂家自身完成；出厂检验内容对金属消能器为外观检验；对黏滞消能器除外观检验外尚应包括常规力学性能和密闭性能检验；产品出厂受检率为100%。</w:t>
      </w:r>
    </w:p>
    <w:p>
      <w:pPr>
        <w:pStyle w:val="167"/>
      </w:pPr>
      <w:r>
        <w:rPr>
          <w:rFonts w:hint="eastAsia"/>
        </w:rPr>
        <w:t>消能器进场见证检验为抽检检验，应由第三方完成，且符合下列规定：</w:t>
      </w:r>
    </w:p>
    <w:p>
      <w:pPr>
        <w:pStyle w:val="58"/>
        <w:ind w:firstLine="420"/>
      </w:pPr>
      <w:r>
        <w:rPr>
          <w:rFonts w:hint="eastAsia"/>
        </w:rPr>
        <w:t>1  黏滞消能器、</w:t>
      </w:r>
      <w:r>
        <w:rPr>
          <w:rFonts w:hint="eastAsia"/>
          <w:color w:val="FF0000"/>
        </w:rPr>
        <w:t>黏弹性消能器及铅黏弹消能器</w:t>
      </w:r>
      <w:r>
        <w:rPr>
          <w:rFonts w:hint="eastAsia"/>
        </w:rPr>
        <w:t>力学性能的进场见证检验的抽检数量为：同一生产厂家、同一类型、同一规格的产品，取总数量的20%，且不少于2个；检测项目应包括常规力学性能和疲劳性能检验。检测合格率为100%时，该批次产品可判定为合格。检测合格后，被检消能器若无任何损伤、力学性能仍满足正常使用要求时，可用于主体结构。</w:t>
      </w:r>
    </w:p>
    <w:p>
      <w:pPr>
        <w:pStyle w:val="58"/>
        <w:ind w:firstLine="420"/>
      </w:pPr>
      <w:r>
        <w:rPr>
          <w:rFonts w:hint="eastAsia"/>
        </w:rPr>
        <w:t>2  金属消能器、屈曲约束支撑力学性能的进场见证检验应包括常规性能和疲劳性能；抽检数量不少于同一工程同一类型同一规格数量的3％，当同一类型同一规格的消能器数量较少时，可在同一类型消能器中抽检总数量的3％，但不应少于2个，检测合格率为100％，该批次产品可用于主体结构。被检的消能器不能应用于主体结构。</w:t>
      </w:r>
    </w:p>
    <w:p>
      <w:pPr>
        <w:pStyle w:val="167"/>
      </w:pPr>
      <w:r>
        <w:rPr>
          <w:rFonts w:hint="eastAsia"/>
        </w:rPr>
        <w:t>产品检测合格率未达到100%，应按同批次抽检产品数量加倍抽检；加倍抽检的检测合格率为100%，该批次产品可用于主体结构；加倍抽检的检验合格率仍未达到100%，该批次消能器不能在主体结构中使用。</w:t>
      </w:r>
    </w:p>
    <w:p>
      <w:pPr>
        <w:pStyle w:val="167"/>
      </w:pPr>
      <w:r>
        <w:rPr>
          <w:rFonts w:hint="eastAsia"/>
        </w:rPr>
        <w:t>根据试验数据确定消能器的性能参数应符合下列规定：试验滞回曲线应基本匀称，根据曲线形状选择合适模型和适当偏差参数控制拟合精度，拟合得到的模型参数即可用作产品的实际参数。</w:t>
      </w:r>
    </w:p>
    <w:p>
      <w:pPr>
        <w:pStyle w:val="167"/>
      </w:pPr>
      <w:r>
        <w:rPr>
          <w:rFonts w:hint="eastAsia"/>
        </w:rPr>
        <w:t>消能器的抽样和检测应符合下列规定：</w:t>
      </w:r>
    </w:p>
    <w:p>
      <w:pPr>
        <w:pStyle w:val="58"/>
        <w:ind w:firstLine="420"/>
      </w:pPr>
      <w:r>
        <w:rPr>
          <w:rFonts w:hint="eastAsia"/>
        </w:rPr>
        <w:t>1  消能器的抽样应由监理单位根据设计文件和本规程的有关规定进行。</w:t>
      </w:r>
    </w:p>
    <w:p>
      <w:pPr>
        <w:pStyle w:val="58"/>
        <w:ind w:firstLine="420"/>
      </w:pPr>
      <w:r>
        <w:rPr>
          <w:rFonts w:hint="eastAsia"/>
        </w:rPr>
        <w:t>2  消能器的力学性能检测应由具备资质的第三方承担。</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7.9.1~7.9.7</w:t>
      </w:r>
      <w:r>
        <w:rPr>
          <w:rFonts w:hint="eastAsia" w:ascii="华文楷体" w:hAnsi="华文楷体" w:eastAsia="华文楷体" w:cs="华文楷体"/>
          <w:color w:val="0000FF"/>
          <w:szCs w:val="22"/>
        </w:rPr>
        <w:t>：在地震作用下消能器应充分发挥其耗能效果，以确保消能减震结构的安全性，因此，消能器的性能参数应进行严格检验。对检验批次的消能器进行随机抽样方式确定检测试件，如有一件抽样试件的一项性能不合格，则该次抽样检验为不合格。</w:t>
      </w:r>
    </w:p>
    <w:p>
      <w:pPr>
        <w:adjustRightInd/>
        <w:spacing w:line="240" w:lineRule="auto"/>
        <w:rPr>
          <w:rFonts w:ascii="华文楷体" w:hAnsi="华文楷体" w:eastAsia="华文楷体" w:cs="华文楷体"/>
          <w:color w:val="0000FF"/>
          <w:szCs w:val="22"/>
        </w:rPr>
      </w:pPr>
      <w:r>
        <w:rPr>
          <w:rFonts w:ascii="华文楷体" w:hAnsi="华文楷体" w:eastAsia="华文楷体" w:cs="华文楷体"/>
          <w:color w:val="0000FF"/>
          <w:szCs w:val="22"/>
        </w:rPr>
        <w:tab/>
      </w:r>
      <w:r>
        <w:rPr>
          <w:rFonts w:hint="eastAsia" w:ascii="华文楷体" w:hAnsi="华文楷体" w:eastAsia="华文楷体" w:cs="华文楷体"/>
          <w:color w:val="0000FF"/>
          <w:szCs w:val="22"/>
        </w:rPr>
        <w:t>对于所有的消能器出厂检验（或称产品现场见证检验）应由第三方完成。第三方检验机构应具有相应的消能器检测资质和试验设备，与被检验的消能器厂家不应有利益关系，也不应生产或是销售消能器的单位。</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第三方检验机构根据消能器的性能要求，依据本标准和设计文件，采用合理的连接和加载形式对消能器的性能进行检验，按本规程相关类型消能器力学性能要求给出每个抽检消能器的力学性能指标、曲线及质量评价，以方便消能减震设计方参考。</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对于可重复利用的黏滞消能器、黏弹性消能器及铅黏弹阻尼器，抽检数量适当增多，抽检的消能器在各项性能参数都能满足设计要求时，抽检后可应用于主体结构；对于金属消能器和屈曲约束支撑等抽检后不能继续使用的消能器，在同一类型中抽检数量不少于</w:t>
      </w:r>
      <w:r>
        <w:rPr>
          <w:rFonts w:ascii="华文楷体" w:hAnsi="华文楷体" w:eastAsia="华文楷体" w:cs="华文楷体"/>
          <w:color w:val="0000FF"/>
          <w:szCs w:val="22"/>
        </w:rPr>
        <w:t>2</w:t>
      </w:r>
      <w:r>
        <w:rPr>
          <w:rFonts w:hint="eastAsia" w:ascii="华文楷体" w:hAnsi="华文楷体" w:eastAsia="华文楷体" w:cs="华文楷体"/>
          <w:color w:val="0000FF"/>
          <w:szCs w:val="22"/>
        </w:rPr>
        <w:t>个，抽检合格率应为</w:t>
      </w:r>
      <w:r>
        <w:rPr>
          <w:rFonts w:ascii="华文楷体" w:hAnsi="华文楷体" w:eastAsia="华文楷体" w:cs="华文楷体"/>
          <w:color w:val="0000FF"/>
          <w:szCs w:val="22"/>
        </w:rPr>
        <w:t>100%</w:t>
      </w:r>
      <w:r>
        <w:rPr>
          <w:rFonts w:hint="eastAsia" w:ascii="华文楷体" w:hAnsi="华文楷体" w:eastAsia="华文楷体" w:cs="华文楷体"/>
          <w:color w:val="0000FF"/>
          <w:szCs w:val="22"/>
        </w:rPr>
        <w:t>。产品检测合格率未达到</w:t>
      </w:r>
      <w:r>
        <w:rPr>
          <w:rFonts w:ascii="华文楷体" w:hAnsi="华文楷体" w:eastAsia="华文楷体" w:cs="华文楷体"/>
          <w:color w:val="0000FF"/>
          <w:szCs w:val="22"/>
        </w:rPr>
        <w:t>100%</w:t>
      </w:r>
      <w:r>
        <w:rPr>
          <w:rFonts w:hint="eastAsia" w:ascii="华文楷体" w:hAnsi="华文楷体" w:eastAsia="华文楷体" w:cs="华文楷体"/>
          <w:color w:val="0000FF"/>
          <w:szCs w:val="22"/>
        </w:rPr>
        <w:t>，应在该批次的消能器中进行加倍抽检；检测合格率仍未达到</w:t>
      </w:r>
      <w:r>
        <w:rPr>
          <w:rFonts w:ascii="华文楷体" w:hAnsi="华文楷体" w:eastAsia="华文楷体" w:cs="华文楷体"/>
          <w:color w:val="0000FF"/>
          <w:szCs w:val="22"/>
        </w:rPr>
        <w:t>100%</w:t>
      </w:r>
      <w:r>
        <w:rPr>
          <w:rFonts w:hint="eastAsia" w:ascii="华文楷体" w:hAnsi="华文楷体" w:eastAsia="华文楷体" w:cs="华文楷体"/>
          <w:color w:val="0000FF"/>
          <w:szCs w:val="22"/>
        </w:rPr>
        <w:t>，该批次的消能器不应在工程中使用。</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对于黏滞消能器，由于目前在国内外实际工程中应用得比较多，并且黏滞消能器的密封性能是影响其性能参数的关键问题，同时，黏滞消能器主要给结构提供附加阻尼比，并不提供附加静力刚度，一旦消能器出现漏油或密封问题时，对结构的安全性会造成较大的影响，基于安全考虑，黏滞消能器出厂前应对所有产品进行常规力学试验自检（试验项目可以与减震设计方、消能器使用方协商确定），且给出每个产品的试验曲线，对于不合格产品不得出厂。在生产商自检合格产品中随机抽取至第三方进行力学测试的数量为</w:t>
      </w:r>
      <w:r>
        <w:rPr>
          <w:rFonts w:ascii="华文楷体" w:hAnsi="华文楷体" w:eastAsia="华文楷体" w:cs="华文楷体"/>
          <w:color w:val="0000FF"/>
          <w:szCs w:val="22"/>
        </w:rPr>
        <w:t>20%</w:t>
      </w:r>
      <w:r>
        <w:rPr>
          <w:rFonts w:hint="eastAsia" w:ascii="华文楷体" w:hAnsi="华文楷体" w:eastAsia="华文楷体" w:cs="华文楷体"/>
          <w:color w:val="0000FF"/>
          <w:szCs w:val="22"/>
        </w:rPr>
        <w:t>。对于甲类建筑使用消能器第三方抽检数量应有所增加，具体数量应由减震设计方、消能器使用方根据消能器减震作用重要性协商确定。</w:t>
      </w:r>
    </w:p>
    <w:p>
      <w:pPr>
        <w:pStyle w:val="58"/>
        <w:ind w:firstLine="0" w:firstLineChars="0"/>
        <w:rPr>
          <w:rFonts w:ascii="华文楷体" w:hAnsi="华文楷体" w:eastAsia="华文楷体" w:cs="华文楷体"/>
          <w:color w:val="0000FF"/>
          <w:kern w:val="2"/>
          <w:szCs w:val="22"/>
        </w:rPr>
      </w:pPr>
      <w:r>
        <w:rPr>
          <w:rFonts w:hint="eastAsia" w:ascii="华文楷体" w:hAnsi="华文楷体" w:eastAsia="华文楷体" w:cs="华文楷体"/>
          <w:color w:val="0000FF"/>
          <w:kern w:val="2"/>
          <w:szCs w:val="22"/>
        </w:rPr>
        <w:t>对于位移相关型消能器，一般认为布置于结构层间抵抗地震响应，其抗力仅与消能器两端的相对位移有关，与激振速度、频率无关，主要考虑到建筑的地震响应速度、频率还是属于低频范围。但日本学者通过对金属消能器在不同加载频率下的滞回性能研究，发现金属消能器</w:t>
      </w:r>
      <w:r>
        <w:rPr>
          <w:rFonts w:ascii="华文楷体" w:hAnsi="华文楷体" w:eastAsia="华文楷体" w:cs="华文楷体"/>
          <w:color w:val="0000FF"/>
          <w:kern w:val="2"/>
          <w:szCs w:val="22"/>
        </w:rPr>
        <w:t>—</w:t>
      </w:r>
      <w:r>
        <w:rPr>
          <w:rFonts w:hint="eastAsia" w:ascii="华文楷体" w:hAnsi="华文楷体" w:eastAsia="华文楷体" w:cs="华文楷体"/>
          <w:color w:val="0000FF"/>
          <w:kern w:val="2"/>
          <w:szCs w:val="22"/>
        </w:rPr>
        <w:t>特别是低屈服点钢制作的消能器在不同加载频率下其滞回性能会出现一定的变化。因此，位移相关型消能器在抽检过程中也应考虑加载速度影响，鉴于目前国内检测设备的实际状况，检测速度要求可参考现行国家标准《金属材料</w:t>
      </w:r>
      <w:r>
        <w:rPr>
          <w:rFonts w:ascii="华文楷体" w:hAnsi="华文楷体" w:eastAsia="华文楷体" w:cs="华文楷体"/>
          <w:color w:val="0000FF"/>
          <w:kern w:val="2"/>
          <w:szCs w:val="22"/>
        </w:rPr>
        <w:t xml:space="preserve"> </w:t>
      </w:r>
      <w:r>
        <w:rPr>
          <w:rFonts w:hint="eastAsia" w:ascii="华文楷体" w:hAnsi="华文楷体" w:eastAsia="华文楷体" w:cs="华文楷体"/>
          <w:color w:val="0000FF"/>
          <w:kern w:val="2"/>
          <w:szCs w:val="22"/>
        </w:rPr>
        <w:t>拉伸试验方法</w:t>
      </w:r>
      <w:r>
        <w:rPr>
          <w:rFonts w:ascii="华文楷体" w:hAnsi="华文楷体" w:eastAsia="华文楷体" w:cs="华文楷体"/>
          <w:color w:val="0000FF"/>
          <w:kern w:val="2"/>
          <w:szCs w:val="22"/>
        </w:rPr>
        <w:t xml:space="preserve"> </w:t>
      </w:r>
      <w:r>
        <w:rPr>
          <w:rFonts w:hint="eastAsia" w:ascii="华文楷体" w:hAnsi="华文楷体" w:eastAsia="华文楷体" w:cs="华文楷体"/>
          <w:color w:val="0000FF"/>
          <w:kern w:val="2"/>
          <w:szCs w:val="22"/>
        </w:rPr>
        <w:t>第</w:t>
      </w:r>
      <w:r>
        <w:rPr>
          <w:rFonts w:ascii="华文楷体" w:hAnsi="华文楷体" w:eastAsia="华文楷体" w:cs="华文楷体"/>
          <w:color w:val="0000FF"/>
          <w:kern w:val="2"/>
          <w:szCs w:val="22"/>
        </w:rPr>
        <w:t>1</w:t>
      </w:r>
      <w:r>
        <w:rPr>
          <w:rFonts w:hint="eastAsia" w:ascii="华文楷体" w:hAnsi="华文楷体" w:eastAsia="华文楷体" w:cs="华文楷体"/>
          <w:color w:val="0000FF"/>
          <w:kern w:val="2"/>
          <w:szCs w:val="22"/>
        </w:rPr>
        <w:t>部分：室温试验方法》</w:t>
      </w:r>
      <w:r>
        <w:rPr>
          <w:rFonts w:ascii="华文楷体" w:hAnsi="华文楷体" w:eastAsia="华文楷体" w:cs="华文楷体"/>
          <w:color w:val="0000FF"/>
          <w:kern w:val="2"/>
          <w:szCs w:val="22"/>
        </w:rPr>
        <w:t xml:space="preserve"> GB/T 228.1</w:t>
      </w:r>
      <w:r>
        <w:rPr>
          <w:rFonts w:hint="eastAsia" w:ascii="华文楷体" w:hAnsi="华文楷体" w:eastAsia="华文楷体" w:cs="华文楷体"/>
          <w:color w:val="0000FF"/>
          <w:kern w:val="2"/>
          <w:szCs w:val="22"/>
        </w:rPr>
        <w:t>执行。金属屈服后的滞回特性与其被重复加载或卸载的弹塑性变形状态密切相关，单调拉伸试验确定位移相关性消能器的屈服点力学性能是不合适的，应该考虑重复加载导致其力学特性的变化。</w:t>
      </w:r>
    </w:p>
    <w:p>
      <w:pPr>
        <w:widowControl/>
        <w:adjustRightInd/>
        <w:spacing w:line="240" w:lineRule="auto"/>
        <w:jc w:val="left"/>
        <w:rPr>
          <w:rFonts w:ascii="华文楷体" w:hAnsi="华文楷体" w:eastAsia="华文楷体" w:cs="华文楷体"/>
          <w:color w:val="0000FF"/>
          <w:szCs w:val="22"/>
        </w:rPr>
      </w:pPr>
      <w:r>
        <w:rPr>
          <w:rFonts w:ascii="华文楷体" w:hAnsi="华文楷体" w:eastAsia="华文楷体" w:cs="华文楷体"/>
          <w:color w:val="0000FF"/>
          <w:szCs w:val="22"/>
        </w:rPr>
        <w:br w:type="page"/>
      </w:r>
    </w:p>
    <w:p>
      <w:pPr>
        <w:pStyle w:val="106"/>
        <w:spacing w:before="312" w:after="312"/>
        <w:jc w:val="center"/>
      </w:pPr>
      <w:bookmarkStart w:id="52" w:name="_Toc92414098"/>
      <w:r>
        <w:rPr>
          <w:rFonts w:hint="eastAsia"/>
        </w:rPr>
        <w:t>消能减震结构设计</w:t>
      </w:r>
      <w:bookmarkEnd w:id="52"/>
    </w:p>
    <w:p>
      <w:pPr>
        <w:pStyle w:val="107"/>
        <w:spacing w:before="156" w:after="156"/>
        <w:jc w:val="center"/>
      </w:pPr>
      <w:r>
        <w:rPr>
          <w:rFonts w:hint="eastAsia"/>
        </w:rPr>
        <w:t>一般规定</w:t>
      </w:r>
    </w:p>
    <w:p>
      <w:pPr>
        <w:pStyle w:val="167"/>
      </w:pPr>
      <w:r>
        <w:rPr>
          <w:rFonts w:hint="eastAsia"/>
        </w:rPr>
        <w:t>消能减震结构设计应保证主体结构符合现行国家标准《建筑抗震设计规范》GB50011的规定；楼（屋）盖宜满足平面内无限刚性的要求。当楼（屋）盖平面内无限刚性要求不满足时，应考虑楼（屋）盖平面内的弹性变形，并建立符合实际情况的力学分析模型。抗震计算分析模型应同时包括主体结构与消能部件。</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8.1.1</w:t>
      </w:r>
      <w:r>
        <w:rPr>
          <w:rFonts w:hint="eastAsia" w:ascii="华文楷体" w:hAnsi="华文楷体" w:eastAsia="华文楷体" w:cs="华文楷体"/>
          <w:color w:val="0000FF"/>
          <w:szCs w:val="22"/>
        </w:rPr>
        <w:t>对于平面规则并且无大开洞的楼板消能减震结构，可采用现行国家标准《建筑抗震设计规范》</w:t>
      </w:r>
      <w:r>
        <w:rPr>
          <w:rFonts w:ascii="华文楷体" w:hAnsi="华文楷体" w:eastAsia="华文楷体" w:cs="华文楷体"/>
          <w:color w:val="0000FF"/>
          <w:szCs w:val="22"/>
        </w:rPr>
        <w:t>GB50011</w:t>
      </w:r>
      <w:r>
        <w:rPr>
          <w:rFonts w:hint="eastAsia" w:ascii="华文楷体" w:hAnsi="华文楷体" w:eastAsia="华文楷体" w:cs="华文楷体"/>
          <w:color w:val="0000FF"/>
          <w:szCs w:val="22"/>
        </w:rPr>
        <w:t>中规定的刚性隔板假定。但对于复杂的结构，采用刚性隔板假定时，可能会使消能器消能力超过实际能力，从而高估了消能器的作用，为此，需考虑采用弹性楼板模型对消能减震结构进行分析。</w:t>
      </w:r>
    </w:p>
    <w:p>
      <w:pPr>
        <w:pStyle w:val="167"/>
      </w:pPr>
      <w:r>
        <w:rPr>
          <w:rFonts w:hint="eastAsia"/>
        </w:rPr>
        <w:t>消能减震结构的高度超过现行国家标准《建筑抗震设计规范》GB50011规定时，应进行专项研究。</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8.1.2</w:t>
      </w:r>
      <w:r>
        <w:rPr>
          <w:rFonts w:hint="eastAsia" w:ascii="华文楷体" w:hAnsi="华文楷体" w:eastAsia="华文楷体" w:cs="华文楷体"/>
          <w:color w:val="0000FF"/>
          <w:szCs w:val="22"/>
        </w:rPr>
        <w:t>结构中布置消能器后形成消能减震支撑结构体系，当消能器在结构中的布置满足钢支撑在不同结构中的要求时，其形成的消能减震高层建筑结构的最大适用高度，可按现行国家标准《建筑抗震设计规范》</w:t>
      </w:r>
      <w:r>
        <w:rPr>
          <w:rFonts w:ascii="华文楷体" w:hAnsi="华文楷体" w:eastAsia="华文楷体" w:cs="华文楷体"/>
          <w:color w:val="0000FF"/>
          <w:szCs w:val="22"/>
        </w:rPr>
        <w:t xml:space="preserve"> GB 50011</w:t>
      </w:r>
      <w:r>
        <w:rPr>
          <w:rFonts w:hint="eastAsia" w:ascii="华文楷体" w:hAnsi="华文楷体" w:eastAsia="华文楷体" w:cs="华文楷体"/>
          <w:color w:val="0000FF"/>
          <w:szCs w:val="22"/>
        </w:rPr>
        <w:t>中钢支撑结构体系要求取值。如果消能减震结构与满足抗震设防烈度要求设计的非消能减震结构水平地震影响系数之比接近于</w:t>
      </w:r>
      <w:r>
        <w:rPr>
          <w:rFonts w:ascii="华文楷体" w:hAnsi="华文楷体" w:eastAsia="华文楷体" w:cs="华文楷体"/>
          <w:color w:val="0000FF"/>
          <w:szCs w:val="22"/>
        </w:rPr>
        <w:t>0.5</w:t>
      </w:r>
      <w:r>
        <w:rPr>
          <w:rFonts w:hint="eastAsia" w:ascii="华文楷体" w:hAnsi="华文楷体" w:eastAsia="华文楷体" w:cs="华文楷体"/>
          <w:color w:val="0000FF"/>
          <w:szCs w:val="22"/>
        </w:rPr>
        <w:t>，其最大适用高度可按降一度要求考虑，但还应进行专门的研究。</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消能减震结构采用屈曲约束支撑时，当屈曲约束支撑的布置满足现行国家标准《建筑抗震设计规范》</w:t>
      </w:r>
      <w:r>
        <w:rPr>
          <w:rFonts w:ascii="华文楷体" w:hAnsi="华文楷体" w:eastAsia="华文楷体" w:cs="华文楷体"/>
          <w:color w:val="0000FF"/>
          <w:szCs w:val="22"/>
        </w:rPr>
        <w:t xml:space="preserve"> GB 50011</w:t>
      </w:r>
      <w:r>
        <w:rPr>
          <w:rFonts w:hint="eastAsia" w:ascii="华文楷体" w:hAnsi="华文楷体" w:eastAsia="华文楷体" w:cs="华文楷体"/>
          <w:color w:val="0000FF"/>
          <w:szCs w:val="22"/>
        </w:rPr>
        <w:t>中钢支撑布置的要求时，其建筑适用的最大高度可采用钢支撑建筑要求取值。</w:t>
      </w:r>
    </w:p>
    <w:p>
      <w:pPr>
        <w:pStyle w:val="167"/>
        <w:rPr>
          <w:rFonts w:ascii="华文楷体" w:hAnsi="华文楷体" w:eastAsia="华文楷体" w:cs="华文楷体"/>
          <w:color w:val="0000FF"/>
          <w:szCs w:val="22"/>
        </w:rPr>
      </w:pPr>
      <w:r>
        <w:rPr>
          <w:rFonts w:hint="eastAsia"/>
          <w:color w:val="000000" w:themeColor="text1"/>
          <w14:textFill>
            <w14:solidFill>
              <w14:schemeClr w14:val="tx1"/>
            </w14:solidFill>
          </w14:textFill>
        </w:rPr>
        <w:t>消能减震结构构件设计时，应考虑消能部件引起的柱、墙、梁的附加轴力、剪力和弯矩作用。</w:t>
      </w: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8.1.3</w:t>
      </w:r>
      <w:r>
        <w:rPr>
          <w:rFonts w:hint="eastAsia" w:ascii="华文楷体" w:hAnsi="华文楷体" w:eastAsia="华文楷体" w:cs="华文楷体"/>
          <w:color w:val="0000FF"/>
          <w:szCs w:val="22"/>
        </w:rPr>
        <w:t>与消能部件相连的柱（墙）和梁所承受的作用不仅包括地震作用部分，还包括与该柱（墙）和梁相连的消能部件传至连接节点的作用。这样，在地震作用下，虽然消能减震结构能减小结构地震作用下反应，但是消能子结构由于消能部件产生附加作用可能比较大，从而增加与消能部件相连的柱（墙）和梁的作用，设计时应考虑与消能部件相连的主体结构构件（主要是消能子结构构件）由于消能部件附加作用的影响。</w:t>
      </w:r>
    </w:p>
    <w:p>
      <w:pPr>
        <w:pStyle w:val="107"/>
        <w:spacing w:before="156" w:after="156"/>
        <w:jc w:val="center"/>
      </w:pPr>
      <w:r>
        <w:rPr>
          <w:rFonts w:hint="eastAsia"/>
        </w:rPr>
        <w:t>消能部件布置原则</w:t>
      </w:r>
    </w:p>
    <w:p>
      <w:pPr>
        <w:pStyle w:val="167"/>
      </w:pPr>
      <w:r>
        <w:rPr>
          <w:rFonts w:hint="eastAsia"/>
        </w:rPr>
        <w:t>消能部件的布置应符合下列规定：</w:t>
      </w:r>
    </w:p>
    <w:p>
      <w:pPr>
        <w:pStyle w:val="58"/>
        <w:ind w:firstLine="420"/>
      </w:pPr>
      <w:r>
        <w:rPr>
          <w:rFonts w:hint="eastAsia"/>
        </w:rPr>
        <w:t>1  消能部件的布置宜使结构在两个主轴方向的动力特性相近。</w:t>
      </w:r>
    </w:p>
    <w:p>
      <w:pPr>
        <w:pStyle w:val="58"/>
        <w:ind w:firstLine="420"/>
      </w:pPr>
      <w:r>
        <w:rPr>
          <w:rFonts w:hint="eastAsia"/>
        </w:rPr>
        <w:t>2  消能部件的竖向布置宜使结构沿高度方向刚度均匀。</w:t>
      </w:r>
    </w:p>
    <w:p>
      <w:pPr>
        <w:pStyle w:val="58"/>
        <w:ind w:firstLine="420"/>
      </w:pPr>
      <w:r>
        <w:rPr>
          <w:rFonts w:hint="eastAsia"/>
        </w:rPr>
        <w:t>3  消能部件宜布置在层间相对位移和相对速度较大的楼层，同时可采用合理形式增加消能器两端的相对变形或相对速度的技术措施，提高消能器的减震效率。</w:t>
      </w:r>
    </w:p>
    <w:p>
      <w:pPr>
        <w:pStyle w:val="58"/>
        <w:ind w:firstLine="420"/>
      </w:pPr>
      <w:r>
        <w:rPr>
          <w:rFonts w:hint="eastAsia"/>
        </w:rPr>
        <w:t>4  可通过抗震墙的连梁位置设置位移相关型消能部件，把抗震墙设计成双肢或多肢消能抗震墙。</w:t>
      </w:r>
    </w:p>
    <w:p>
      <w:pPr>
        <w:pStyle w:val="58"/>
        <w:ind w:firstLine="420"/>
      </w:pPr>
      <w:r>
        <w:rPr>
          <w:rFonts w:hint="eastAsia"/>
        </w:rPr>
        <w:t>5  消能部件的布置不宜使结构出现薄弱构件或薄弱层。</w:t>
      </w:r>
    </w:p>
    <w:p>
      <w:pPr>
        <w:pStyle w:val="167"/>
      </w:pPr>
      <w:r>
        <w:rPr>
          <w:rFonts w:hint="eastAsia"/>
        </w:rPr>
        <w:t>消能部件的布置宜使消能减震结构设计参数符合下列规定：</w:t>
      </w:r>
    </w:p>
    <w:p>
      <w:pPr>
        <w:pStyle w:val="58"/>
        <w:ind w:firstLine="420"/>
      </w:pPr>
      <w:r>
        <w:rPr>
          <w:rFonts w:hint="eastAsia"/>
        </w:rPr>
        <w:t>1  采用位移相关型消能器时，各楼层的消能部件有效刚度与主体结构层间刚度比宜接近，各楼层的消能部件水平剪力与主体结构的弹性层间剪力和层间位移的乘积之比的比值宜接近。</w:t>
      </w:r>
    </w:p>
    <w:p>
      <w:pPr>
        <w:pStyle w:val="58"/>
        <w:ind w:firstLine="420"/>
      </w:pPr>
      <w:r>
        <w:rPr>
          <w:rFonts w:hint="eastAsia"/>
        </w:rPr>
        <w:t>2  采用黏滞消能器时，各楼层的消能部件的最大水平阻尼力与主体结构的弹性层间剪力与层间位移乘积之比的比值宜接近。</w:t>
      </w:r>
    </w:p>
    <w:p>
      <w:pPr>
        <w:pStyle w:val="58"/>
        <w:ind w:firstLine="420"/>
        <w:rPr>
          <w:color w:val="FF0000"/>
        </w:rPr>
      </w:pPr>
      <w:r>
        <w:rPr>
          <w:rFonts w:hint="eastAsia"/>
          <w:color w:val="FF0000"/>
        </w:rPr>
        <w:t>3  消能减震结构布置消能部件的楼层中，多遇地震作用下消能器的最大水平阻尼力在水平方向上分量之和不宜小于楼层层间屈服剪力的30%。</w:t>
      </w:r>
    </w:p>
    <w:p>
      <w:pPr>
        <w:pStyle w:val="58"/>
        <w:ind w:firstLine="0" w:firstLineChars="0"/>
        <w:rPr>
          <w:color w:val="FF0000"/>
        </w:rPr>
      </w:pPr>
      <w:r>
        <w:rPr>
          <w:rFonts w:hint="eastAsia" w:ascii="华文楷体" w:hAnsi="华文楷体" w:eastAsia="华文楷体" w:cs="华文楷体"/>
          <w:color w:val="FF0000"/>
        </w:rPr>
        <w:t>条文说明</w:t>
      </w:r>
      <w:r>
        <w:rPr>
          <w:rFonts w:ascii="华文楷体" w:hAnsi="华文楷体" w:eastAsia="华文楷体" w:cs="华文楷体"/>
          <w:color w:val="FF0000"/>
        </w:rPr>
        <w:t>8.2.2</w:t>
      </w:r>
      <w:r>
        <w:rPr>
          <w:rFonts w:hint="eastAsia" w:ascii="华文楷体" w:hAnsi="华文楷体" w:eastAsia="华文楷体" w:cs="华文楷体"/>
          <w:color w:val="FF0000"/>
        </w:rPr>
        <w:t>通过对多层、中高层位移相关型消能器、速度相关型消能器消能减震结构理论分析研究，结果表明当剪力比（消能器最大水平阻尼力在水平方向上分量之和与主体结构层间屈服剪力比值）取值范围为</w:t>
      </w:r>
      <w:r>
        <w:rPr>
          <w:rFonts w:ascii="华文楷体" w:hAnsi="华文楷体" w:eastAsia="华文楷体" w:cs="华文楷体"/>
          <w:color w:val="FF0000"/>
        </w:rPr>
        <w:t>0.3 &lt;</w:t>
      </w:r>
      <w:r>
        <w:rPr>
          <w:rFonts w:ascii="华文楷体" w:hAnsi="华文楷体" w:eastAsia="华文楷体" w:cs="华文楷体"/>
          <w:color w:val="FF0000"/>
          <w:position w:val="-6"/>
        </w:rPr>
        <w:object>
          <v:shape id="_x0000_i1171" o:spt="75" type="#_x0000_t75" style="height:11pt;width:10.3pt;" o:ole="t" filled="f" o:preferrelative="t" stroked="f" coordsize="21600,21600">
            <v:path/>
            <v:fill on="f" focussize="0,0"/>
            <v:stroke on="f" joinstyle="miter"/>
            <v:imagedata r:id="rId293" o:title=""/>
            <o:lock v:ext="edit" aspectratio="t"/>
            <w10:wrap type="none"/>
            <w10:anchorlock/>
          </v:shape>
          <o:OLEObject Type="Embed" ProgID="Equation.KSEE3" ShapeID="_x0000_i1171" DrawAspect="Content" ObjectID="_1468075871" r:id="rId292">
            <o:LockedField>false</o:LockedField>
          </o:OLEObject>
        </w:object>
      </w:r>
      <w:r>
        <w:rPr>
          <w:rFonts w:ascii="华文楷体" w:hAnsi="华文楷体" w:eastAsia="华文楷体" w:cs="华文楷体"/>
          <w:color w:val="FF0000"/>
        </w:rPr>
        <w:t>&lt;0.5</w:t>
      </w:r>
      <w:r>
        <w:rPr>
          <w:rFonts w:hint="eastAsia" w:ascii="华文楷体" w:hAnsi="华文楷体" w:eastAsia="华文楷体" w:cs="华文楷体"/>
          <w:color w:val="FF0000"/>
        </w:rPr>
        <w:t>时候，减震效果最为明显。</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40"/>
        <w:gridCol w:w="47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40" w:type="dxa"/>
          </w:tcPr>
          <w:p>
            <w:pPr>
              <w:adjustRightInd/>
              <w:spacing w:line="240" w:lineRule="atLeast"/>
              <w:rPr>
                <w:rFonts w:ascii="华文楷体" w:hAnsi="华文楷体" w:eastAsia="华文楷体" w:cs="华文楷体"/>
                <w:color w:val="FF0000"/>
                <w:szCs w:val="22"/>
              </w:rPr>
            </w:pPr>
            <w:r>
              <w:rPr>
                <w:color w:val="FF0000"/>
              </w:rPr>
              <w:drawing>
                <wp:inline distT="0" distB="0" distL="0" distR="0">
                  <wp:extent cx="2564765" cy="2098040"/>
                  <wp:effectExtent l="0" t="0" r="0" b="0"/>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294"/>
                          <a:stretch>
                            <a:fillRect/>
                          </a:stretch>
                        </pic:blipFill>
                        <pic:spPr>
                          <a:xfrm>
                            <a:off x="0" y="0"/>
                            <a:ext cx="2564765" cy="2098040"/>
                          </a:xfrm>
                          <a:prstGeom prst="rect">
                            <a:avLst/>
                          </a:prstGeom>
                        </pic:spPr>
                      </pic:pic>
                    </a:graphicData>
                  </a:graphic>
                </wp:inline>
              </w:drawing>
            </w:r>
          </w:p>
        </w:tc>
        <w:tc>
          <w:tcPr>
            <w:tcW w:w="4540" w:type="dxa"/>
          </w:tcPr>
          <w:p>
            <w:pPr>
              <w:adjustRightInd/>
              <w:spacing w:line="240" w:lineRule="atLeast"/>
              <w:rPr>
                <w:rFonts w:ascii="华文楷体" w:hAnsi="华文楷体" w:eastAsia="华文楷体" w:cs="华文楷体"/>
                <w:color w:val="FF0000"/>
                <w:szCs w:val="22"/>
              </w:rPr>
            </w:pPr>
            <w:r>
              <w:rPr>
                <w:color w:val="FF0000"/>
              </w:rPr>
              <w:drawing>
                <wp:inline distT="0" distB="0" distL="0" distR="0">
                  <wp:extent cx="2861945" cy="2098040"/>
                  <wp:effectExtent l="0" t="0" r="0" b="0"/>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295"/>
                          <a:stretch>
                            <a:fillRect/>
                          </a:stretch>
                        </pic:blipFill>
                        <pic:spPr>
                          <a:xfrm>
                            <a:off x="0" y="0"/>
                            <a:ext cx="2861945" cy="20980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40" w:type="dxa"/>
          </w:tcPr>
          <w:p>
            <w:pPr>
              <w:adjustRightInd/>
              <w:spacing w:line="240" w:lineRule="atLeast"/>
              <w:jc w:val="center"/>
              <w:rPr>
                <w:rFonts w:ascii="华文楷体" w:hAnsi="华文楷体" w:eastAsia="华文楷体" w:cs="华文楷体"/>
                <w:color w:val="FF0000"/>
                <w:szCs w:val="22"/>
              </w:rPr>
            </w:pPr>
            <w:r>
              <w:rPr>
                <w:rFonts w:hint="eastAsia" w:ascii="华文楷体" w:hAnsi="华文楷体" w:eastAsia="华文楷体" w:cs="华文楷体"/>
                <w:color w:val="FF0000"/>
                <w:szCs w:val="22"/>
              </w:rPr>
              <w:t>图8.2.2a  位移相关型消能减震结构</w:t>
            </w:r>
          </w:p>
        </w:tc>
        <w:tc>
          <w:tcPr>
            <w:tcW w:w="4540" w:type="dxa"/>
          </w:tcPr>
          <w:p>
            <w:pPr>
              <w:adjustRightInd/>
              <w:spacing w:line="240" w:lineRule="atLeast"/>
              <w:jc w:val="center"/>
              <w:rPr>
                <w:rFonts w:ascii="华文楷体" w:hAnsi="华文楷体" w:eastAsia="华文楷体" w:cs="华文楷体"/>
                <w:color w:val="FF0000"/>
                <w:szCs w:val="22"/>
              </w:rPr>
            </w:pPr>
            <w:r>
              <w:rPr>
                <w:rFonts w:hint="eastAsia" w:ascii="华文楷体" w:hAnsi="华文楷体" w:eastAsia="华文楷体" w:cs="华文楷体"/>
                <w:color w:val="FF0000"/>
                <w:szCs w:val="22"/>
              </w:rPr>
              <w:t>图8.2.2b  速度相关型消能减震结构</w:t>
            </w:r>
          </w:p>
        </w:tc>
      </w:tr>
    </w:tbl>
    <w:p>
      <w:pPr>
        <w:pStyle w:val="107"/>
        <w:spacing w:before="156" w:after="156"/>
        <w:jc w:val="center"/>
      </w:pPr>
      <w:r>
        <w:rPr>
          <w:rFonts w:hint="eastAsia"/>
        </w:rPr>
        <w:t>消能部件设计与附加阻尼比计算</w:t>
      </w:r>
    </w:p>
    <w:p>
      <w:pPr>
        <w:pStyle w:val="167"/>
      </w:pPr>
      <w:r>
        <w:rPr>
          <w:rFonts w:hint="eastAsia"/>
        </w:rPr>
        <w:t>消能部件的设计参数应符合下列规定：</w:t>
      </w:r>
    </w:p>
    <w:p>
      <w:pPr>
        <w:pStyle w:val="58"/>
        <w:ind w:firstLine="420"/>
      </w:pPr>
      <w:r>
        <w:rPr>
          <w:rFonts w:hint="eastAsia"/>
        </w:rPr>
        <w:t>1  位移相关型消能器与斜撑、支墩等附属构件组成消能部件时，消能部件的恢复力模型参数应符合下式规定：</w:t>
      </w:r>
    </w:p>
    <w:p>
      <w:pPr>
        <w:pStyle w:val="115"/>
      </w:pPr>
      <w:r>
        <w:tab/>
      </w:r>
      <w:r>
        <w:rPr>
          <w:rFonts w:ascii="Times New Roman" w:hAnsi="Times New Roman"/>
          <w:position w:val="-14"/>
        </w:rPr>
        <w:object>
          <v:shape id="_x0000_i1172" o:spt="75" type="#_x0000_t75" style="height:19.1pt;width:83pt;" o:ole="t" filled="f" o:preferrelative="t" stroked="f" coordsize="21600,21600">
            <v:path/>
            <v:fill on="f" focussize="0,0"/>
            <v:stroke on="f" joinstyle="miter"/>
            <v:imagedata r:id="rId297" o:title=""/>
            <o:lock v:ext="edit" aspectratio="t"/>
            <w10:wrap type="none"/>
            <w10:anchorlock/>
          </v:shape>
          <o:OLEObject Type="Embed" ProgID="Equation.3" ShapeID="_x0000_i1172" DrawAspect="Content" ObjectID="_1468075872" r:id="rId296">
            <o:LockedField>false</o:LockedField>
          </o:OLEObject>
        </w:object>
      </w:r>
      <w:r>
        <w:rPr>
          <w:rFonts w:ascii="微软雅黑" w:hAnsi="微软雅黑" w:eastAsia="微软雅黑"/>
        </w:rPr>
        <w:tab/>
      </w:r>
      <w:r>
        <w:t>(8.3.1-1)</w:t>
      </w:r>
    </w:p>
    <w:p>
      <w:pPr>
        <w:pStyle w:val="58"/>
        <w:ind w:firstLine="420"/>
      </w:pPr>
      <w:r>
        <w:rPr>
          <w:rFonts w:hint="eastAsia"/>
        </w:rPr>
        <w:t>式中：</w:t>
      </w:r>
      <w:r>
        <w:rPr>
          <w:rFonts w:ascii="Cambria Math"/>
          <w:i/>
        </w:rPr>
        <w:t xml:space="preserve"> </w:t>
      </w:r>
      <m:oMath>
        <m:r>
          <m:rPr/>
          <w:rPr>
            <w:rFonts w:ascii="Cambria Math"/>
          </w:rPr>
          <m:t>Δ</m:t>
        </m:r>
        <m:sSub>
          <m:sSubPr>
            <m:ctrlPr>
              <w:rPr>
                <w:rFonts w:ascii="Cambria Math" w:hAnsi="Cambria Math" w:eastAsiaTheme="minorEastAsia"/>
                <w:i/>
                <w:szCs w:val="22"/>
              </w:rPr>
            </m:ctrlPr>
          </m:sSubPr>
          <m:e>
            <m:r>
              <m:rPr/>
              <w:rPr>
                <w:rFonts w:ascii="Cambria Math"/>
              </w:rPr>
              <m:t>u</m:t>
            </m:r>
            <m:ctrlPr>
              <w:rPr>
                <w:rFonts w:ascii="Cambria Math" w:hAnsi="Cambria Math" w:eastAsiaTheme="minorEastAsia"/>
                <w:i/>
                <w:szCs w:val="22"/>
              </w:rPr>
            </m:ctrlPr>
          </m:e>
          <m:sub>
            <m:r>
              <m:rPr/>
              <w:rPr>
                <w:rFonts w:ascii="Cambria Math"/>
              </w:rPr>
              <m:t>py</m:t>
            </m:r>
            <m:ctrlPr>
              <w:rPr>
                <w:rFonts w:ascii="Cambria Math" w:hAnsi="Cambria Math" w:eastAsiaTheme="minorEastAsia"/>
                <w:i/>
                <w:szCs w:val="22"/>
              </w:rPr>
            </m:ctrlPr>
          </m:sub>
        </m:sSub>
      </m:oMath>
      <w:r>
        <w:t>―</w:t>
      </w:r>
      <w:r>
        <w:rPr>
          <w:rFonts w:hint="eastAsia"/>
        </w:rPr>
        <w:t>消能部件在水平方向的屈服位移（</w:t>
      </w:r>
      <w:r>
        <w:t>m</w:t>
      </w:r>
      <w:r>
        <w:rPr>
          <w:rFonts w:hint="eastAsia"/>
        </w:rPr>
        <w:t>）；</w:t>
      </w:r>
    </w:p>
    <w:p>
      <w:pPr>
        <w:pStyle w:val="58"/>
        <w:ind w:firstLine="1260" w:firstLineChars="600"/>
      </w:pPr>
      <m:oMath>
        <m:r>
          <m:rPr/>
          <w:rPr>
            <w:rFonts w:ascii="Cambria Math"/>
          </w:rPr>
          <m:t>Δ</m:t>
        </m:r>
        <m:sSub>
          <m:sSubPr>
            <m:ctrlPr>
              <w:rPr>
                <w:rFonts w:ascii="Cambria Math" w:hAnsi="Cambria Math" w:eastAsiaTheme="minorEastAsia"/>
                <w:i/>
                <w:szCs w:val="22"/>
              </w:rPr>
            </m:ctrlPr>
          </m:sSubPr>
          <m:e>
            <m:r>
              <m:rPr/>
              <w:rPr>
                <w:rFonts w:ascii="Cambria Math"/>
              </w:rPr>
              <m:t>u</m:t>
            </m:r>
            <m:ctrlPr>
              <w:rPr>
                <w:rFonts w:ascii="Cambria Math" w:hAnsi="Cambria Math" w:eastAsiaTheme="minorEastAsia"/>
                <w:i/>
                <w:szCs w:val="22"/>
              </w:rPr>
            </m:ctrlPr>
          </m:e>
          <m:sub>
            <m:r>
              <m:rPr/>
              <w:rPr>
                <w:rFonts w:ascii="Cambria Math"/>
              </w:rPr>
              <m:t>sy</m:t>
            </m:r>
            <m:ctrlPr>
              <w:rPr>
                <w:rFonts w:ascii="Cambria Math" w:hAnsi="Cambria Math" w:eastAsiaTheme="minorEastAsia"/>
                <w:i/>
                <w:szCs w:val="22"/>
              </w:rPr>
            </m:ctrlPr>
          </m:sub>
        </m:sSub>
      </m:oMath>
      <w:r>
        <w:t>―</w:t>
      </w:r>
      <w:r>
        <w:rPr>
          <w:rFonts w:hint="eastAsia"/>
        </w:rPr>
        <w:t>设置消能部件的主体结构层间屈服位移（</w:t>
      </w:r>
      <w:r>
        <w:t>m</w:t>
      </w:r>
      <w:r>
        <w:rPr>
          <w:rFonts w:hint="eastAsia"/>
        </w:rPr>
        <w:t>）。</w:t>
      </w:r>
    </w:p>
    <w:p>
      <w:pPr>
        <w:pStyle w:val="57"/>
        <w:ind w:firstLine="420"/>
      </w:pPr>
      <w:r>
        <w:rPr>
          <w:rFonts w:hint="eastAsia"/>
        </w:rPr>
        <w:t>2  黏滞消能器与斜撑、墙体（支墩）或梁等支承构件组成消能部件时，支承构件沿消能器消能方向的刚度应符合下式规定：</w:t>
      </w:r>
    </w:p>
    <w:p>
      <w:pPr>
        <w:pStyle w:val="115"/>
      </w:pPr>
      <w:r>
        <w:tab/>
      </w:r>
      <w:r>
        <w:rPr>
          <w:rFonts w:ascii="Times New Roman" w:hAnsi="Times New Roman"/>
          <w:position w:val="-12"/>
        </w:rPr>
        <w:object>
          <v:shape id="_x0000_i1173" o:spt="75" type="#_x0000_t75" style="height:18.35pt;width:47.75pt;" o:ole="t" filled="f" o:preferrelative="t" stroked="f" coordsize="21600,21600">
            <v:path/>
            <v:fill on="f" focussize="0,0"/>
            <v:stroke on="f" joinstyle="miter"/>
            <v:imagedata r:id="rId299" o:title=""/>
            <o:lock v:ext="edit" aspectratio="t"/>
            <w10:wrap type="none"/>
            <w10:anchorlock/>
          </v:shape>
          <o:OLEObject Type="Embed" ProgID="Equation.3" ShapeID="_x0000_i1173" DrawAspect="Content" ObjectID="_1468075873" r:id="rId298">
            <o:LockedField>false</o:LockedField>
          </o:OLEObject>
        </w:object>
      </w:r>
      <w:r>
        <w:rPr>
          <w:rFonts w:ascii="微软雅黑" w:hAnsi="微软雅黑" w:eastAsia="微软雅黑"/>
        </w:rPr>
        <w:tab/>
      </w:r>
      <w:r>
        <w:t>(8.3.1-2</w:t>
      </w:r>
      <w:r>
        <w:rPr>
          <w:rFonts w:hint="eastAsia"/>
        </w:rPr>
        <w:t>a</w:t>
      </w:r>
      <w:r>
        <w:t>)</w:t>
      </w:r>
    </w:p>
    <w:p>
      <w:pPr>
        <w:pStyle w:val="115"/>
      </w:pPr>
      <w:r>
        <w:tab/>
      </w:r>
      <w:bookmarkStart w:id="53" w:name="_Hlk89968298"/>
      <m:oMath>
        <m:sSub>
          <m:sSubPr>
            <m:ctrlPr>
              <w:rPr>
                <w:rFonts w:ascii="Cambria Math" w:hAnsi="Cambria Math" w:eastAsiaTheme="minorEastAsia"/>
                <w:i/>
                <w:szCs w:val="22"/>
              </w:rPr>
            </m:ctrlPr>
          </m:sSubPr>
          <m:e>
            <m:r>
              <m:rPr/>
              <w:rPr>
                <w:rFonts w:ascii="Cambria Math" w:hAnsi="Times New Roman"/>
              </w:rPr>
              <m:t>K</m:t>
            </m:r>
            <m:ctrlPr>
              <w:rPr>
                <w:rFonts w:ascii="Cambria Math" w:hAnsi="Cambria Math" w:eastAsiaTheme="minorEastAsia"/>
                <w:i/>
                <w:szCs w:val="22"/>
              </w:rPr>
            </m:ctrlPr>
          </m:e>
          <m:sub>
            <m:r>
              <m:rPr/>
              <w:rPr>
                <w:rFonts w:ascii="Cambria Math" w:hAnsi="Times New Roman"/>
              </w:rPr>
              <m:t>b</m:t>
            </m:r>
            <m:ctrlPr>
              <w:rPr>
                <w:rFonts w:ascii="Cambria Math" w:hAnsi="Cambria Math" w:eastAsiaTheme="minorEastAsia"/>
                <w:i/>
                <w:szCs w:val="22"/>
              </w:rPr>
            </m:ctrlPr>
          </m:sub>
        </m:sSub>
        <m:r>
          <m:rPr/>
          <w:rPr>
            <w:rFonts w:ascii="Cambria Math" w:hAnsi="Times New Roman"/>
          </w:rPr>
          <m:t>≥6</m:t>
        </m:r>
        <m:sSub>
          <m:sSubPr>
            <m:ctrlPr>
              <w:rPr>
                <w:rFonts w:ascii="Cambria Math" w:hAnsi="Cambria Math" w:eastAsiaTheme="minorEastAsia"/>
                <w:i/>
                <w:szCs w:val="22"/>
              </w:rPr>
            </m:ctrlPr>
          </m:sSubPr>
          <m:e>
            <m:r>
              <m:rPr/>
              <w:rPr>
                <w:rFonts w:ascii="Cambria Math" w:hAnsi="Times New Roman"/>
              </w:rPr>
              <m:t>K</m:t>
            </m:r>
            <m:ctrlPr>
              <w:rPr>
                <w:rFonts w:ascii="Cambria Math" w:hAnsi="Cambria Math" w:eastAsiaTheme="minorEastAsia"/>
                <w:i/>
                <w:szCs w:val="22"/>
              </w:rPr>
            </m:ctrlPr>
          </m:e>
          <m:sub>
            <m:r>
              <m:rPr/>
              <w:rPr>
                <w:rFonts w:ascii="Cambria Math" w:hAnsi="Times New Roman"/>
              </w:rPr>
              <m:t>e</m:t>
            </m:r>
            <m:ctrlPr>
              <w:rPr>
                <w:rFonts w:ascii="Cambria Math" w:hAnsi="Cambria Math" w:eastAsiaTheme="minorEastAsia"/>
                <w:i/>
                <w:szCs w:val="22"/>
              </w:rPr>
            </m:ctrlPr>
            <w:bookmarkEnd w:id="53"/>
          </m:sub>
        </m:sSub>
      </m:oMath>
      <w:r>
        <w:rPr>
          <w:rFonts w:ascii="微软雅黑" w:hAnsi="微软雅黑" w:eastAsia="微软雅黑"/>
        </w:rPr>
        <w:tab/>
      </w:r>
      <w:r>
        <w:t>(8.3.1-2b)</w:t>
      </w:r>
    </w:p>
    <w:p>
      <w:pPr>
        <w:pStyle w:val="58"/>
        <w:ind w:firstLine="420"/>
      </w:pPr>
      <w:r>
        <w:rPr>
          <w:rFonts w:hint="eastAsia"/>
        </w:rPr>
        <w:t>式中：</w:t>
      </w:r>
      <m:oMath>
        <m:sSub>
          <m:sSubPr>
            <m:ctrlPr>
              <w:rPr>
                <w:rFonts w:ascii="Cambria Math" w:hAnsi="Cambria Math" w:eastAsiaTheme="minorEastAsia"/>
                <w:i/>
                <w:szCs w:val="22"/>
              </w:rPr>
            </m:ctrlPr>
          </m:sSubPr>
          <m:e>
            <m:r>
              <m:rPr/>
              <w:rPr>
                <w:rFonts w:ascii="Cambria Math"/>
              </w:rPr>
              <m:t>K</m:t>
            </m:r>
            <m:ctrlPr>
              <w:rPr>
                <w:rFonts w:ascii="Cambria Math" w:hAnsi="Cambria Math" w:eastAsiaTheme="minorEastAsia"/>
                <w:i/>
                <w:szCs w:val="22"/>
              </w:rPr>
            </m:ctrlPr>
          </m:e>
          <m:sub>
            <m:r>
              <m:rPr/>
              <w:rPr>
                <w:rFonts w:ascii="Cambria Math"/>
              </w:rPr>
              <m:t>b</m:t>
            </m:r>
            <m:ctrlPr>
              <w:rPr>
                <w:rFonts w:ascii="Cambria Math" w:hAnsi="Cambria Math" w:eastAsiaTheme="minorEastAsia"/>
                <w:i/>
                <w:szCs w:val="22"/>
              </w:rPr>
            </m:ctrlPr>
          </m:sub>
        </m:sSub>
      </m:oMath>
      <w:r>
        <w:t>―</w:t>
      </w:r>
      <w:r>
        <w:rPr>
          <w:rFonts w:hint="eastAsia"/>
        </w:rPr>
        <w:t>支撑构件沿消能器消能方向的刚度（</w:t>
      </w:r>
      <w:r>
        <w:t>kN/m</w:t>
      </w:r>
      <w:r>
        <w:rPr>
          <w:rFonts w:hint="eastAsia"/>
        </w:rPr>
        <w:t>）；</w:t>
      </w:r>
    </w:p>
    <w:p>
      <w:pPr>
        <w:pStyle w:val="58"/>
        <w:ind w:firstLine="1050" w:firstLineChars="500"/>
      </w:pPr>
      <m:oMath>
        <m:sSub>
          <m:sSubPr>
            <m:ctrlPr>
              <w:rPr>
                <w:rFonts w:ascii="Cambria Math" w:hAnsi="Cambria Math" w:eastAsiaTheme="minorEastAsia"/>
                <w:i/>
                <w:szCs w:val="22"/>
              </w:rPr>
            </m:ctrlPr>
          </m:sSubPr>
          <m:e>
            <m:r>
              <m:rPr/>
              <w:rPr>
                <w:rFonts w:ascii="Cambria Math"/>
              </w:rPr>
              <m:t>K</m:t>
            </m:r>
            <m:ctrlPr>
              <w:rPr>
                <w:rFonts w:ascii="Cambria Math" w:hAnsi="Cambria Math" w:eastAsiaTheme="minorEastAsia"/>
                <w:i/>
                <w:szCs w:val="22"/>
              </w:rPr>
            </m:ctrlPr>
          </m:e>
          <m:sub>
            <m:r>
              <m:rPr/>
              <w:rPr>
                <w:rFonts w:ascii="Cambria Math"/>
              </w:rPr>
              <m:t>d0</m:t>
            </m:r>
            <m:ctrlPr>
              <w:rPr>
                <w:rFonts w:ascii="Cambria Math" w:hAnsi="Cambria Math" w:eastAsiaTheme="minorEastAsia"/>
                <w:i/>
                <w:szCs w:val="22"/>
              </w:rPr>
            </m:ctrlPr>
          </m:sub>
        </m:sSub>
      </m:oMath>
      <w:r>
        <w:t>―</w:t>
      </w:r>
      <w:r>
        <w:rPr>
          <w:rFonts w:hint="eastAsia"/>
        </w:rPr>
        <w:t>黏滞消能器的初始刚度；</w:t>
      </w:r>
    </w:p>
    <w:p>
      <w:pPr>
        <w:pStyle w:val="58"/>
        <w:ind w:firstLine="1050" w:firstLineChars="500"/>
      </w:pPr>
      <m:oMath>
        <m:sSub>
          <m:sSubPr>
            <m:ctrlPr>
              <w:rPr>
                <w:rFonts w:ascii="Cambria Math" w:hAnsi="Cambria Math" w:eastAsiaTheme="minorEastAsia"/>
                <w:szCs w:val="22"/>
              </w:rPr>
            </m:ctrlPr>
          </m:sSubPr>
          <m:e>
            <m:r>
              <m:rPr/>
              <w:rPr>
                <w:rFonts w:ascii="Cambria Math" w:hAnsi="Cambria Math" w:eastAsiaTheme="minorEastAsia"/>
                <w:szCs w:val="22"/>
              </w:rPr>
              <m:t>K</m:t>
            </m:r>
            <m:ctrlPr>
              <w:rPr>
                <w:rFonts w:ascii="Cambria Math" w:hAnsi="Cambria Math" w:eastAsiaTheme="minorEastAsia"/>
                <w:szCs w:val="22"/>
              </w:rPr>
            </m:ctrlPr>
          </m:e>
          <m:sub>
            <m:r>
              <m:rPr/>
              <w:rPr>
                <w:rFonts w:ascii="Cambria Math" w:hAnsi="Cambria Math" w:eastAsiaTheme="minorEastAsia"/>
                <w:szCs w:val="22"/>
              </w:rPr>
              <m:t>e</m:t>
            </m:r>
            <m:ctrlPr>
              <w:rPr>
                <w:rFonts w:ascii="Cambria Math" w:hAnsi="Cambria Math" w:eastAsiaTheme="minorEastAsia"/>
                <w:szCs w:val="22"/>
              </w:rPr>
            </m:ctrlPr>
          </m:sub>
        </m:sSub>
      </m:oMath>
      <w:r>
        <w:t>―</w:t>
      </w:r>
      <w:r>
        <w:rPr>
          <w:rFonts w:hint="eastAsia"/>
        </w:rPr>
        <w:t>设计位移对应的损失刚度，即设计阻尼力与设计位移之比。</w:t>
      </w:r>
    </w:p>
    <w:p>
      <w:pPr>
        <w:pStyle w:val="167"/>
      </w:pPr>
      <w:r>
        <w:rPr>
          <w:rFonts w:hint="eastAsia"/>
        </w:rPr>
        <w:t>消能部件附加给结构的实际有效刚度和有效阻尼比，可按下列方法确定：</w:t>
      </w:r>
    </w:p>
    <w:p>
      <w:pPr>
        <w:pStyle w:val="58"/>
        <w:ind w:firstLine="420"/>
      </w:pPr>
      <w:r>
        <w:rPr>
          <w:rFonts w:hint="eastAsia"/>
        </w:rPr>
        <w:t>1  位移相关型消能部件和非线性速度相关型消能部件附加给结构的有效刚度可用等效线性化方法确定。</w:t>
      </w:r>
    </w:p>
    <w:p>
      <w:pPr>
        <w:pStyle w:val="58"/>
        <w:ind w:firstLine="420"/>
      </w:pPr>
      <w:r>
        <w:rPr>
          <w:rFonts w:hint="eastAsia"/>
        </w:rPr>
        <w:t>2  消能部件附加给结构的有效阻尼比可按以下方法估算。</w:t>
      </w:r>
    </w:p>
    <w:p>
      <w:pPr>
        <w:pStyle w:val="58"/>
        <w:ind w:firstLine="420"/>
      </w:pPr>
      <w:r>
        <w:rPr>
          <w:rFonts w:hint="eastAsia"/>
        </w:rPr>
        <w:t>方法1：</w:t>
      </w:r>
    </w:p>
    <w:p>
      <w:pPr>
        <w:pStyle w:val="115"/>
      </w:pPr>
      <w:r>
        <w:tab/>
      </w:r>
      <w:r>
        <w:rPr>
          <w:rFonts w:ascii="Times New Roman" w:hAnsi="Times New Roman"/>
          <w:position w:val="-30"/>
        </w:rPr>
        <w:object>
          <v:shape id="_x0000_i1174" o:spt="75" type="#_x0000_t75" style="height:36.75pt;width:72pt;" o:ole="t" filled="f" o:preferrelative="t" stroked="f" coordsize="21600,21600">
            <v:path/>
            <v:fill on="f" focussize="0,0"/>
            <v:stroke on="f" joinstyle="miter"/>
            <v:imagedata r:id="rId301" o:title=""/>
            <o:lock v:ext="edit" aspectratio="t"/>
            <w10:wrap type="none"/>
            <w10:anchorlock/>
          </v:shape>
          <o:OLEObject Type="Embed" ProgID="Equation.KSEE3" ShapeID="_x0000_i1174" DrawAspect="Content" ObjectID="_1468075874" r:id="rId300">
            <o:LockedField>false</o:LockedField>
          </o:OLEObject>
        </w:object>
      </w:r>
      <w:r>
        <w:rPr>
          <w:rFonts w:ascii="微软雅黑" w:hAnsi="微软雅黑" w:eastAsia="微软雅黑"/>
        </w:rPr>
        <w:tab/>
      </w:r>
      <w:r>
        <w:t>(8.3.2-1)</w:t>
      </w:r>
    </w:p>
    <w:p>
      <w:pPr>
        <w:pStyle w:val="58"/>
        <w:ind w:firstLine="420"/>
      </w:pPr>
      <w:r>
        <w:rPr>
          <w:rFonts w:hint="eastAsia"/>
        </w:rPr>
        <w:t>式中：</w:t>
      </w:r>
      <w:r>
        <w:object>
          <v:shape id="_x0000_i1175" o:spt="75" type="#_x0000_t75" style="height:18.35pt;width:13.95pt;" o:ole="t" filled="f" o:preferrelative="t" stroked="f" coordsize="21600,21600">
            <v:path/>
            <v:fill on="f" focussize="0,0"/>
            <v:stroke on="f" joinstyle="miter"/>
            <v:imagedata r:id="rId303" o:title=""/>
            <o:lock v:ext="edit" aspectratio="t"/>
            <w10:wrap type="none"/>
            <w10:anchorlock/>
          </v:shape>
          <o:OLEObject Type="Embed" ProgID="Equation.DSMT4" ShapeID="_x0000_i1175" DrawAspect="Content" ObjectID="_1468075875" r:id="rId302">
            <o:LockedField>false</o:LockedField>
          </o:OLEObject>
        </w:object>
      </w:r>
      <w:r>
        <w:rPr>
          <w:rFonts w:hint="eastAsia"/>
        </w:rPr>
        <w:t>—消能减震结构的附加有效阻尼比；</w:t>
      </w:r>
    </w:p>
    <w:p>
      <w:pPr>
        <w:pStyle w:val="58"/>
        <w:ind w:firstLine="1050" w:firstLineChars="500"/>
      </w:pPr>
      <w:r>
        <w:object>
          <v:shape id="_x0000_i1176" o:spt="75" type="#_x0000_t75" style="height:19.1pt;width:18.35pt;" o:ole="t" filled="f" o:preferrelative="t" stroked="f" coordsize="21600,21600">
            <v:path/>
            <v:fill on="f" focussize="0,0"/>
            <v:stroke on="f" joinstyle="miter"/>
            <v:imagedata r:id="rId305" o:title=""/>
            <o:lock v:ext="edit" aspectratio="t"/>
            <w10:wrap type="none"/>
            <w10:anchorlock/>
          </v:shape>
          <o:OLEObject Type="Embed" ProgID="Equation.3" ShapeID="_x0000_i1176" DrawAspect="Content" ObjectID="_1468075876" r:id="rId304">
            <o:LockedField>false</o:LockedField>
          </o:OLEObject>
        </w:object>
      </w:r>
      <w:r>
        <w:t>—</w:t>
      </w:r>
      <w:r>
        <w:rPr>
          <w:rFonts w:hint="eastAsia"/>
        </w:rPr>
        <w:t>第</w:t>
      </w:r>
      <m:oMath>
        <m:r>
          <m:rPr/>
          <w:rPr>
            <w:rFonts w:ascii="Cambria Math"/>
          </w:rPr>
          <m:t>j</m:t>
        </m:r>
      </m:oMath>
      <w:r>
        <w:rPr>
          <w:rFonts w:hint="eastAsia"/>
        </w:rPr>
        <w:t>个消能部件在结构预期层间位移下往复循环一周所消耗的能量（</w:t>
      </w:r>
      <w:r>
        <w:t>kN·m</w:t>
      </w:r>
      <w:r>
        <w:rPr>
          <w:rFonts w:hint="eastAsia"/>
        </w:rPr>
        <w:t>）；</w:t>
      </w:r>
    </w:p>
    <w:p>
      <w:pPr>
        <w:pStyle w:val="58"/>
        <w:ind w:firstLine="1050" w:firstLineChars="500"/>
      </w:pPr>
      <w:r>
        <w:object>
          <v:shape id="_x0000_i1177" o:spt="75" type="#_x0000_t75" style="height:18.35pt;width:13.95pt;" o:ole="t" filled="f" o:preferrelative="t" stroked="f" coordsize="21600,21600">
            <v:path/>
            <v:fill on="f" focussize="0,0"/>
            <v:stroke on="f" joinstyle="miter"/>
            <v:imagedata r:id="rId307" o:title=""/>
            <o:lock v:ext="edit" aspectratio="t"/>
            <w10:wrap type="none"/>
            <w10:anchorlock/>
          </v:shape>
          <o:OLEObject Type="Embed" ProgID="Equation.3" ShapeID="_x0000_i1177" DrawAspect="Content" ObjectID="_1468075877" r:id="rId306">
            <o:LockedField>false</o:LockedField>
          </o:OLEObject>
        </w:object>
      </w:r>
      <w:r>
        <w:rPr>
          <w:rFonts w:hint="eastAsia"/>
        </w:rPr>
        <w:t>—消能减震结构在水平地震作用下的总应变能（kN·m）；</w:t>
      </w:r>
    </w:p>
    <w:p>
      <w:pPr>
        <w:pStyle w:val="58"/>
        <w:ind w:firstLine="1249" w:firstLineChars="595"/>
      </w:pPr>
      <m:oMath>
        <m:r>
          <m:rPr/>
          <w:rPr>
            <w:rFonts w:ascii="Cambria Math" w:hAnsi="Cambria Math"/>
          </w:rPr>
          <m:t>m</m:t>
        </m:r>
      </m:oMath>
      <w:r>
        <w:rPr>
          <w:rFonts w:hint="eastAsia"/>
        </w:rPr>
        <w:t>—消能部件的总个数。</w:t>
      </w:r>
    </w:p>
    <w:p>
      <w:pPr>
        <w:pStyle w:val="58"/>
        <w:ind w:firstLine="420"/>
      </w:pPr>
      <w:r>
        <w:rPr>
          <w:rFonts w:hint="eastAsia"/>
        </w:rPr>
        <w:t>不计及扭转影响时，消能减震结构在水平地震作用下的总应变能，可按下式计算：</w:t>
      </w:r>
    </w:p>
    <w:p>
      <w:pPr>
        <w:pStyle w:val="115"/>
      </w:pPr>
      <w:r>
        <w:tab/>
      </w:r>
      <w:r>
        <w:rPr>
          <w:rFonts w:ascii="Times New Roman" w:hAnsi="Times New Roman"/>
          <w:position w:val="-14"/>
        </w:rPr>
        <w:object>
          <v:shape id="_x0000_i1178" o:spt="75" type="#_x0000_t75" style="height:19.1pt;width:75.65pt;" o:ole="t" filled="f" o:preferrelative="t" stroked="f" coordsize="21600,21600">
            <v:path/>
            <v:fill on="f" focussize="0,0"/>
            <v:stroke on="f" joinstyle="miter"/>
            <v:imagedata r:id="rId309" o:title=""/>
            <o:lock v:ext="edit" aspectratio="t"/>
            <w10:wrap type="none"/>
            <w10:anchorlock/>
          </v:shape>
          <o:OLEObject Type="Embed" ProgID="Equation.DSMT4" ShapeID="_x0000_i1178" DrawAspect="Content" ObjectID="_1468075878" r:id="rId308">
            <o:LockedField>false</o:LockedField>
          </o:OLEObject>
        </w:object>
      </w:r>
      <w:r>
        <w:rPr>
          <w:rFonts w:ascii="微软雅黑" w:hAnsi="微软雅黑" w:eastAsia="微软雅黑"/>
        </w:rPr>
        <w:tab/>
      </w:r>
      <w:r>
        <w:t>(8.3.2-2)</w:t>
      </w:r>
    </w:p>
    <w:p>
      <w:pPr>
        <w:pStyle w:val="58"/>
        <w:ind w:firstLine="420"/>
        <w:rPr>
          <w:rFonts w:eastAsiaTheme="minorEastAsia"/>
        </w:rPr>
      </w:pPr>
      <w:r>
        <w:rPr>
          <w:rFonts w:hint="eastAsia"/>
        </w:rPr>
        <w:t>式中：</w:t>
      </w:r>
      <m:oMath>
        <m:sSub>
          <m:sSubPr>
            <m:ctrlPr>
              <w:rPr>
                <w:rFonts w:ascii="Cambria Math" w:hAnsi="Cambria Math" w:eastAsiaTheme="minorEastAsia"/>
                <w:i/>
                <w:szCs w:val="22"/>
              </w:rPr>
            </m:ctrlPr>
          </m:sSubPr>
          <m:e>
            <m:r>
              <m:rPr/>
              <w:rPr>
                <w:rFonts w:ascii="Cambria Math"/>
              </w:rPr>
              <m:t>F</m:t>
            </m:r>
            <m:ctrlPr>
              <w:rPr>
                <w:rFonts w:ascii="Cambria Math" w:hAnsi="Cambria Math" w:eastAsiaTheme="minorEastAsia"/>
                <w:i/>
                <w:szCs w:val="22"/>
              </w:rPr>
            </m:ctrlPr>
          </m:e>
          <m:sub>
            <m:r>
              <m:rPr/>
              <w:rPr>
                <w:rFonts w:ascii="Cambria Math"/>
              </w:rPr>
              <m:t>i</m:t>
            </m:r>
            <m:ctrlPr>
              <w:rPr>
                <w:rFonts w:ascii="Cambria Math" w:hAnsi="Cambria Math" w:eastAsiaTheme="minorEastAsia"/>
                <w:i/>
                <w:szCs w:val="22"/>
              </w:rPr>
            </m:ctrlPr>
          </m:sub>
        </m:sSub>
      </m:oMath>
      <w:r>
        <w:t>―</w:t>
      </w:r>
      <w:r>
        <w:rPr>
          <w:rFonts w:hint="eastAsia"/>
        </w:rPr>
        <w:t>质点</w:t>
      </w:r>
      <m:oMath>
        <m:r>
          <m:rPr/>
          <w:rPr>
            <w:rFonts w:ascii="Cambria Math"/>
          </w:rPr>
          <m:t>i</m:t>
        </m:r>
      </m:oMath>
      <w:r>
        <w:t xml:space="preserve"> </w:t>
      </w:r>
      <w:r>
        <w:rPr>
          <w:rFonts w:hint="eastAsia"/>
        </w:rPr>
        <w:t>的水平地震作用标准值（一般取相应于第一振型的水平地震作用即可，</w:t>
      </w:r>
      <w:r>
        <w:rPr>
          <w:rFonts w:eastAsiaTheme="minorEastAsia"/>
          <w:i/>
        </w:rPr>
        <w:t>kN</w:t>
      </w:r>
      <w:r>
        <w:rPr>
          <w:rFonts w:hint="eastAsia" w:eastAsiaTheme="minorEastAsia"/>
        </w:rPr>
        <w:t>）；</w:t>
      </w:r>
    </w:p>
    <w:p>
      <w:pPr>
        <w:pStyle w:val="58"/>
        <w:ind w:firstLine="1050" w:firstLineChars="500"/>
      </w:pPr>
      <m:oMath>
        <m:sSub>
          <m:sSubPr>
            <m:ctrlPr>
              <w:rPr>
                <w:rFonts w:ascii="Cambria Math" w:hAnsi="Cambria Math" w:eastAsiaTheme="minorEastAsia"/>
                <w:i/>
                <w:szCs w:val="22"/>
              </w:rPr>
            </m:ctrlPr>
          </m:sSubPr>
          <m:e>
            <m:r>
              <m:rPr/>
              <w:rPr>
                <w:rFonts w:ascii="Cambria Math"/>
              </w:rPr>
              <m:t>u</m:t>
            </m:r>
            <m:ctrlPr>
              <w:rPr>
                <w:rFonts w:ascii="Cambria Math" w:hAnsi="Cambria Math" w:eastAsiaTheme="minorEastAsia"/>
                <w:i/>
                <w:szCs w:val="22"/>
              </w:rPr>
            </m:ctrlPr>
          </m:e>
          <m:sub>
            <m:r>
              <m:rPr/>
              <w:rPr>
                <w:rFonts w:ascii="Cambria Math"/>
              </w:rPr>
              <m:t>i</m:t>
            </m:r>
            <m:ctrlPr>
              <w:rPr>
                <w:rFonts w:ascii="Cambria Math" w:hAnsi="Cambria Math" w:eastAsiaTheme="minorEastAsia"/>
                <w:i/>
                <w:szCs w:val="22"/>
              </w:rPr>
            </m:ctrlPr>
          </m:sub>
        </m:sSub>
      </m:oMath>
      <w:r>
        <w:t>―</w:t>
      </w:r>
      <w:r>
        <w:rPr>
          <w:rFonts w:hint="eastAsia"/>
        </w:rPr>
        <w:t>质点</w:t>
      </w:r>
      <m:oMath>
        <m:r>
          <m:rPr/>
          <w:rPr>
            <w:rFonts w:ascii="Cambria Math"/>
          </w:rPr>
          <m:t>i</m:t>
        </m:r>
      </m:oMath>
      <w:r>
        <w:rPr>
          <w:rFonts w:hint="eastAsia"/>
        </w:rPr>
        <w:t>对应于水平地震作用标准值的位移（</w:t>
      </w:r>
      <w:r>
        <w:t>m</w:t>
      </w:r>
      <w:r>
        <w:rPr>
          <w:rFonts w:hint="eastAsia"/>
        </w:rPr>
        <w:t>）。</w:t>
      </w:r>
    </w:p>
    <w:p>
      <w:pPr>
        <w:pStyle w:val="58"/>
        <w:ind w:firstLine="420"/>
      </w:pPr>
      <w:r>
        <w:rPr>
          <w:rFonts w:hint="eastAsia"/>
        </w:rPr>
        <w:t>非线性黏滞消能器在水平地震作用下往复循环一周所消耗的能量，可按下式估算：</w:t>
      </w:r>
    </w:p>
    <w:p>
      <w:pPr>
        <w:pStyle w:val="115"/>
      </w:pPr>
      <w:r>
        <w:tab/>
      </w:r>
      <w:r>
        <w:rPr>
          <w:rFonts w:ascii="Times New Roman" w:hAnsi="Times New Roman"/>
          <w:color w:val="000000" w:themeColor="text1"/>
          <w14:textFill>
            <w14:solidFill>
              <w14:schemeClr w14:val="tx1"/>
            </w14:solidFill>
          </w14:textFill>
        </w:rPr>
        <w:object>
          <v:shape id="_x0000_i1179" o:spt="75" type="#_x0000_t75" style="height:19.1pt;width:95.5pt;" o:ole="t" filled="f" o:preferrelative="t" stroked="f" coordsize="21600,21600">
            <v:path/>
            <v:fill on="f" focussize="0,0"/>
            <v:stroke on="f" joinstyle="miter"/>
            <v:imagedata r:id="rId311" o:title=""/>
            <o:lock v:ext="edit" aspectratio="t"/>
            <w10:wrap type="none"/>
            <w10:anchorlock/>
          </v:shape>
          <o:OLEObject Type="Embed" ProgID="Equation.DSMT4" ShapeID="_x0000_i1179" DrawAspect="Content" ObjectID="_1468075879" r:id="rId310">
            <o:LockedField>false</o:LockedField>
          </o:OLEObject>
        </w:object>
      </w:r>
      <w:r>
        <w:rPr>
          <w:rFonts w:ascii="微软雅黑" w:hAnsi="微软雅黑" w:eastAsia="微软雅黑"/>
        </w:rPr>
        <w:tab/>
      </w:r>
      <w:r>
        <w:t>(8.3.2-3)</w:t>
      </w:r>
    </w:p>
    <w:p>
      <w:pPr>
        <w:pStyle w:val="58"/>
        <w:ind w:firstLine="420"/>
      </w:pPr>
      <w:r>
        <w:rPr>
          <w:rFonts w:hint="eastAsia"/>
        </w:rPr>
        <w:t>式中：</w:t>
      </w:r>
      <w:r>
        <w:rPr>
          <w:szCs w:val="21"/>
        </w:rPr>
        <w:object>
          <v:shape id="_x0000_i1180" o:spt="75" type="#_x0000_t75" style="height:16.15pt;width:13.95pt;" o:ole="t" filled="f" o:preferrelative="t" stroked="f" coordsize="21600,21600">
            <v:path/>
            <v:fill on="f" focussize="0,0"/>
            <v:stroke on="f" joinstyle="miter"/>
            <v:imagedata r:id="rId313" o:title=""/>
            <o:lock v:ext="edit" aspectratio="t"/>
            <w10:wrap type="none"/>
            <w10:anchorlock/>
          </v:shape>
          <o:OLEObject Type="Embed" ProgID="Equation.3" ShapeID="_x0000_i1180" DrawAspect="Content" ObjectID="_1468075880" r:id="rId312">
            <o:LockedField>false</o:LockedField>
          </o:OLEObject>
        </w:object>
      </w:r>
      <w:r>
        <w:rPr>
          <w:rFonts w:hint="eastAsia"/>
        </w:rPr>
        <w:t>—阻尼指数的函数，可按表7.3.2取值；</w:t>
      </w:r>
    </w:p>
    <w:p>
      <w:pPr>
        <w:pStyle w:val="58"/>
        <w:ind w:firstLine="630" w:firstLineChars="300"/>
      </w:pPr>
      <w:r>
        <w:rPr>
          <w:szCs w:val="21"/>
        </w:rPr>
        <w:object>
          <v:shape id="_x0000_i1181" o:spt="75" type="#_x0000_t75" style="height:19.1pt;width:30.85pt;" o:ole="t" filled="f" o:preferrelative="t" stroked="f" coordsize="21600,21600">
            <v:path/>
            <v:fill on="f" focussize="0,0"/>
            <v:stroke on="f" joinstyle="miter"/>
            <v:imagedata r:id="rId315" o:title=""/>
            <o:lock v:ext="edit" aspectratio="t"/>
            <w10:wrap type="none"/>
            <w10:anchorlock/>
          </v:shape>
          <o:OLEObject Type="Embed" ProgID="Equation.3" ShapeID="_x0000_i1181" DrawAspect="Content" ObjectID="_1468075881" r:id="rId314">
            <o:LockedField>false</o:LockedField>
          </o:OLEObject>
        </w:object>
      </w:r>
      <w:r>
        <w:rPr>
          <w:rFonts w:hint="eastAsia"/>
          <w:szCs w:val="21"/>
        </w:rPr>
        <w:t>—第j个消能器在相应水平地震作用下的最大阻尼力（kN）；</w:t>
      </w:r>
    </w:p>
    <w:p>
      <w:pPr>
        <w:pStyle w:val="58"/>
        <w:ind w:firstLine="1050" w:firstLineChars="500"/>
      </w:pPr>
      <w:r>
        <w:rPr>
          <w:szCs w:val="21"/>
        </w:rPr>
        <w:object>
          <v:shape id="_x0000_i1182" o:spt="75" type="#_x0000_t75" style="height:18.35pt;width:12.5pt;" o:ole="t" filled="f" o:preferrelative="t" stroked="f" coordsize="21600,21600">
            <v:path/>
            <v:fill on="f" focussize="0,0"/>
            <v:stroke on="f" joinstyle="miter"/>
            <v:imagedata r:id="rId307" o:title=""/>
            <o:lock v:ext="edit" aspectratio="t"/>
            <w10:wrap type="none"/>
            <w10:anchorlock/>
          </v:shape>
          <o:OLEObject Type="Embed" ProgID="Equation.3" ShapeID="_x0000_i1182" DrawAspect="Content" ObjectID="_1468075882" r:id="rId316">
            <o:LockedField>false</o:LockedField>
          </o:OLEObject>
        </w:object>
      </w:r>
      <w:r>
        <w:rPr>
          <w:rFonts w:hint="eastAsia"/>
          <w:szCs w:val="21"/>
        </w:rPr>
        <w:t>—消能减震结构在水平地震作用下的总应变能（kN·m）；</w:t>
      </w:r>
      <w:r>
        <w:t xml:space="preserve"> </w:t>
      </w:r>
    </w:p>
    <w:p>
      <w:pPr>
        <w:pStyle w:val="58"/>
        <w:ind w:left="1470" w:leftChars="400" w:hanging="630" w:hangingChars="300"/>
      </w:pPr>
      <w:r>
        <w:rPr>
          <w:szCs w:val="21"/>
        </w:rPr>
        <w:object>
          <v:shape id="_x0000_i1183" o:spt="75" type="#_x0000_t75" style="height:19.1pt;width:22.05pt;" o:ole="t" filled="f" o:preferrelative="t" stroked="f" coordsize="21600,21600">
            <v:path/>
            <v:fill on="f" focussize="0,0"/>
            <v:stroke on="f" joinstyle="miter"/>
            <v:imagedata r:id="rId318" o:title=""/>
            <o:lock v:ext="edit" aspectratio="t"/>
            <w10:wrap type="none"/>
            <w10:anchorlock/>
          </v:shape>
          <o:OLEObject Type="Embed" ProgID="Equation.DSMT4" ShapeID="_x0000_i1183" DrawAspect="Content" ObjectID="_1468075883" r:id="rId317">
            <o:LockedField>false</o:LockedField>
          </o:OLEObject>
        </w:object>
      </w:r>
      <w:r>
        <w:rPr>
          <w:szCs w:val="21"/>
        </w:rPr>
        <w:t>—</w:t>
      </w:r>
      <w:r>
        <w:rPr>
          <w:rFonts w:hint="eastAsia"/>
          <w:szCs w:val="21"/>
        </w:rPr>
        <w:t>第j个消能器两端的相对水平位移（m），应考虑消能器初始刚度对实际有效位移的影响；一般可取计算值的绝对最大值。</w:t>
      </w:r>
    </w:p>
    <w:p>
      <w:pPr>
        <w:pStyle w:val="114"/>
        <w:numPr>
          <w:ilvl w:val="0"/>
          <w:numId w:val="0"/>
        </w:numPr>
        <w:spacing w:before="156" w:after="156"/>
      </w:pPr>
      <w:r>
        <w:rPr>
          <w:rFonts w:hint="eastAsia"/>
        </w:rPr>
        <w:t>表</w:t>
      </w:r>
      <w:r>
        <w:t xml:space="preserve">7.3.2  </w:t>
      </w:r>
      <w:r>
        <w:object>
          <v:shape id="_x0000_i1184" o:spt="75" type="#_x0000_t75" style="height:16.15pt;width:12.5pt;" o:ole="t" filled="f" o:preferrelative="t" stroked="f" coordsize="21600,21600">
            <v:path/>
            <v:fill on="f" focussize="0,0"/>
            <v:stroke on="f" joinstyle="miter"/>
            <v:imagedata r:id="rId320" o:title=""/>
            <o:lock v:ext="edit" aspectratio="t"/>
            <w10:wrap type="none"/>
            <w10:anchorlock/>
          </v:shape>
          <o:OLEObject Type="Embed" ProgID="Equation.3" ShapeID="_x0000_i1184" DrawAspect="Content" ObjectID="_1468075884" r:id="rId319">
            <o:LockedField>false</o:LockedField>
          </o:OLEObject>
        </w:object>
      </w:r>
      <w:r>
        <w:t xml:space="preserve"> </w:t>
      </w:r>
      <w:r>
        <w:rPr>
          <w:rFonts w:hint="eastAsia"/>
        </w:rPr>
        <w:t>值</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81"/>
        <w:gridCol w:w="18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881" w:type="dxa"/>
            <w:tcBorders>
              <w:top w:val="single" w:color="auto" w:sz="8" w:space="0"/>
              <w:bottom w:val="single" w:color="auto" w:sz="8" w:space="0"/>
            </w:tcBorders>
            <w:shd w:val="clear" w:color="auto" w:fill="auto"/>
          </w:tcPr>
          <w:p>
            <w:pPr>
              <w:pStyle w:val="180"/>
            </w:pPr>
            <w:r>
              <w:rPr>
                <w:rFonts w:hint="eastAsia"/>
              </w:rPr>
              <w:t xml:space="preserve">阻尼指数 </w:t>
            </w:r>
            <w:r>
              <w:drawing>
                <wp:inline distT="0" distB="0" distL="0" distR="0">
                  <wp:extent cx="123825" cy="123825"/>
                  <wp:effectExtent l="0" t="0" r="0" b="0"/>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321" cstate="print">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p>
        </w:tc>
        <w:tc>
          <w:tcPr>
            <w:tcW w:w="1805" w:type="dxa"/>
            <w:tcBorders>
              <w:top w:val="single" w:color="auto" w:sz="8" w:space="0"/>
              <w:bottom w:val="single" w:color="auto" w:sz="8" w:space="0"/>
            </w:tcBorders>
            <w:shd w:val="clear" w:color="auto" w:fill="auto"/>
          </w:tcPr>
          <w:p>
            <w:pPr>
              <w:pStyle w:val="180"/>
            </w:pPr>
            <w:r>
              <w:rPr>
                <w:rFonts w:hint="eastAsia"/>
              </w:rPr>
              <w:t>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81" w:type="dxa"/>
            <w:tcBorders>
              <w:top w:val="single" w:color="auto" w:sz="8" w:space="0"/>
            </w:tcBorders>
            <w:shd w:val="clear" w:color="auto" w:fill="auto"/>
          </w:tcPr>
          <w:p>
            <w:pPr>
              <w:pStyle w:val="180"/>
            </w:pPr>
            <w:r>
              <w:t>0.25</w:t>
            </w:r>
          </w:p>
        </w:tc>
        <w:tc>
          <w:tcPr>
            <w:tcW w:w="1805" w:type="dxa"/>
            <w:tcBorders>
              <w:top w:val="single" w:color="auto" w:sz="8" w:space="0"/>
            </w:tcBorders>
            <w:shd w:val="clear" w:color="auto" w:fill="auto"/>
          </w:tcPr>
          <w:p>
            <w:pPr>
              <w:pStyle w:val="180"/>
            </w:pPr>
            <w:r>
              <w:t>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81" w:type="dxa"/>
            <w:shd w:val="clear" w:color="auto" w:fill="auto"/>
          </w:tcPr>
          <w:p>
            <w:pPr>
              <w:pStyle w:val="180"/>
            </w:pPr>
            <w:r>
              <w:t>0.5</w:t>
            </w:r>
          </w:p>
        </w:tc>
        <w:tc>
          <w:tcPr>
            <w:tcW w:w="1805" w:type="dxa"/>
            <w:shd w:val="clear" w:color="auto" w:fill="auto"/>
          </w:tcPr>
          <w:p>
            <w:pPr>
              <w:pStyle w:val="180"/>
            </w:pPr>
            <w: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81" w:type="dxa"/>
            <w:shd w:val="clear" w:color="auto" w:fill="auto"/>
          </w:tcPr>
          <w:p>
            <w:pPr>
              <w:pStyle w:val="180"/>
            </w:pPr>
            <w:r>
              <w:t>0.75</w:t>
            </w:r>
          </w:p>
        </w:tc>
        <w:tc>
          <w:tcPr>
            <w:tcW w:w="1805" w:type="dxa"/>
            <w:shd w:val="clear" w:color="auto" w:fill="auto"/>
          </w:tcPr>
          <w:p>
            <w:pPr>
              <w:pStyle w:val="180"/>
            </w:pPr>
            <w:r>
              <w:t>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81" w:type="dxa"/>
            <w:shd w:val="clear" w:color="auto" w:fill="auto"/>
          </w:tcPr>
          <w:p>
            <w:pPr>
              <w:pStyle w:val="180"/>
            </w:pPr>
            <w:r>
              <w:t>1</w:t>
            </w:r>
          </w:p>
        </w:tc>
        <w:tc>
          <w:tcPr>
            <w:tcW w:w="1805" w:type="dxa"/>
            <w:shd w:val="clear" w:color="auto" w:fill="auto"/>
          </w:tcPr>
          <w:p>
            <w:pPr>
              <w:pStyle w:val="180"/>
            </w:pPr>
            <w:r>
              <w:t>3.1</w:t>
            </w:r>
          </w:p>
        </w:tc>
      </w:tr>
    </w:tbl>
    <w:p>
      <w:pPr>
        <w:autoSpaceDE w:val="0"/>
        <w:autoSpaceDN w:val="0"/>
        <w:spacing w:line="240" w:lineRule="auto"/>
        <w:ind w:firstLine="270" w:firstLineChars="150"/>
        <w:rPr>
          <w:rFonts w:eastAsiaTheme="minorEastAsia"/>
          <w:sz w:val="18"/>
          <w:szCs w:val="18"/>
        </w:rPr>
      </w:pPr>
      <w:r>
        <w:rPr>
          <w:rFonts w:asciiTheme="minorHAnsi" w:hAnsiTheme="minorHAnsi" w:eastAsiaTheme="minorEastAsia"/>
          <w:sz w:val="18"/>
          <w:szCs w:val="18"/>
        </w:rPr>
        <w:t xml:space="preserve">                     </w:t>
      </w:r>
      <w:r>
        <w:rPr>
          <w:rFonts w:hint="eastAsia" w:asciiTheme="minorHAnsi" w:hAnsiTheme="minorHAnsi" w:eastAsiaTheme="minorEastAsia"/>
          <w:sz w:val="18"/>
          <w:szCs w:val="18"/>
        </w:rPr>
        <w:t>注：其他阻尼指数对应的值可线性插值。</w:t>
      </w:r>
    </w:p>
    <w:p>
      <w:pPr>
        <w:pStyle w:val="58"/>
        <w:ind w:firstLine="420"/>
      </w:pPr>
      <w:r>
        <w:rPr>
          <w:rFonts w:hint="eastAsia"/>
        </w:rPr>
        <w:t>位移相关型在水平地震作用下往复循环一周所消耗的能量，可按下式估算：</w:t>
      </w:r>
    </w:p>
    <w:p>
      <w:pPr>
        <w:pStyle w:val="115"/>
      </w:pPr>
      <w:r>
        <w:tab/>
      </w:r>
      <w:r>
        <w:rPr>
          <w:rFonts w:ascii="Times New Roman" w:hAnsi="Times New Roman"/>
          <w:position w:val="-14"/>
        </w:rPr>
        <w:object>
          <v:shape id="_x0000_i1185" o:spt="75" type="#_x0000_t75" style="height:19.1pt;width:38.95pt;" o:ole="t" filled="f" o:preferrelative="t" stroked="f" coordsize="21600,21600">
            <v:path/>
            <v:fill on="f" focussize="0,0"/>
            <v:stroke on="f" joinstyle="miter"/>
            <v:imagedata r:id="rId323" o:title=""/>
            <o:lock v:ext="edit" aspectratio="t"/>
            <w10:wrap type="none"/>
            <w10:anchorlock/>
          </v:shape>
          <o:OLEObject Type="Embed" ProgID="Equation.3" ShapeID="_x0000_i1185" DrawAspect="Content" ObjectID="_1468075885" r:id="rId322">
            <o:LockedField>false</o:LockedField>
          </o:OLEObject>
        </w:object>
      </w:r>
      <w:r>
        <w:rPr>
          <w:rFonts w:ascii="微软雅黑" w:hAnsi="微软雅黑" w:eastAsia="微软雅黑"/>
        </w:rPr>
        <w:tab/>
      </w:r>
      <w:r>
        <w:t>(8.3.2-4)</w:t>
      </w:r>
    </w:p>
    <w:p>
      <w:pPr>
        <w:pStyle w:val="58"/>
        <w:ind w:firstLine="420"/>
      </w:pPr>
      <w:r>
        <w:rPr>
          <w:rFonts w:hint="eastAsia"/>
        </w:rPr>
        <w:t>式中：</w:t>
      </w:r>
      <w:r>
        <w:t xml:space="preserve"> </w:t>
      </w:r>
      <w:r>
        <w:object>
          <v:shape id="_x0000_i1186" o:spt="75" type="#_x0000_t75" style="height:19.1pt;width:12.5pt;" o:ole="t" filled="f" o:preferrelative="t" stroked="f" coordsize="21600,21600">
            <v:path/>
            <v:fill on="f" focussize="0,0"/>
            <v:stroke on="f" joinstyle="miter"/>
            <v:imagedata r:id="rId325" o:title=""/>
            <o:lock v:ext="edit" aspectratio="t"/>
            <w10:wrap type="none"/>
            <w10:anchorlock/>
          </v:shape>
          <o:OLEObject Type="Embed" ProgID="Equation.3" ShapeID="_x0000_i1186" DrawAspect="Content" ObjectID="_1468075886" r:id="rId324">
            <o:LockedField>false</o:LockedField>
          </o:OLEObject>
        </w:object>
      </w:r>
      <w:r>
        <w:rPr>
          <w:rFonts w:hint="eastAsia"/>
        </w:rPr>
        <w:t>―第</w:t>
      </w:r>
      <w:r>
        <w:object>
          <v:shape id="_x0000_i1187" o:spt="75" type="#_x0000_t75" style="height:16.15pt;width:11pt;" o:ole="t" filled="f" o:preferrelative="t" stroked="f" coordsize="21600,21600">
            <v:path/>
            <v:fill on="f" focussize="0,0"/>
            <v:stroke on="f" joinstyle="miter"/>
            <v:imagedata r:id="rId327" o:title=""/>
            <o:lock v:ext="edit" aspectratio="t"/>
            <w10:wrap type="none"/>
            <w10:anchorlock/>
          </v:shape>
          <o:OLEObject Type="Embed" ProgID="Equation.DSMT4" ShapeID="_x0000_i1187" DrawAspect="Content" ObjectID="_1468075887" r:id="rId326">
            <o:LockedField>false</o:LockedField>
          </o:OLEObject>
        </w:object>
      </w:r>
      <w:r>
        <w:rPr>
          <w:rFonts w:hint="eastAsia"/>
        </w:rPr>
        <w:t>个消能器的恢复力滞回环在相对水平位移</w:t>
      </w:r>
      <w:r>
        <w:object>
          <v:shape id="_x0000_i1188" o:spt="75" type="#_x0000_t75" style="height:18.35pt;width:22.05pt;" o:ole="t" filled="f" o:preferrelative="t" stroked="f" coordsize="21600,21600">
            <v:path/>
            <v:fill on="f" focussize="0,0"/>
            <v:stroke on="f" joinstyle="miter"/>
            <v:imagedata r:id="rId329" o:title=""/>
            <o:lock v:ext="edit" aspectratio="t"/>
            <w10:wrap type="none"/>
            <w10:anchorlock/>
          </v:shape>
          <o:OLEObject Type="Embed" ProgID="Equation.DSMT4" ShapeID="_x0000_i1188" DrawAspect="Content" ObjectID="_1468075888" r:id="rId328">
            <o:LockedField>false</o:LockedField>
          </o:OLEObject>
        </w:object>
      </w:r>
      <w:r>
        <w:rPr>
          <w:rFonts w:hint="eastAsia"/>
        </w:rPr>
        <w:t>时的面积（</w:t>
      </w:r>
      <w:r>
        <w:t>kN</w:t>
      </w:r>
      <w:r>
        <w:rPr>
          <w:rFonts w:hint="eastAsia"/>
        </w:rPr>
        <w:t>﹒</w:t>
      </w:r>
      <w:r>
        <w:t>m</w:t>
      </w:r>
      <w:r>
        <w:rPr>
          <w:rFonts w:hint="eastAsia"/>
        </w:rPr>
        <w:t>）。</w:t>
      </w:r>
    </w:p>
    <w:p>
      <w:pPr>
        <w:pStyle w:val="58"/>
        <w:ind w:firstLine="420"/>
      </w:pPr>
      <w:r>
        <w:rPr>
          <w:rFonts w:hint="eastAsia" w:ascii="Calibri" w:hAnsi="Calibri"/>
          <w:szCs w:val="21"/>
        </w:rPr>
        <w:t>方法2：</w:t>
      </w:r>
    </w:p>
    <w:p>
      <w:pPr>
        <w:pStyle w:val="115"/>
      </w:pPr>
      <w:r>
        <w:tab/>
      </w:r>
      <w:r>
        <w:rPr>
          <w:rFonts w:ascii="Times New Roman" w:hAnsi="Times New Roman"/>
          <w:position w:val="-30"/>
        </w:rPr>
        <w:object>
          <v:shape id="_x0000_i1189" o:spt="75" type="#_x0000_t75" style="height:33.8pt;width:159.45pt;" o:ole="t" filled="f" o:preferrelative="t" stroked="f" coordsize="21600,21600">
            <v:path/>
            <v:fill on="f" focussize="0,0"/>
            <v:stroke on="f" joinstyle="miter"/>
            <v:imagedata r:id="rId331" o:title=""/>
            <o:lock v:ext="edit" aspectratio="t"/>
            <w10:wrap type="none"/>
            <w10:anchorlock/>
          </v:shape>
          <o:OLEObject Type="Embed" ProgID="Equation.KSEE3" ShapeID="_x0000_i1189" DrawAspect="Content" ObjectID="_1468075889" r:id="rId330">
            <o:LockedField>false</o:LockedField>
          </o:OLEObject>
        </w:object>
      </w:r>
      <w:r>
        <w:rPr>
          <w:rFonts w:ascii="微软雅黑" w:hAnsi="微软雅黑" w:eastAsia="微软雅黑"/>
        </w:rPr>
        <w:tab/>
      </w:r>
      <w:r>
        <w:t>(8.3.2-5)</w:t>
      </w:r>
    </w:p>
    <w:p>
      <w:pPr>
        <w:pStyle w:val="58"/>
        <w:ind w:firstLine="420"/>
      </w:pPr>
      <w:r>
        <w:rPr>
          <w:rFonts w:hint="eastAsia"/>
        </w:rPr>
        <w:t>式中：</w:t>
      </w:r>
      <w:r>
        <w:object>
          <v:shape id="_x0000_i1190" o:spt="75" type="#_x0000_t75" style="height:18.35pt;width:12.5pt;" o:ole="t" filled="f" o:preferrelative="t" stroked="f" coordsize="21600,21600">
            <v:path/>
            <v:fill on="f" focussize="0,0"/>
            <v:stroke on="f" joinstyle="miter"/>
            <v:imagedata r:id="rId333" o:title=""/>
            <o:lock v:ext="edit" aspectratio="t"/>
            <w10:wrap type="none"/>
            <w10:anchorlock/>
          </v:shape>
          <o:OLEObject Type="Embed" ProgID="Equation.DSMT4" ShapeID="_x0000_i1190" DrawAspect="Content" ObjectID="_1468075890" r:id="rId332">
            <o:LockedField>false</o:LockedField>
          </o:OLEObject>
        </w:object>
      </w:r>
      <w:r>
        <w:rPr>
          <w:rFonts w:hint="eastAsia"/>
        </w:rPr>
        <w:t>—消能减震主体结构的固有模态阻尼比；</w:t>
      </w:r>
    </w:p>
    <w:p>
      <w:pPr>
        <w:pStyle w:val="58"/>
        <w:ind w:firstLine="840" w:firstLineChars="400"/>
      </w:pPr>
      <w:r>
        <w:object>
          <v:shape id="_x0000_i1191" o:spt="75" type="#_x0000_t75" style="height:19.1pt;width:27.2pt;" o:ole="t" filled="f" o:preferrelative="t" stroked="f" coordsize="21600,21600">
            <v:path/>
            <v:fill on="f" focussize="0,0"/>
            <v:stroke on="f" joinstyle="miter"/>
            <v:imagedata r:id="rId335" o:title=""/>
            <o:lock v:ext="edit" aspectratio="t"/>
            <w10:wrap type="none"/>
            <w10:anchorlock/>
          </v:shape>
          <o:OLEObject Type="Embed" ProgID="Equation.DSMT4" ShapeID="_x0000_i1191" DrawAspect="Content" ObjectID="_1468075891" r:id="rId334">
            <o:LockedField>false</o:LockedField>
          </o:OLEObject>
        </w:object>
      </w:r>
      <w:r>
        <w:rPr>
          <w:rFonts w:hint="eastAsia"/>
        </w:rPr>
        <w:t>—消能减震结构消能器累积耗能时程；</w:t>
      </w:r>
    </w:p>
    <w:p>
      <w:pPr>
        <w:pStyle w:val="58"/>
        <w:ind w:firstLine="840" w:firstLineChars="400"/>
      </w:pPr>
      <w:r>
        <w:object>
          <v:shape id="_x0000_i1192" o:spt="75" type="#_x0000_t75" style="height:19.1pt;width:27.2pt;" o:ole="t" filled="f" o:preferrelative="t" stroked="f" coordsize="21600,21600">
            <v:path/>
            <v:fill on="f" focussize="0,0"/>
            <v:stroke on="f" joinstyle="miter"/>
            <v:imagedata r:id="rId337" o:title=""/>
            <o:lock v:ext="edit" aspectratio="t"/>
            <w10:wrap type="none"/>
            <w10:anchorlock/>
          </v:shape>
          <o:OLEObject Type="Embed" ProgID="Equation.DSMT4" ShapeID="_x0000_i1192" DrawAspect="Content" ObjectID="_1468075892" r:id="rId336">
            <o:LockedField>false</o:LockedField>
          </o:OLEObject>
        </w:object>
      </w:r>
      <w:r>
        <w:rPr>
          <w:rFonts w:hint="eastAsia"/>
        </w:rPr>
        <w:t>—消能减震主体结构固有模态阻尼累积耗能时程；</w:t>
      </w:r>
    </w:p>
    <w:p>
      <w:pPr>
        <w:pStyle w:val="58"/>
        <w:ind w:left="1459" w:leftChars="195" w:hanging="1050" w:hangingChars="500"/>
      </w:pPr>
      <w:r>
        <w:rPr>
          <w:position w:val="-12"/>
        </w:rPr>
        <w:object>
          <v:shape id="_x0000_i1193" o:spt="75" type="#_x0000_t75" style="height:18.35pt;width:41.9pt;" o:ole="t" filled="f" o:preferrelative="t" stroked="f" coordsize="21600,21600">
            <v:path/>
            <v:fill on="f" focussize="0,0"/>
            <v:stroke on="f" joinstyle="miter"/>
            <v:imagedata r:id="rId339" o:title=""/>
            <o:lock v:ext="edit" aspectratio="t"/>
            <w10:wrap type="none"/>
            <w10:anchorlock/>
          </v:shape>
          <o:OLEObject Type="Embed" ProgID="Equation.KSEE3" ShapeID="_x0000_i1193" DrawAspect="Content" ObjectID="_1468075893" r:id="rId338">
            <o:LockedField>false</o:LockedField>
          </o:OLEObject>
        </w:object>
      </w:r>
      <w:r>
        <w:rPr>
          <w:rFonts w:hint="eastAsia"/>
        </w:rPr>
        <w:t>—消能减震结构附加有效阻力比时程的最大值，宜在输入时程峰值较大的有效持续时间段内选取，即在 时增长激烈的时段内考察；；</w:t>
      </w:r>
    </w:p>
    <w:p>
      <w:pPr>
        <w:pStyle w:val="58"/>
        <w:ind w:firstLine="1050" w:firstLineChars="500"/>
      </w:pPr>
      <m:oMath>
        <m:sSub>
          <m:sSubPr>
            <m:ctrlPr>
              <w:rPr>
                <w:rFonts w:ascii="Cambria Math" w:hAnsi="Cambria Math"/>
                <w:i/>
              </w:rPr>
            </m:ctrlPr>
          </m:sSubPr>
          <m:e>
            <m:r>
              <m:rPr/>
              <w:rPr>
                <w:rFonts w:ascii="Cambria Math"/>
              </w:rPr>
              <m:t>η</m:t>
            </m:r>
            <m:ctrlPr>
              <w:rPr>
                <w:rFonts w:ascii="Cambria Math" w:hAnsi="Cambria Math"/>
                <w:i/>
              </w:rPr>
            </m:ctrlPr>
          </m:e>
          <m:sub>
            <m:r>
              <m:rPr/>
              <w:rPr>
                <w:rFonts w:ascii="Cambria Math"/>
              </w:rPr>
              <m:t>2</m:t>
            </m:r>
            <m:ctrlPr>
              <w:rPr>
                <w:rFonts w:ascii="Cambria Math" w:hAnsi="Cambria Math"/>
                <w:i/>
              </w:rPr>
            </m:ctrlPr>
          </m:sub>
        </m:sSub>
      </m:oMath>
      <w:r>
        <w:rPr>
          <w:rFonts w:hint="eastAsia"/>
        </w:rPr>
        <w:t>—有效阻尼比折减系数，一般取0.9。</w:t>
      </w:r>
    </w:p>
    <w:p>
      <w:pPr>
        <w:pStyle w:val="58"/>
        <w:ind w:firstLine="720" w:firstLineChars="400"/>
      </w:pPr>
      <w:r>
        <w:rPr>
          <w:rFonts w:hint="eastAsia" w:ascii="Times New Roman"/>
          <w:color w:val="000000" w:themeColor="text1"/>
          <w:sz w:val="18"/>
          <w:szCs w:val="18"/>
          <w14:textFill>
            <w14:solidFill>
              <w14:schemeClr w14:val="tx1"/>
            </w14:solidFill>
          </w14:textFill>
        </w:rPr>
        <w:t>注：</w:t>
      </w:r>
      <w:r>
        <w:rPr>
          <w:rFonts w:ascii="Times New Roman"/>
          <w:color w:val="000000" w:themeColor="text1"/>
          <w:sz w:val="18"/>
          <w:szCs w:val="18"/>
          <w14:textFill>
            <w14:solidFill>
              <w14:schemeClr w14:val="tx1"/>
            </w14:solidFill>
          </w14:textFill>
        </w:rPr>
        <w:object>
          <v:shape id="_x0000_i1194" o:spt="75" type="#_x0000_t75" style="height:12.5pt;width:23.5pt;" o:ole="t" filled="f" o:preferrelative="t" stroked="f" coordsize="21600,21600">
            <v:path/>
            <v:fill on="f" focussize="0,0"/>
            <v:stroke on="f" joinstyle="miter"/>
            <v:imagedata r:id="rId341" o:title=""/>
            <o:lock v:ext="edit" aspectratio="t"/>
            <w10:wrap type="none"/>
            <w10:anchorlock/>
          </v:shape>
          <o:OLEObject Type="Embed" ProgID="Equation.DSMT4" ShapeID="_x0000_i1194" DrawAspect="Content" ObjectID="_1468075894" r:id="rId340">
            <o:LockedField>false</o:LockedField>
          </o:OLEObject>
        </w:object>
      </w:r>
      <w:r>
        <w:rPr>
          <w:rFonts w:hint="eastAsia" w:ascii="Times New Roman"/>
          <w:color w:val="000000" w:themeColor="text1"/>
          <w:sz w:val="18"/>
          <w:szCs w:val="18"/>
          <w14:textFill>
            <w14:solidFill>
              <w14:schemeClr w14:val="tx1"/>
            </w14:solidFill>
          </w14:textFill>
        </w:rPr>
        <w:t>时程的起始时间宜扣除地震初始的微震动时段。</w:t>
      </w:r>
    </w:p>
    <w:p>
      <w:pPr>
        <w:pStyle w:val="58"/>
        <w:ind w:firstLine="420"/>
      </w:pPr>
      <w:r>
        <w:rPr>
          <w:rFonts w:hint="eastAsia"/>
        </w:rPr>
        <w:t>方法3：</w:t>
      </w:r>
    </w:p>
    <w:p>
      <w:pPr>
        <w:pStyle w:val="58"/>
        <w:ind w:firstLine="420"/>
      </w:pPr>
      <w:r>
        <w:rPr>
          <w:rFonts w:hint="eastAsia"/>
        </w:rPr>
        <w:t>自由振动衰减法：</w:t>
      </w:r>
    </w:p>
    <w:p>
      <w:pPr>
        <w:pStyle w:val="115"/>
      </w:pPr>
      <w:r>
        <w:tab/>
      </w:r>
      <w:r>
        <w:rPr>
          <w:rFonts w:ascii="Times New Roman" w:hAnsi="Times New Roman"/>
          <w:position w:val="-30"/>
        </w:rPr>
        <w:object>
          <v:shape id="_x0000_i1195" o:spt="75" type="#_x0000_t75" style="height:25.7pt;width:97.7pt;" o:ole="t" filled="f" o:preferrelative="t" stroked="f" coordsize="21600,21600">
            <v:path/>
            <v:fill on="f" focussize="0,0"/>
            <v:stroke on="f" joinstyle="miter"/>
            <v:imagedata r:id="rId343" o:title=""/>
            <o:lock v:ext="edit" aspectratio="t"/>
            <w10:wrap type="none"/>
            <w10:anchorlock/>
          </v:shape>
          <o:OLEObject Type="Embed" ProgID="Equation.DSMT4" ShapeID="_x0000_i1195" DrawAspect="Content" ObjectID="_1468075895" r:id="rId342">
            <o:LockedField>false</o:LockedField>
          </o:OLEObject>
        </w:object>
      </w:r>
      <w:r>
        <w:rPr>
          <w:rFonts w:ascii="微软雅黑" w:hAnsi="微软雅黑" w:eastAsia="微软雅黑"/>
        </w:rPr>
        <w:tab/>
      </w:r>
      <w:r>
        <w:t>(8.3.2-6)</w:t>
      </w:r>
    </w:p>
    <w:p>
      <w:pPr>
        <w:pStyle w:val="115"/>
      </w:pPr>
      <w:r>
        <w:tab/>
      </w:r>
      <w:r>
        <w:rPr>
          <w:rFonts w:ascii="Times New Roman" w:hAnsi="Times New Roman"/>
          <w:color w:val="000000" w:themeColor="text1"/>
          <w14:textFill>
            <w14:solidFill>
              <w14:schemeClr w14:val="tx1"/>
            </w14:solidFill>
          </w14:textFill>
        </w:rPr>
        <w:t>δ</w:t>
      </w:r>
      <w:r>
        <w:rPr>
          <w:rFonts w:ascii="Times New Roman" w:hAnsi="Times New Roman"/>
          <w:color w:val="000000" w:themeColor="text1"/>
          <w:vertAlign w:val="subscript"/>
          <w14:textFill>
            <w14:solidFill>
              <w14:schemeClr w14:val="tx1"/>
            </w14:solidFill>
          </w14:textFill>
        </w:rPr>
        <w:t>m</w:t>
      </w:r>
      <w:r>
        <w:rPr>
          <w:rFonts w:ascii="Times New Roman" w:hAnsi="Times New Roman"/>
          <w:color w:val="000000" w:themeColor="text1"/>
          <w14:textFill>
            <w14:solidFill>
              <w14:schemeClr w14:val="tx1"/>
            </w14:solidFill>
          </w14:textFill>
        </w:rPr>
        <w:t>=ln(s</w:t>
      </w:r>
      <w:r>
        <w:rPr>
          <w:rFonts w:ascii="Times New Roman" w:hAnsi="Times New Roman"/>
          <w:color w:val="000000" w:themeColor="text1"/>
          <w:vertAlign w:val="subscript"/>
          <w14:textFill>
            <w14:solidFill>
              <w14:schemeClr w14:val="tx1"/>
            </w14:solidFill>
          </w14:textFill>
        </w:rPr>
        <w:t>n</w:t>
      </w:r>
      <w:r>
        <w:rPr>
          <w:rFonts w:ascii="Times New Roman" w:hAnsi="Times New Roman"/>
          <w:color w:val="000000" w:themeColor="text1"/>
          <w14:textFill>
            <w14:solidFill>
              <w14:schemeClr w14:val="tx1"/>
            </w14:solidFill>
          </w14:textFill>
        </w:rPr>
        <w:t>/s</w:t>
      </w:r>
      <w:r>
        <w:rPr>
          <w:rFonts w:ascii="Times New Roman" w:hAnsi="Times New Roman"/>
          <w:color w:val="000000" w:themeColor="text1"/>
          <w:vertAlign w:val="subscript"/>
          <w14:textFill>
            <w14:solidFill>
              <w14:schemeClr w14:val="tx1"/>
            </w14:solidFill>
          </w14:textFill>
        </w:rPr>
        <w:t>n+m</w:t>
      </w:r>
      <w:r>
        <w:rPr>
          <w:rFonts w:ascii="Times New Roman" w:hAnsi="Times New Roman"/>
          <w:color w:val="000000" w:themeColor="text1"/>
          <w14:textFill>
            <w14:solidFill>
              <w14:schemeClr w14:val="tx1"/>
            </w14:solidFill>
          </w14:textFill>
        </w:rPr>
        <w:t>)</w:t>
      </w:r>
      <w:r>
        <w:rPr>
          <w:rFonts w:ascii="微软雅黑" w:hAnsi="微软雅黑" w:eastAsia="微软雅黑"/>
        </w:rPr>
        <w:tab/>
      </w:r>
      <w:r>
        <w:t>(8.3.2-7)</w:t>
      </w:r>
    </w:p>
    <w:p>
      <w:pPr>
        <w:pStyle w:val="58"/>
        <w:ind w:firstLine="420"/>
      </w:pPr>
      <w:r>
        <w:rPr>
          <w:rFonts w:hint="eastAsia"/>
        </w:rPr>
        <w:t>式中：δm—振幅对数衰减率</w:t>
      </w:r>
    </w:p>
    <w:p>
      <w:pPr>
        <w:pStyle w:val="58"/>
        <w:ind w:firstLine="619" w:firstLineChars="295"/>
      </w:pPr>
      <w:r>
        <w:rPr>
          <w:rFonts w:hint="eastAsia"/>
        </w:rPr>
        <w:t>Sn，sn+m—分别为第n和第n+m周期振幅，m为两振幅间相隔周期数</w:t>
      </w:r>
    </w:p>
    <w:p>
      <w:pPr>
        <w:pStyle w:val="58"/>
        <w:ind w:firstLine="619" w:firstLineChars="295"/>
      </w:pPr>
      <w:r>
        <w:rPr>
          <w:rFonts w:hint="eastAsia"/>
        </w:rPr>
        <w:t>ω，ω</w:t>
      </w:r>
      <w:r>
        <w:rPr>
          <w:rFonts w:hint="eastAsia"/>
          <w:vertAlign w:val="subscript"/>
        </w:rPr>
        <w:t>D</w:t>
      </w:r>
      <w:r>
        <w:rPr>
          <w:rFonts w:hint="eastAsia"/>
        </w:rPr>
        <w:t>—无阻尼和有阻尼振动的自振频率。</w:t>
      </w:r>
    </w:p>
    <w:p>
      <w:pPr>
        <w:autoSpaceDE w:val="0"/>
        <w:autoSpaceDN w:val="0"/>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8.3.2</w:t>
      </w:r>
    </w:p>
    <w:p>
      <w:pPr>
        <w:autoSpaceDE w:val="0"/>
        <w:autoSpaceDN w:val="0"/>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方法</w:t>
      </w:r>
      <w:r>
        <w:rPr>
          <w:rFonts w:ascii="华文楷体" w:hAnsi="华文楷体" w:eastAsia="华文楷体" w:cs="华文楷体"/>
          <w:color w:val="0000FF"/>
          <w:szCs w:val="22"/>
        </w:rPr>
        <w:t>2</w:t>
      </w:r>
      <w:r>
        <w:rPr>
          <w:rFonts w:hint="eastAsia" w:ascii="华文楷体" w:hAnsi="华文楷体" w:eastAsia="华文楷体" w:cs="华文楷体"/>
          <w:color w:val="0000FF"/>
          <w:szCs w:val="22"/>
        </w:rPr>
        <w:t>根据消能支撑累积耗能、本体结构模态累积耗能估计出附加有效阻尼比</w:t>
      </w:r>
      <w:r>
        <w:rPr>
          <w:rFonts w:ascii="华文楷体" w:hAnsi="华文楷体" w:eastAsia="华文楷体" w:cs="华文楷体"/>
          <w:color w:val="0000FF"/>
          <w:szCs w:val="22"/>
        </w:rPr>
        <w:t xml:space="preserve"> </w:t>
      </w:r>
      <w:r>
        <w:rPr>
          <w:rFonts w:hint="eastAsia" w:ascii="华文楷体" w:hAnsi="华文楷体" w:eastAsia="华文楷体" w:cs="华文楷体"/>
          <w:color w:val="0000FF"/>
          <w:szCs w:val="22"/>
        </w:rPr>
        <w:t>：</w:t>
      </w:r>
    </w:p>
    <w:p>
      <w:pPr>
        <w:autoSpaceDE w:val="0"/>
        <w:autoSpaceDN w:val="0"/>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设</w:t>
      </w:r>
      <w:r>
        <w:rPr>
          <w:rFonts w:ascii="华文楷体" w:hAnsi="华文楷体" w:eastAsia="华文楷体" w:cs="华文楷体"/>
          <w:color w:val="0000FF"/>
          <w:szCs w:val="22"/>
        </w:rPr>
        <w:t>n</w:t>
      </w:r>
      <w:r>
        <w:rPr>
          <w:rFonts w:hint="eastAsia" w:ascii="华文楷体" w:hAnsi="华文楷体" w:eastAsia="华文楷体" w:cs="华文楷体"/>
          <w:color w:val="0000FF"/>
          <w:szCs w:val="22"/>
        </w:rPr>
        <w:t>层建筑消能体系在地震作用下的能量方程如下式所示，其中</w:t>
      </w:r>
      <w:r>
        <w:rPr>
          <w:rFonts w:ascii="华文楷体" w:hAnsi="华文楷体" w:eastAsia="华文楷体" w:cs="华文楷体"/>
          <w:color w:val="0000FF"/>
          <w:szCs w:val="22"/>
        </w:rPr>
        <w:t>n1</w:t>
      </w:r>
      <w:r>
        <w:rPr>
          <w:rFonts w:hint="eastAsia" w:ascii="华文楷体" w:hAnsi="华文楷体" w:eastAsia="华文楷体" w:cs="华文楷体"/>
          <w:color w:val="0000FF"/>
          <w:szCs w:val="22"/>
        </w:rPr>
        <w:t>为装有阻尼器的层数。</w:t>
      </w:r>
    </w:p>
    <w:p>
      <w:pPr>
        <w:autoSpaceDE w:val="0"/>
        <w:autoSpaceDN w:val="0"/>
        <w:spacing w:line="240" w:lineRule="atLeast"/>
        <w:rPr>
          <w:rFonts w:ascii="华文楷体" w:hAnsi="华文楷体" w:eastAsia="华文楷体" w:cs="华文楷体"/>
          <w:color w:val="0000FF"/>
          <w:szCs w:val="22"/>
        </w:rPr>
      </w:pPr>
      <m:oMathPara>
        <m:oMath>
          <m:nary>
            <m:naryPr>
              <m:chr m:val="∑"/>
              <m:ctrlPr>
                <w:rPr>
                  <w:rFonts w:ascii="Cambria Math" w:hAnsi="楷体" w:eastAsia="楷体"/>
                  <w:i/>
                  <w:szCs w:val="22"/>
                </w:rPr>
              </m:ctrlPr>
            </m:naryPr>
            <m:sub>
              <m:r>
                <m:rPr/>
                <w:rPr>
                  <w:rFonts w:ascii="Cambria Math" w:hAnsi="楷体" w:eastAsia="楷体"/>
                  <w:szCs w:val="22"/>
                </w:rPr>
                <m:t>i=1</m:t>
              </m:r>
              <m:ctrlPr>
                <w:rPr>
                  <w:rFonts w:ascii="Cambria Math" w:hAnsi="楷体" w:eastAsia="楷体"/>
                  <w:i/>
                  <w:szCs w:val="22"/>
                </w:rPr>
              </m:ctrlPr>
            </m:sub>
            <m:sup>
              <m:r>
                <m:rPr/>
                <w:rPr>
                  <w:rFonts w:ascii="Cambria Math" w:hAnsi="楷体" w:eastAsia="楷体"/>
                  <w:szCs w:val="22"/>
                </w:rPr>
                <m:t>n</m:t>
              </m:r>
              <m:ctrlPr>
                <w:rPr>
                  <w:rFonts w:ascii="Cambria Math" w:hAnsi="楷体" w:eastAsia="楷体"/>
                  <w:i/>
                  <w:szCs w:val="22"/>
                </w:rPr>
              </m:ctrlPr>
            </m:sup>
            <m:e>
              <m:sSub>
                <m:sSubPr>
                  <m:ctrlPr>
                    <w:rPr>
                      <w:rFonts w:ascii="Cambria Math" w:hAnsi="楷体" w:eastAsia="楷体"/>
                      <w:i/>
                      <w:szCs w:val="22"/>
                    </w:rPr>
                  </m:ctrlPr>
                </m:sSubPr>
                <m:e>
                  <m:r>
                    <m:rPr/>
                    <w:rPr>
                      <w:rFonts w:ascii="Cambria Math" w:hAnsi="楷体" w:eastAsia="楷体"/>
                      <w:szCs w:val="22"/>
                    </w:rPr>
                    <m:t>m</m:t>
                  </m:r>
                  <m:ctrlPr>
                    <w:rPr>
                      <w:rFonts w:ascii="Cambria Math" w:hAnsi="楷体" w:eastAsia="楷体"/>
                      <w:i/>
                      <w:szCs w:val="22"/>
                    </w:rPr>
                  </m:ctrlPr>
                </m:e>
                <m:sub>
                  <m:r>
                    <m:rPr/>
                    <w:rPr>
                      <w:rFonts w:ascii="Cambria Math" w:hAnsi="楷体" w:eastAsia="楷体"/>
                      <w:szCs w:val="22"/>
                    </w:rPr>
                    <m:t>i</m:t>
                  </m:r>
                  <m:ctrlPr>
                    <w:rPr>
                      <w:rFonts w:ascii="Cambria Math" w:hAnsi="楷体" w:eastAsia="楷体"/>
                      <w:i/>
                      <w:szCs w:val="22"/>
                    </w:rPr>
                  </m:ctrlPr>
                </m:sub>
              </m:sSub>
              <m:nary>
                <m:naryPr>
                  <m:ctrlPr>
                    <w:rPr>
                      <w:rFonts w:ascii="Cambria Math" w:hAnsi="楷体" w:eastAsia="楷体"/>
                      <w:i/>
                      <w:szCs w:val="22"/>
                    </w:rPr>
                  </m:ctrlPr>
                </m:naryPr>
                <m:sub>
                  <m:r>
                    <m:rPr/>
                    <w:rPr>
                      <w:rFonts w:ascii="Cambria Math" w:hAnsi="楷体" w:eastAsia="楷体"/>
                      <w:szCs w:val="22"/>
                    </w:rPr>
                    <m:t>0</m:t>
                  </m:r>
                  <m:ctrlPr>
                    <w:rPr>
                      <w:rFonts w:ascii="Cambria Math" w:hAnsi="楷体" w:eastAsia="楷体"/>
                      <w:i/>
                      <w:szCs w:val="22"/>
                    </w:rPr>
                  </m:ctrlPr>
                </m:sub>
                <m:sup>
                  <m:r>
                    <m:rPr/>
                    <w:rPr>
                      <w:rFonts w:ascii="Cambria Math" w:hAnsi="楷体" w:eastAsia="楷体"/>
                      <w:szCs w:val="22"/>
                    </w:rPr>
                    <m:t>t</m:t>
                  </m:r>
                  <m:ctrlPr>
                    <w:rPr>
                      <w:rFonts w:ascii="Cambria Math" w:hAnsi="楷体" w:eastAsia="楷体"/>
                      <w:i/>
                      <w:szCs w:val="22"/>
                    </w:rPr>
                  </m:ctrlPr>
                </m:sup>
                <m:e>
                  <m:sSub>
                    <m:sSubPr>
                      <m:ctrlPr>
                        <w:rPr>
                          <w:rFonts w:ascii="Cambria Math" w:hAnsi="楷体" w:eastAsia="楷体"/>
                          <w:i/>
                          <w:szCs w:val="22"/>
                        </w:rPr>
                      </m:ctrlPr>
                    </m:sSubPr>
                    <m:e>
                      <m:acc>
                        <m:accPr>
                          <m:chr m:val="̈"/>
                          <m:ctrlPr>
                            <w:rPr>
                              <w:rFonts w:ascii="Cambria Math" w:hAnsi="楷体" w:eastAsia="楷体"/>
                              <w:i/>
                              <w:szCs w:val="22"/>
                            </w:rPr>
                          </m:ctrlPr>
                        </m:accPr>
                        <m:e>
                          <m:r>
                            <m:rPr/>
                            <w:rPr>
                              <w:rFonts w:ascii="Cambria Math" w:hAnsi="楷体" w:eastAsia="楷体"/>
                              <w:szCs w:val="22"/>
                            </w:rPr>
                            <m:t>x</m:t>
                          </m:r>
                          <m:ctrlPr>
                            <w:rPr>
                              <w:rFonts w:ascii="Cambria Math" w:hAnsi="楷体" w:eastAsia="楷体"/>
                              <w:i/>
                              <w:szCs w:val="22"/>
                            </w:rPr>
                          </m:ctrlPr>
                        </m:e>
                      </m:acc>
                      <m:ctrlPr>
                        <w:rPr>
                          <w:rFonts w:ascii="Cambria Math" w:hAnsi="楷体" w:eastAsia="楷体"/>
                          <w:i/>
                          <w:szCs w:val="22"/>
                        </w:rPr>
                      </m:ctrlPr>
                    </m:e>
                    <m:sub>
                      <m:r>
                        <m:rPr/>
                        <w:rPr>
                          <w:rFonts w:ascii="Cambria Math" w:hAnsi="楷体" w:eastAsia="楷体"/>
                          <w:szCs w:val="22"/>
                        </w:rPr>
                        <m:t>i</m:t>
                      </m:r>
                      <m:ctrlPr>
                        <w:rPr>
                          <w:rFonts w:ascii="Cambria Math" w:hAnsi="楷体" w:eastAsia="楷体"/>
                          <w:i/>
                          <w:szCs w:val="22"/>
                        </w:rPr>
                      </m:ctrlPr>
                    </m:sub>
                  </m:sSub>
                  <m:sSub>
                    <m:sSubPr>
                      <m:ctrlPr>
                        <w:rPr>
                          <w:rFonts w:ascii="Cambria Math" w:hAnsi="楷体" w:eastAsia="楷体"/>
                          <w:i/>
                          <w:szCs w:val="22"/>
                        </w:rPr>
                      </m:ctrlPr>
                    </m:sSubPr>
                    <m:e>
                      <m:acc>
                        <m:accPr>
                          <m:chr m:val="̇"/>
                          <m:ctrlPr>
                            <w:rPr>
                              <w:rFonts w:ascii="Cambria Math" w:hAnsi="楷体" w:eastAsia="楷体"/>
                              <w:i/>
                              <w:szCs w:val="22"/>
                            </w:rPr>
                          </m:ctrlPr>
                        </m:accPr>
                        <m:e>
                          <m:r>
                            <m:rPr/>
                            <w:rPr>
                              <w:rFonts w:ascii="Cambria Math" w:hAnsi="楷体" w:eastAsia="楷体"/>
                              <w:szCs w:val="22"/>
                            </w:rPr>
                            <m:t>x</m:t>
                          </m:r>
                          <m:ctrlPr>
                            <w:rPr>
                              <w:rFonts w:ascii="Cambria Math" w:hAnsi="楷体" w:eastAsia="楷体"/>
                              <w:i/>
                              <w:szCs w:val="22"/>
                            </w:rPr>
                          </m:ctrlPr>
                        </m:e>
                      </m:acc>
                      <m:ctrlPr>
                        <w:rPr>
                          <w:rFonts w:ascii="Cambria Math" w:hAnsi="楷体" w:eastAsia="楷体"/>
                          <w:i/>
                          <w:szCs w:val="22"/>
                        </w:rPr>
                      </m:ctrlPr>
                    </m:e>
                    <m:sub>
                      <m:r>
                        <m:rPr/>
                        <w:rPr>
                          <w:rFonts w:ascii="Cambria Math" w:hAnsi="楷体" w:eastAsia="楷体"/>
                          <w:szCs w:val="22"/>
                        </w:rPr>
                        <m:t>i</m:t>
                      </m:r>
                      <m:ctrlPr>
                        <w:rPr>
                          <w:rFonts w:ascii="Cambria Math" w:hAnsi="楷体" w:eastAsia="楷体"/>
                          <w:i/>
                          <w:szCs w:val="22"/>
                        </w:rPr>
                      </m:ctrlPr>
                    </m:sub>
                  </m:sSub>
                  <m:ctrlPr>
                    <w:rPr>
                      <w:rFonts w:ascii="Cambria Math" w:hAnsi="Cambria Math" w:eastAsia="楷体"/>
                      <w:i/>
                      <w:szCs w:val="22"/>
                    </w:rPr>
                  </m:ctrlPr>
                </m:e>
              </m:nary>
              <m:r>
                <m:rPr/>
                <w:rPr>
                  <w:rFonts w:ascii="Cambria Math" w:hAnsi="楷体" w:eastAsia="楷体"/>
                  <w:szCs w:val="22"/>
                </w:rPr>
                <m:t>dt</m:t>
              </m:r>
              <m:ctrlPr>
                <w:rPr>
                  <w:rFonts w:ascii="Cambria Math" w:hAnsi="楷体" w:eastAsia="楷体"/>
                  <w:i/>
                  <w:szCs w:val="22"/>
                </w:rPr>
              </m:ctrlPr>
            </m:e>
          </m:nary>
          <m:r>
            <m:rPr/>
            <w:rPr>
              <w:rFonts w:ascii="Cambria Math" w:hAnsi="楷体" w:eastAsia="楷体"/>
              <w:szCs w:val="22"/>
            </w:rPr>
            <m:t>+c</m:t>
          </m:r>
          <m:nary>
            <m:naryPr>
              <m:chr m:val="∑"/>
              <m:ctrlPr>
                <w:rPr>
                  <w:rFonts w:ascii="Cambria Math" w:hAnsi="楷体" w:eastAsia="楷体"/>
                  <w:i/>
                  <w:szCs w:val="22"/>
                </w:rPr>
              </m:ctrlPr>
            </m:naryPr>
            <m:sub>
              <m:r>
                <m:rPr/>
                <w:rPr>
                  <w:rFonts w:ascii="Cambria Math" w:hAnsi="楷体" w:eastAsia="楷体"/>
                  <w:szCs w:val="22"/>
                </w:rPr>
                <m:t>i=1</m:t>
              </m:r>
              <m:ctrlPr>
                <w:rPr>
                  <w:rFonts w:ascii="Cambria Math" w:hAnsi="楷体" w:eastAsia="楷体"/>
                  <w:i/>
                  <w:szCs w:val="22"/>
                </w:rPr>
              </m:ctrlPr>
            </m:sub>
            <m:sup>
              <m:r>
                <m:rPr/>
                <w:rPr>
                  <w:rFonts w:ascii="Cambria Math" w:hAnsi="楷体" w:eastAsia="楷体"/>
                  <w:szCs w:val="22"/>
                </w:rPr>
                <m:t>n</m:t>
              </m:r>
              <m:ctrlPr>
                <w:rPr>
                  <w:rFonts w:ascii="Cambria Math" w:hAnsi="楷体" w:eastAsia="楷体"/>
                  <w:i/>
                  <w:szCs w:val="22"/>
                </w:rPr>
              </m:ctrlPr>
            </m:sup>
            <m:e>
              <m:nary>
                <m:naryPr>
                  <m:ctrlPr>
                    <w:rPr>
                      <w:rFonts w:ascii="Cambria Math" w:hAnsi="楷体" w:eastAsia="楷体"/>
                      <w:i/>
                      <w:szCs w:val="22"/>
                    </w:rPr>
                  </m:ctrlPr>
                </m:naryPr>
                <m:sub>
                  <m:r>
                    <m:rPr/>
                    <w:rPr>
                      <w:rFonts w:ascii="Cambria Math" w:hAnsi="楷体" w:eastAsia="楷体"/>
                      <w:szCs w:val="22"/>
                    </w:rPr>
                    <m:t>0</m:t>
                  </m:r>
                  <m:ctrlPr>
                    <w:rPr>
                      <w:rFonts w:ascii="Cambria Math" w:hAnsi="楷体" w:eastAsia="楷体"/>
                      <w:i/>
                      <w:szCs w:val="22"/>
                    </w:rPr>
                  </m:ctrlPr>
                </m:sub>
                <m:sup>
                  <m:r>
                    <m:rPr/>
                    <w:rPr>
                      <w:rFonts w:ascii="Cambria Math" w:hAnsi="楷体" w:eastAsia="楷体"/>
                      <w:szCs w:val="22"/>
                    </w:rPr>
                    <m:t>t</m:t>
                  </m:r>
                  <m:ctrlPr>
                    <w:rPr>
                      <w:rFonts w:ascii="Cambria Math" w:hAnsi="楷体" w:eastAsia="楷体"/>
                      <w:i/>
                      <w:szCs w:val="22"/>
                    </w:rPr>
                  </m:ctrlPr>
                </m:sup>
                <m:e>
                  <m:sSub>
                    <m:sSubPr>
                      <m:ctrlPr>
                        <w:rPr>
                          <w:rFonts w:ascii="Cambria Math" w:hAnsi="楷体" w:eastAsia="楷体"/>
                          <w:i/>
                          <w:szCs w:val="22"/>
                        </w:rPr>
                      </m:ctrlPr>
                    </m:sSubPr>
                    <m:e>
                      <m:acc>
                        <m:accPr>
                          <m:chr m:val="̇"/>
                          <m:ctrlPr>
                            <w:rPr>
                              <w:rFonts w:ascii="Cambria Math" w:hAnsi="楷体" w:eastAsia="楷体"/>
                              <w:i/>
                              <w:szCs w:val="22"/>
                            </w:rPr>
                          </m:ctrlPr>
                        </m:accPr>
                        <m:e>
                          <m:r>
                            <m:rPr/>
                            <w:rPr>
                              <w:rFonts w:ascii="Cambria Math" w:hAnsi="楷体" w:eastAsia="楷体"/>
                              <w:szCs w:val="22"/>
                            </w:rPr>
                            <m:t>x</m:t>
                          </m:r>
                          <m:ctrlPr>
                            <w:rPr>
                              <w:rFonts w:ascii="Cambria Math" w:hAnsi="楷体" w:eastAsia="楷体"/>
                              <w:i/>
                              <w:szCs w:val="22"/>
                            </w:rPr>
                          </m:ctrlPr>
                        </m:e>
                      </m:acc>
                      <m:ctrlPr>
                        <w:rPr>
                          <w:rFonts w:ascii="Cambria Math" w:hAnsi="楷体" w:eastAsia="楷体"/>
                          <w:i/>
                          <w:szCs w:val="22"/>
                        </w:rPr>
                      </m:ctrlPr>
                    </m:e>
                    <m:sub>
                      <m:r>
                        <m:rPr/>
                        <w:rPr>
                          <w:rFonts w:ascii="Cambria Math" w:hAnsi="楷体" w:eastAsia="楷体"/>
                          <w:szCs w:val="22"/>
                        </w:rPr>
                        <m:t>i</m:t>
                      </m:r>
                      <m:ctrlPr>
                        <w:rPr>
                          <w:rFonts w:ascii="Cambria Math" w:hAnsi="楷体" w:eastAsia="楷体"/>
                          <w:i/>
                          <w:szCs w:val="22"/>
                        </w:rPr>
                      </m:ctrlPr>
                    </m:sub>
                  </m:sSub>
                  <m:sSub>
                    <m:sSubPr>
                      <m:ctrlPr>
                        <w:rPr>
                          <w:rFonts w:ascii="Cambria Math" w:hAnsi="楷体" w:eastAsia="楷体"/>
                          <w:i/>
                          <w:szCs w:val="22"/>
                        </w:rPr>
                      </m:ctrlPr>
                    </m:sSubPr>
                    <m:e>
                      <m:acc>
                        <m:accPr>
                          <m:chr m:val="̇"/>
                          <m:ctrlPr>
                            <w:rPr>
                              <w:rFonts w:ascii="Cambria Math" w:hAnsi="楷体" w:eastAsia="楷体"/>
                              <w:i/>
                              <w:szCs w:val="22"/>
                            </w:rPr>
                          </m:ctrlPr>
                        </m:accPr>
                        <m:e>
                          <m:r>
                            <m:rPr/>
                            <w:rPr>
                              <w:rFonts w:ascii="Cambria Math" w:hAnsi="楷体" w:eastAsia="楷体"/>
                              <w:szCs w:val="22"/>
                            </w:rPr>
                            <m:t>x</m:t>
                          </m:r>
                          <m:ctrlPr>
                            <w:rPr>
                              <w:rFonts w:ascii="Cambria Math" w:hAnsi="楷体" w:eastAsia="楷体"/>
                              <w:i/>
                              <w:szCs w:val="22"/>
                            </w:rPr>
                          </m:ctrlPr>
                        </m:e>
                      </m:acc>
                      <m:ctrlPr>
                        <w:rPr>
                          <w:rFonts w:ascii="Cambria Math" w:hAnsi="楷体" w:eastAsia="楷体"/>
                          <w:i/>
                          <w:szCs w:val="22"/>
                        </w:rPr>
                      </m:ctrlPr>
                    </m:e>
                    <m:sub>
                      <m:r>
                        <m:rPr/>
                        <w:rPr>
                          <w:rFonts w:ascii="Cambria Math" w:hAnsi="楷体" w:eastAsia="楷体"/>
                          <w:szCs w:val="22"/>
                        </w:rPr>
                        <m:t>i</m:t>
                      </m:r>
                      <m:ctrlPr>
                        <w:rPr>
                          <w:rFonts w:ascii="Cambria Math" w:hAnsi="楷体" w:eastAsia="楷体"/>
                          <w:i/>
                          <w:szCs w:val="22"/>
                        </w:rPr>
                      </m:ctrlPr>
                    </m:sub>
                  </m:sSub>
                  <m:ctrlPr>
                    <w:rPr>
                      <w:rFonts w:ascii="Cambria Math" w:hAnsi="Cambria Math" w:eastAsia="楷体"/>
                      <w:i/>
                      <w:szCs w:val="22"/>
                    </w:rPr>
                  </m:ctrlPr>
                </m:e>
              </m:nary>
              <m:r>
                <m:rPr/>
                <w:rPr>
                  <w:rFonts w:ascii="Cambria Math" w:hAnsi="楷体" w:eastAsia="楷体"/>
                  <w:szCs w:val="22"/>
                </w:rPr>
                <m:t>dt</m:t>
              </m:r>
              <m:ctrlPr>
                <w:rPr>
                  <w:rFonts w:ascii="Cambria Math" w:hAnsi="楷体" w:eastAsia="楷体"/>
                  <w:i/>
                  <w:szCs w:val="22"/>
                </w:rPr>
              </m:ctrlPr>
            </m:e>
          </m:nary>
          <m:r>
            <m:rPr/>
            <w:rPr>
              <w:rFonts w:ascii="Cambria Math" w:hAnsi="楷体" w:eastAsia="楷体"/>
              <w:szCs w:val="22"/>
            </w:rPr>
            <m:t>+</m:t>
          </m:r>
          <m:nary>
            <m:naryPr>
              <m:chr m:val="∑"/>
              <m:ctrlPr>
                <w:rPr>
                  <w:rFonts w:ascii="Cambria Math" w:hAnsi="楷体" w:eastAsia="楷体"/>
                  <w:i/>
                  <w:szCs w:val="22"/>
                </w:rPr>
              </m:ctrlPr>
            </m:naryPr>
            <m:sub>
              <m:r>
                <m:rPr/>
                <w:rPr>
                  <w:rFonts w:ascii="Cambria Math" w:hAnsi="楷体" w:eastAsia="楷体"/>
                  <w:szCs w:val="22"/>
                </w:rPr>
                <m:t>i=1</m:t>
              </m:r>
              <m:ctrlPr>
                <w:rPr>
                  <w:rFonts w:ascii="Cambria Math" w:hAnsi="楷体" w:eastAsia="楷体"/>
                  <w:i/>
                  <w:szCs w:val="22"/>
                </w:rPr>
              </m:ctrlPr>
            </m:sub>
            <m:sup>
              <m:r>
                <m:rPr/>
                <w:rPr>
                  <w:rFonts w:ascii="Cambria Math" w:hAnsi="楷体" w:eastAsia="楷体"/>
                  <w:szCs w:val="22"/>
                </w:rPr>
                <m:t>n</m:t>
              </m:r>
              <m:ctrlPr>
                <w:rPr>
                  <w:rFonts w:ascii="Cambria Math" w:hAnsi="楷体" w:eastAsia="楷体"/>
                  <w:i/>
                  <w:szCs w:val="22"/>
                </w:rPr>
              </m:ctrlPr>
            </m:sup>
            <m:e>
              <m:nary>
                <m:naryPr>
                  <m:ctrlPr>
                    <w:rPr>
                      <w:rFonts w:ascii="Cambria Math" w:hAnsi="楷体" w:eastAsia="楷体"/>
                      <w:i/>
                      <w:szCs w:val="22"/>
                    </w:rPr>
                  </m:ctrlPr>
                </m:naryPr>
                <m:sub>
                  <m:r>
                    <m:rPr/>
                    <w:rPr>
                      <w:rFonts w:ascii="Cambria Math" w:hAnsi="楷体" w:eastAsia="楷体"/>
                      <w:szCs w:val="22"/>
                    </w:rPr>
                    <m:t>0</m:t>
                  </m:r>
                  <m:ctrlPr>
                    <w:rPr>
                      <w:rFonts w:ascii="Cambria Math" w:hAnsi="楷体" w:eastAsia="楷体"/>
                      <w:i/>
                      <w:szCs w:val="22"/>
                    </w:rPr>
                  </m:ctrlPr>
                </m:sub>
                <m:sup>
                  <m:r>
                    <m:rPr/>
                    <w:rPr>
                      <w:rFonts w:ascii="Cambria Math" w:hAnsi="楷体" w:eastAsia="楷体"/>
                      <w:szCs w:val="22"/>
                    </w:rPr>
                    <m:t>t</m:t>
                  </m:r>
                  <m:ctrlPr>
                    <w:rPr>
                      <w:rFonts w:ascii="Cambria Math" w:hAnsi="楷体" w:eastAsia="楷体"/>
                      <w:i/>
                      <w:szCs w:val="22"/>
                    </w:rPr>
                  </m:ctrlPr>
                </m:sup>
                <m:e>
                  <m:sSub>
                    <m:sSubPr>
                      <m:ctrlPr>
                        <w:rPr>
                          <w:rFonts w:ascii="Cambria Math" w:hAnsi="楷体" w:eastAsia="楷体"/>
                          <w:i/>
                          <w:szCs w:val="22"/>
                        </w:rPr>
                      </m:ctrlPr>
                    </m:sSubPr>
                    <m:e>
                      <m:r>
                        <m:rPr/>
                        <w:rPr>
                          <w:rFonts w:ascii="Cambria Math" w:hAnsi="楷体" w:eastAsia="楷体"/>
                          <w:szCs w:val="22"/>
                        </w:rPr>
                        <m:t>f</m:t>
                      </m:r>
                      <m:ctrlPr>
                        <w:rPr>
                          <w:rFonts w:ascii="Cambria Math" w:hAnsi="楷体" w:eastAsia="楷体"/>
                          <w:i/>
                          <w:szCs w:val="22"/>
                        </w:rPr>
                      </m:ctrlPr>
                    </m:e>
                    <m:sub>
                      <m:r>
                        <m:rPr/>
                        <w:rPr>
                          <w:rFonts w:ascii="Cambria Math" w:hAnsi="楷体" w:eastAsia="楷体"/>
                          <w:szCs w:val="22"/>
                        </w:rPr>
                        <m:t>si</m:t>
                      </m:r>
                      <m:ctrlPr>
                        <w:rPr>
                          <w:rFonts w:ascii="Cambria Math" w:hAnsi="楷体" w:eastAsia="楷体"/>
                          <w:i/>
                          <w:szCs w:val="22"/>
                        </w:rPr>
                      </m:ctrlPr>
                    </m:sub>
                  </m:sSub>
                  <m:sSub>
                    <m:sSubPr>
                      <m:ctrlPr>
                        <w:rPr>
                          <w:rFonts w:ascii="Cambria Math" w:hAnsi="楷体" w:eastAsia="楷体"/>
                          <w:i/>
                          <w:szCs w:val="22"/>
                        </w:rPr>
                      </m:ctrlPr>
                    </m:sSubPr>
                    <m:e>
                      <m:acc>
                        <m:accPr>
                          <m:chr m:val="̇"/>
                          <m:ctrlPr>
                            <w:rPr>
                              <w:rFonts w:ascii="Cambria Math" w:hAnsi="楷体" w:eastAsia="楷体"/>
                              <w:i/>
                              <w:szCs w:val="22"/>
                            </w:rPr>
                          </m:ctrlPr>
                        </m:accPr>
                        <m:e>
                          <m:r>
                            <m:rPr/>
                            <w:rPr>
                              <w:rFonts w:ascii="Cambria Math" w:hAnsi="楷体" w:eastAsia="楷体"/>
                              <w:szCs w:val="22"/>
                            </w:rPr>
                            <m:t>x</m:t>
                          </m:r>
                          <m:ctrlPr>
                            <w:rPr>
                              <w:rFonts w:ascii="Cambria Math" w:hAnsi="楷体" w:eastAsia="楷体"/>
                              <w:i/>
                              <w:szCs w:val="22"/>
                            </w:rPr>
                          </m:ctrlPr>
                        </m:e>
                      </m:acc>
                      <m:ctrlPr>
                        <w:rPr>
                          <w:rFonts w:ascii="Cambria Math" w:hAnsi="楷体" w:eastAsia="楷体"/>
                          <w:i/>
                          <w:szCs w:val="22"/>
                        </w:rPr>
                      </m:ctrlPr>
                    </m:e>
                    <m:sub>
                      <m:r>
                        <m:rPr/>
                        <w:rPr>
                          <w:rFonts w:ascii="Cambria Math" w:hAnsi="楷体" w:eastAsia="楷体"/>
                          <w:szCs w:val="22"/>
                        </w:rPr>
                        <m:t>i</m:t>
                      </m:r>
                      <m:ctrlPr>
                        <w:rPr>
                          <w:rFonts w:ascii="Cambria Math" w:hAnsi="楷体" w:eastAsia="楷体"/>
                          <w:i/>
                          <w:szCs w:val="22"/>
                        </w:rPr>
                      </m:ctrlPr>
                    </m:sub>
                  </m:sSub>
                  <m:ctrlPr>
                    <w:rPr>
                      <w:rFonts w:ascii="Cambria Math" w:hAnsi="Cambria Math" w:eastAsia="楷体"/>
                      <w:i/>
                      <w:szCs w:val="22"/>
                    </w:rPr>
                  </m:ctrlPr>
                </m:e>
              </m:nary>
              <m:r>
                <m:rPr/>
                <w:rPr>
                  <w:rFonts w:ascii="Cambria Math" w:hAnsi="楷体" w:eastAsia="楷体"/>
                  <w:szCs w:val="22"/>
                </w:rPr>
                <m:t>dt</m:t>
              </m:r>
              <m:ctrlPr>
                <w:rPr>
                  <w:rFonts w:ascii="Cambria Math" w:hAnsi="楷体" w:eastAsia="楷体"/>
                  <w:i/>
                  <w:szCs w:val="22"/>
                </w:rPr>
              </m:ctrlPr>
            </m:e>
          </m:nary>
          <m:r>
            <m:rPr/>
            <w:rPr>
              <w:rFonts w:ascii="Cambria Math" w:hAnsi="楷体" w:eastAsia="楷体"/>
              <w:szCs w:val="22"/>
            </w:rPr>
            <m:t>+</m:t>
          </m:r>
          <m:nary>
            <m:naryPr>
              <m:chr m:val="∑"/>
              <m:ctrlPr>
                <w:rPr>
                  <w:rFonts w:ascii="Cambria Math" w:hAnsi="楷体" w:eastAsia="楷体"/>
                  <w:i/>
                  <w:szCs w:val="22"/>
                </w:rPr>
              </m:ctrlPr>
            </m:naryPr>
            <m:sub>
              <m:r>
                <m:rPr/>
                <w:rPr>
                  <w:rFonts w:ascii="Cambria Math" w:hAnsi="楷体" w:eastAsia="楷体"/>
                  <w:szCs w:val="22"/>
                </w:rPr>
                <m:t>i=1</m:t>
              </m:r>
              <m:ctrlPr>
                <w:rPr>
                  <w:rFonts w:ascii="Cambria Math" w:hAnsi="楷体" w:eastAsia="楷体"/>
                  <w:i/>
                  <w:szCs w:val="22"/>
                </w:rPr>
              </m:ctrlPr>
            </m:sub>
            <m:sup>
              <m:sSub>
                <m:sSubPr>
                  <m:ctrlPr>
                    <w:rPr>
                      <w:rFonts w:ascii="Cambria Math" w:hAnsi="楷体" w:eastAsia="楷体"/>
                      <w:i/>
                      <w:szCs w:val="22"/>
                    </w:rPr>
                  </m:ctrlPr>
                </m:sSubPr>
                <m:e>
                  <m:r>
                    <m:rPr/>
                    <w:rPr>
                      <w:rFonts w:ascii="Cambria Math" w:hAnsi="楷体" w:eastAsia="楷体"/>
                      <w:szCs w:val="22"/>
                    </w:rPr>
                    <m:t>n</m:t>
                  </m:r>
                  <m:ctrlPr>
                    <w:rPr>
                      <w:rFonts w:ascii="Cambria Math" w:hAnsi="楷体" w:eastAsia="楷体"/>
                      <w:i/>
                      <w:szCs w:val="22"/>
                    </w:rPr>
                  </m:ctrlPr>
                </m:e>
                <m:sub>
                  <m:r>
                    <m:rPr/>
                    <w:rPr>
                      <w:rFonts w:ascii="Cambria Math" w:hAnsi="楷体" w:eastAsia="楷体"/>
                      <w:szCs w:val="22"/>
                    </w:rPr>
                    <m:t>1</m:t>
                  </m:r>
                  <m:ctrlPr>
                    <w:rPr>
                      <w:rFonts w:ascii="Cambria Math" w:hAnsi="楷体" w:eastAsia="楷体"/>
                      <w:i/>
                      <w:szCs w:val="22"/>
                    </w:rPr>
                  </m:ctrlPr>
                </m:sub>
              </m:sSub>
              <m:ctrlPr>
                <w:rPr>
                  <w:rFonts w:ascii="Cambria Math" w:hAnsi="楷体" w:eastAsia="楷体"/>
                  <w:i/>
                  <w:szCs w:val="22"/>
                </w:rPr>
              </m:ctrlPr>
            </m:sup>
            <m:e>
              <m:nary>
                <m:naryPr>
                  <m:ctrlPr>
                    <w:rPr>
                      <w:rFonts w:ascii="Cambria Math" w:hAnsi="楷体" w:eastAsia="楷体"/>
                      <w:i/>
                      <w:szCs w:val="22"/>
                    </w:rPr>
                  </m:ctrlPr>
                </m:naryPr>
                <m:sub>
                  <m:r>
                    <m:rPr/>
                    <w:rPr>
                      <w:rFonts w:ascii="Cambria Math" w:hAnsi="楷体" w:eastAsia="楷体"/>
                      <w:szCs w:val="22"/>
                    </w:rPr>
                    <m:t>0</m:t>
                  </m:r>
                  <m:ctrlPr>
                    <w:rPr>
                      <w:rFonts w:ascii="Cambria Math" w:hAnsi="楷体" w:eastAsia="楷体"/>
                      <w:i/>
                      <w:szCs w:val="22"/>
                    </w:rPr>
                  </m:ctrlPr>
                </m:sub>
                <m:sup>
                  <m:r>
                    <m:rPr/>
                    <w:rPr>
                      <w:rFonts w:ascii="Cambria Math" w:hAnsi="楷体" w:eastAsia="楷体"/>
                      <w:szCs w:val="22"/>
                    </w:rPr>
                    <m:t>t</m:t>
                  </m:r>
                  <m:ctrlPr>
                    <w:rPr>
                      <w:rFonts w:ascii="Cambria Math" w:hAnsi="楷体" w:eastAsia="楷体"/>
                      <w:i/>
                      <w:szCs w:val="22"/>
                    </w:rPr>
                  </m:ctrlPr>
                </m:sup>
                <m:e>
                  <m:sSub>
                    <m:sSubPr>
                      <m:ctrlPr>
                        <w:rPr>
                          <w:rFonts w:ascii="Cambria Math" w:hAnsi="楷体" w:eastAsia="楷体"/>
                          <w:i/>
                          <w:szCs w:val="22"/>
                        </w:rPr>
                      </m:ctrlPr>
                    </m:sSubPr>
                    <m:e>
                      <m:r>
                        <m:rPr/>
                        <w:rPr>
                          <w:rFonts w:ascii="Cambria Math" w:hAnsi="楷体" w:eastAsia="楷体"/>
                          <w:szCs w:val="22"/>
                        </w:rPr>
                        <m:t>f</m:t>
                      </m:r>
                      <m:ctrlPr>
                        <w:rPr>
                          <w:rFonts w:ascii="Cambria Math" w:hAnsi="楷体" w:eastAsia="楷体"/>
                          <w:i/>
                          <w:szCs w:val="22"/>
                        </w:rPr>
                      </m:ctrlPr>
                    </m:e>
                    <m:sub>
                      <m:r>
                        <m:rPr/>
                        <w:rPr>
                          <w:rFonts w:ascii="Cambria Math" w:hAnsi="楷体" w:eastAsia="楷体"/>
                          <w:szCs w:val="22"/>
                        </w:rPr>
                        <m:t>di</m:t>
                      </m:r>
                      <m:ctrlPr>
                        <w:rPr>
                          <w:rFonts w:ascii="Cambria Math" w:hAnsi="楷体" w:eastAsia="楷体"/>
                          <w:i/>
                          <w:szCs w:val="22"/>
                        </w:rPr>
                      </m:ctrlPr>
                    </m:sub>
                  </m:sSub>
                  <m:sSub>
                    <m:sSubPr>
                      <m:ctrlPr>
                        <w:rPr>
                          <w:rFonts w:ascii="Cambria Math" w:hAnsi="楷体" w:eastAsia="楷体"/>
                          <w:i/>
                          <w:szCs w:val="22"/>
                        </w:rPr>
                      </m:ctrlPr>
                    </m:sSubPr>
                    <m:e>
                      <m:acc>
                        <m:accPr>
                          <m:chr m:val="̇"/>
                          <m:ctrlPr>
                            <w:rPr>
                              <w:rFonts w:ascii="Cambria Math" w:hAnsi="楷体" w:eastAsia="楷体"/>
                              <w:i/>
                              <w:szCs w:val="22"/>
                            </w:rPr>
                          </m:ctrlPr>
                        </m:accPr>
                        <m:e>
                          <m:r>
                            <m:rPr/>
                            <w:rPr>
                              <w:rFonts w:ascii="Cambria Math" w:hAnsi="楷体" w:eastAsia="楷体"/>
                              <w:szCs w:val="22"/>
                            </w:rPr>
                            <m:t>x</m:t>
                          </m:r>
                          <m:ctrlPr>
                            <w:rPr>
                              <w:rFonts w:ascii="Cambria Math" w:hAnsi="楷体" w:eastAsia="楷体"/>
                              <w:i/>
                              <w:szCs w:val="22"/>
                            </w:rPr>
                          </m:ctrlPr>
                        </m:e>
                      </m:acc>
                      <m:ctrlPr>
                        <w:rPr>
                          <w:rFonts w:ascii="Cambria Math" w:hAnsi="楷体" w:eastAsia="楷体"/>
                          <w:i/>
                          <w:szCs w:val="22"/>
                        </w:rPr>
                      </m:ctrlPr>
                    </m:e>
                    <m:sub>
                      <m:r>
                        <m:rPr/>
                        <w:rPr>
                          <w:rFonts w:ascii="Cambria Math" w:hAnsi="楷体" w:eastAsia="楷体"/>
                          <w:szCs w:val="22"/>
                        </w:rPr>
                        <m:t>i</m:t>
                      </m:r>
                      <m:ctrlPr>
                        <w:rPr>
                          <w:rFonts w:ascii="Cambria Math" w:hAnsi="楷体" w:eastAsia="楷体"/>
                          <w:i/>
                          <w:szCs w:val="22"/>
                        </w:rPr>
                      </m:ctrlPr>
                    </m:sub>
                  </m:sSub>
                  <m:ctrlPr>
                    <w:rPr>
                      <w:rFonts w:ascii="Cambria Math" w:hAnsi="Cambria Math" w:eastAsia="楷体"/>
                      <w:i/>
                      <w:szCs w:val="22"/>
                    </w:rPr>
                  </m:ctrlPr>
                </m:e>
              </m:nary>
              <m:r>
                <m:rPr/>
                <w:rPr>
                  <w:rFonts w:ascii="Cambria Math" w:hAnsi="楷体" w:eastAsia="楷体"/>
                  <w:szCs w:val="22"/>
                </w:rPr>
                <m:t>dt</m:t>
              </m:r>
              <m:ctrlPr>
                <w:rPr>
                  <w:rFonts w:ascii="Cambria Math" w:hAnsi="楷体" w:eastAsia="楷体"/>
                  <w:i/>
                  <w:szCs w:val="22"/>
                </w:rPr>
              </m:ctrlPr>
            </m:e>
          </m:nary>
          <m:r>
            <m:rPr/>
            <w:rPr>
              <w:rFonts w:ascii="Cambria Math" w:hAnsi="楷体" w:eastAsia="楷体"/>
              <w:szCs w:val="22"/>
            </w:rPr>
            <m:t>=</m:t>
          </m:r>
          <m:r>
            <m:rPr/>
            <w:rPr>
              <w:rFonts w:ascii="Cambria Math" w:hAnsi="Cambria Math" w:eastAsia="微软雅黑" w:cs="微软雅黑"/>
              <w:szCs w:val="22"/>
            </w:rPr>
            <m:t>−</m:t>
          </m:r>
          <m:nary>
            <m:naryPr>
              <m:chr m:val="∑"/>
              <m:ctrlPr>
                <w:rPr>
                  <w:rFonts w:ascii="Cambria Math" w:hAnsi="楷体" w:eastAsia="楷体"/>
                  <w:i/>
                  <w:szCs w:val="22"/>
                </w:rPr>
              </m:ctrlPr>
            </m:naryPr>
            <m:sub>
              <m:r>
                <m:rPr/>
                <w:rPr>
                  <w:rFonts w:ascii="Cambria Math" w:hAnsi="楷体" w:eastAsia="楷体"/>
                  <w:szCs w:val="22"/>
                </w:rPr>
                <m:t>i=1</m:t>
              </m:r>
              <m:ctrlPr>
                <w:rPr>
                  <w:rFonts w:ascii="Cambria Math" w:hAnsi="楷体" w:eastAsia="楷体"/>
                  <w:i/>
                  <w:szCs w:val="22"/>
                </w:rPr>
              </m:ctrlPr>
            </m:sub>
            <m:sup>
              <m:r>
                <m:rPr/>
                <w:rPr>
                  <w:rFonts w:ascii="Cambria Math" w:hAnsi="楷体" w:eastAsia="楷体"/>
                  <w:szCs w:val="22"/>
                </w:rPr>
                <m:t>n</m:t>
              </m:r>
              <m:ctrlPr>
                <w:rPr>
                  <w:rFonts w:ascii="Cambria Math" w:hAnsi="楷体" w:eastAsia="楷体"/>
                  <w:i/>
                  <w:szCs w:val="22"/>
                </w:rPr>
              </m:ctrlPr>
            </m:sup>
            <m:e>
              <m:sSub>
                <m:sSubPr>
                  <m:ctrlPr>
                    <w:rPr>
                      <w:rFonts w:ascii="Cambria Math" w:hAnsi="楷体" w:eastAsia="楷体"/>
                      <w:i/>
                      <w:szCs w:val="22"/>
                    </w:rPr>
                  </m:ctrlPr>
                </m:sSubPr>
                <m:e>
                  <m:r>
                    <m:rPr/>
                    <w:rPr>
                      <w:rFonts w:ascii="Cambria Math" w:hAnsi="楷体" w:eastAsia="楷体"/>
                      <w:szCs w:val="22"/>
                    </w:rPr>
                    <m:t>m</m:t>
                  </m:r>
                  <m:ctrlPr>
                    <w:rPr>
                      <w:rFonts w:ascii="Cambria Math" w:hAnsi="楷体" w:eastAsia="楷体"/>
                      <w:i/>
                      <w:szCs w:val="22"/>
                    </w:rPr>
                  </m:ctrlPr>
                </m:e>
                <m:sub>
                  <m:r>
                    <m:rPr/>
                    <w:rPr>
                      <w:rFonts w:ascii="Cambria Math" w:hAnsi="楷体" w:eastAsia="楷体"/>
                      <w:szCs w:val="22"/>
                    </w:rPr>
                    <m:t>i</m:t>
                  </m:r>
                  <m:ctrlPr>
                    <w:rPr>
                      <w:rFonts w:ascii="Cambria Math" w:hAnsi="楷体" w:eastAsia="楷体"/>
                      <w:i/>
                      <w:szCs w:val="22"/>
                    </w:rPr>
                  </m:ctrlPr>
                </m:sub>
              </m:sSub>
              <m:nary>
                <m:naryPr>
                  <m:ctrlPr>
                    <w:rPr>
                      <w:rFonts w:ascii="Cambria Math" w:hAnsi="楷体" w:eastAsia="楷体"/>
                      <w:i/>
                      <w:szCs w:val="22"/>
                    </w:rPr>
                  </m:ctrlPr>
                </m:naryPr>
                <m:sub>
                  <m:r>
                    <m:rPr/>
                    <w:rPr>
                      <w:rFonts w:ascii="Cambria Math" w:hAnsi="楷体" w:eastAsia="楷体"/>
                      <w:szCs w:val="22"/>
                    </w:rPr>
                    <m:t>0</m:t>
                  </m:r>
                  <m:ctrlPr>
                    <w:rPr>
                      <w:rFonts w:ascii="Cambria Math" w:hAnsi="楷体" w:eastAsia="楷体"/>
                      <w:i/>
                      <w:szCs w:val="22"/>
                    </w:rPr>
                  </m:ctrlPr>
                </m:sub>
                <m:sup>
                  <m:r>
                    <m:rPr/>
                    <w:rPr>
                      <w:rFonts w:ascii="Cambria Math" w:hAnsi="楷体" w:eastAsia="楷体"/>
                      <w:szCs w:val="22"/>
                    </w:rPr>
                    <m:t>t</m:t>
                  </m:r>
                  <m:ctrlPr>
                    <w:rPr>
                      <w:rFonts w:ascii="Cambria Math" w:hAnsi="楷体" w:eastAsia="楷体"/>
                      <w:i/>
                      <w:szCs w:val="22"/>
                    </w:rPr>
                  </m:ctrlPr>
                </m:sup>
                <m:e>
                  <m:sSub>
                    <m:sSubPr>
                      <m:ctrlPr>
                        <w:rPr>
                          <w:rFonts w:ascii="Cambria Math" w:hAnsi="楷体" w:eastAsia="楷体"/>
                          <w:i/>
                          <w:szCs w:val="22"/>
                        </w:rPr>
                      </m:ctrlPr>
                    </m:sSubPr>
                    <m:e>
                      <m:acc>
                        <m:accPr>
                          <m:chr m:val="̈"/>
                          <m:ctrlPr>
                            <w:rPr>
                              <w:rFonts w:ascii="Cambria Math" w:hAnsi="楷体" w:eastAsia="楷体"/>
                              <w:i/>
                              <w:szCs w:val="22"/>
                            </w:rPr>
                          </m:ctrlPr>
                        </m:accPr>
                        <m:e>
                          <m:r>
                            <m:rPr/>
                            <w:rPr>
                              <w:rFonts w:ascii="Cambria Math" w:hAnsi="楷体" w:eastAsia="楷体"/>
                              <w:szCs w:val="22"/>
                            </w:rPr>
                            <m:t>x</m:t>
                          </m:r>
                          <m:ctrlPr>
                            <w:rPr>
                              <w:rFonts w:ascii="Cambria Math" w:hAnsi="楷体" w:eastAsia="楷体"/>
                              <w:i/>
                              <w:szCs w:val="22"/>
                            </w:rPr>
                          </m:ctrlPr>
                        </m:e>
                      </m:acc>
                      <m:ctrlPr>
                        <w:rPr>
                          <w:rFonts w:ascii="Cambria Math" w:hAnsi="楷体" w:eastAsia="楷体"/>
                          <w:i/>
                          <w:szCs w:val="22"/>
                        </w:rPr>
                      </m:ctrlPr>
                    </m:e>
                    <m:sub>
                      <m:r>
                        <m:rPr/>
                        <w:rPr>
                          <w:rFonts w:ascii="Cambria Math" w:hAnsi="楷体" w:eastAsia="楷体"/>
                          <w:szCs w:val="22"/>
                        </w:rPr>
                        <m:t>g</m:t>
                      </m:r>
                      <m:ctrlPr>
                        <w:rPr>
                          <w:rFonts w:ascii="Cambria Math" w:hAnsi="楷体" w:eastAsia="楷体"/>
                          <w:i/>
                          <w:szCs w:val="22"/>
                        </w:rPr>
                      </m:ctrlPr>
                    </m:sub>
                  </m:sSub>
                  <m:sSub>
                    <m:sSubPr>
                      <m:ctrlPr>
                        <w:rPr>
                          <w:rFonts w:ascii="Cambria Math" w:hAnsi="楷体" w:eastAsia="楷体"/>
                          <w:i/>
                          <w:szCs w:val="22"/>
                        </w:rPr>
                      </m:ctrlPr>
                    </m:sSubPr>
                    <m:e>
                      <m:acc>
                        <m:accPr>
                          <m:chr m:val="̇"/>
                          <m:ctrlPr>
                            <w:rPr>
                              <w:rFonts w:ascii="Cambria Math" w:hAnsi="楷体" w:eastAsia="楷体"/>
                              <w:i/>
                              <w:szCs w:val="22"/>
                            </w:rPr>
                          </m:ctrlPr>
                        </m:accPr>
                        <m:e>
                          <m:r>
                            <m:rPr/>
                            <w:rPr>
                              <w:rFonts w:ascii="Cambria Math" w:hAnsi="楷体" w:eastAsia="楷体"/>
                              <w:szCs w:val="22"/>
                            </w:rPr>
                            <m:t>x</m:t>
                          </m:r>
                          <m:ctrlPr>
                            <w:rPr>
                              <w:rFonts w:ascii="Cambria Math" w:hAnsi="楷体" w:eastAsia="楷体"/>
                              <w:i/>
                              <w:szCs w:val="22"/>
                            </w:rPr>
                          </m:ctrlPr>
                        </m:e>
                      </m:acc>
                      <m:ctrlPr>
                        <w:rPr>
                          <w:rFonts w:ascii="Cambria Math" w:hAnsi="楷体" w:eastAsia="楷体"/>
                          <w:i/>
                          <w:szCs w:val="22"/>
                        </w:rPr>
                      </m:ctrlPr>
                    </m:e>
                    <m:sub>
                      <m:r>
                        <m:rPr/>
                        <w:rPr>
                          <w:rFonts w:ascii="Cambria Math" w:hAnsi="楷体" w:eastAsia="楷体"/>
                          <w:szCs w:val="22"/>
                        </w:rPr>
                        <m:t>i</m:t>
                      </m:r>
                      <m:ctrlPr>
                        <w:rPr>
                          <w:rFonts w:ascii="Cambria Math" w:hAnsi="楷体" w:eastAsia="楷体"/>
                          <w:i/>
                          <w:szCs w:val="22"/>
                        </w:rPr>
                      </m:ctrlPr>
                    </m:sub>
                  </m:sSub>
                  <m:r>
                    <m:rPr/>
                    <w:rPr>
                      <w:rFonts w:ascii="Cambria Math" w:hAnsi="楷体" w:eastAsia="楷体"/>
                      <w:szCs w:val="22"/>
                    </w:rPr>
                    <m:t>dt</m:t>
                  </m:r>
                  <m:ctrlPr>
                    <w:rPr>
                      <w:rFonts w:ascii="Cambria Math" w:hAnsi="楷体" w:eastAsia="楷体"/>
                      <w:i/>
                      <w:szCs w:val="22"/>
                    </w:rPr>
                  </m:ctrlPr>
                </m:e>
              </m:nary>
              <m:ctrlPr>
                <w:rPr>
                  <w:rFonts w:ascii="Cambria Math" w:hAnsi="Cambria Math" w:eastAsia="楷体"/>
                  <w:i/>
                  <w:szCs w:val="22"/>
                </w:rPr>
              </m:ctrlPr>
            </m:e>
          </m:nary>
        </m:oMath>
      </m:oMathPara>
    </w:p>
    <w:p>
      <w:pPr>
        <w:autoSpaceDE w:val="0"/>
        <w:autoSpaceDN w:val="0"/>
        <w:rPr>
          <w:rFonts w:ascii="华文楷体" w:hAnsi="华文楷体" w:eastAsia="华文楷体" w:cs="华文楷体"/>
          <w:color w:val="0000FF"/>
          <w:szCs w:val="22"/>
        </w:rPr>
      </w:pPr>
      <w:r>
        <w:rPr>
          <w:rFonts w:hint="eastAsia" w:ascii="华文楷体" w:hAnsi="华文楷体" w:eastAsia="华文楷体" w:cs="华文楷体"/>
          <w:color w:val="0000FF"/>
          <w:szCs w:val="22"/>
        </w:rPr>
        <w:t>将上式简化：</w:t>
      </w:r>
    </w:p>
    <w:p>
      <w:pPr>
        <w:autoSpaceDE w:val="0"/>
        <w:autoSpaceDN w:val="0"/>
        <w:rPr>
          <w:rFonts w:ascii="华文楷体" w:hAnsi="华文楷体" w:eastAsia="华文楷体" w:cs="华文楷体"/>
          <w:color w:val="0000FF"/>
          <w:szCs w:val="22"/>
        </w:rPr>
      </w:pPr>
      <m:oMathPara>
        <m:oMath>
          <m:sSub>
            <m:sSubPr>
              <m:ctrlPr>
                <w:rPr>
                  <w:rFonts w:ascii="Cambria Math" w:hAnsi="楷体" w:eastAsia="楷体"/>
                  <w:i/>
                  <w:szCs w:val="22"/>
                </w:rPr>
              </m:ctrlPr>
            </m:sSubPr>
            <m:e>
              <m:r>
                <m:rPr/>
                <w:rPr>
                  <w:rFonts w:ascii="Cambria Math" w:hAnsi="楷体" w:eastAsia="楷体"/>
                  <w:szCs w:val="22"/>
                </w:rPr>
                <m:t>E</m:t>
              </m:r>
              <m:ctrlPr>
                <w:rPr>
                  <w:rFonts w:ascii="Cambria Math" w:hAnsi="楷体" w:eastAsia="楷体"/>
                  <w:i/>
                  <w:szCs w:val="22"/>
                </w:rPr>
              </m:ctrlPr>
            </m:e>
            <m:sub>
              <m:r>
                <m:rPr/>
                <w:rPr>
                  <w:rFonts w:ascii="Cambria Math" w:hAnsi="楷体" w:eastAsia="楷体"/>
                  <w:szCs w:val="22"/>
                </w:rPr>
                <m:t>k</m:t>
              </m:r>
              <m:ctrlPr>
                <w:rPr>
                  <w:rFonts w:ascii="Cambria Math" w:hAnsi="楷体" w:eastAsia="楷体"/>
                  <w:i/>
                  <w:szCs w:val="22"/>
                </w:rPr>
              </m:ctrlPr>
            </m:sub>
          </m:sSub>
          <m:r>
            <m:rPr/>
            <w:rPr>
              <w:rFonts w:ascii="Cambria Math" w:hAnsi="楷体" w:eastAsia="楷体"/>
              <w:szCs w:val="22"/>
            </w:rPr>
            <m:t>+</m:t>
          </m:r>
          <m:sSub>
            <m:sSubPr>
              <m:ctrlPr>
                <w:rPr>
                  <w:rFonts w:ascii="Cambria Math" w:hAnsi="楷体" w:eastAsia="楷体"/>
                  <w:i/>
                  <w:szCs w:val="22"/>
                </w:rPr>
              </m:ctrlPr>
            </m:sSubPr>
            <m:e>
              <m:r>
                <m:rPr/>
                <w:rPr>
                  <w:rFonts w:ascii="Cambria Math" w:hAnsi="楷体" w:eastAsia="楷体"/>
                  <w:szCs w:val="22"/>
                </w:rPr>
                <m:t>E</m:t>
              </m:r>
              <m:ctrlPr>
                <w:rPr>
                  <w:rFonts w:ascii="Cambria Math" w:hAnsi="楷体" w:eastAsia="楷体"/>
                  <w:i/>
                  <w:szCs w:val="22"/>
                </w:rPr>
              </m:ctrlPr>
            </m:e>
            <m:sub>
              <m:r>
                <m:rPr/>
                <w:rPr>
                  <w:rFonts w:ascii="Cambria Math" w:hAnsi="楷体" w:eastAsia="楷体"/>
                  <w:szCs w:val="22"/>
                </w:rPr>
                <m:t>c</m:t>
              </m:r>
              <m:ctrlPr>
                <w:rPr>
                  <w:rFonts w:ascii="Cambria Math" w:hAnsi="楷体" w:eastAsia="楷体"/>
                  <w:i/>
                  <w:szCs w:val="22"/>
                </w:rPr>
              </m:ctrlPr>
            </m:sub>
          </m:sSub>
          <m:r>
            <m:rPr/>
            <w:rPr>
              <w:rFonts w:ascii="Cambria Math" w:hAnsi="楷体" w:eastAsia="楷体"/>
              <w:szCs w:val="22"/>
            </w:rPr>
            <m:t>+</m:t>
          </m:r>
          <m:sSub>
            <m:sSubPr>
              <m:ctrlPr>
                <w:rPr>
                  <w:rFonts w:ascii="Cambria Math" w:hAnsi="楷体" w:eastAsia="楷体"/>
                  <w:i/>
                  <w:szCs w:val="22"/>
                </w:rPr>
              </m:ctrlPr>
            </m:sSubPr>
            <m:e>
              <m:r>
                <m:rPr/>
                <w:rPr>
                  <w:rFonts w:ascii="Cambria Math" w:hAnsi="楷体" w:eastAsia="楷体"/>
                  <w:szCs w:val="22"/>
                </w:rPr>
                <m:t>E</m:t>
              </m:r>
              <m:ctrlPr>
                <w:rPr>
                  <w:rFonts w:ascii="Cambria Math" w:hAnsi="楷体" w:eastAsia="楷体"/>
                  <w:i/>
                  <w:szCs w:val="22"/>
                </w:rPr>
              </m:ctrlPr>
            </m:e>
            <m:sub>
              <m:r>
                <m:rPr/>
                <w:rPr>
                  <w:rFonts w:ascii="Cambria Math" w:hAnsi="Cambria Math" w:eastAsia="MS Mincho" w:cs="MS Mincho"/>
                  <w:szCs w:val="22"/>
                </w:rPr>
                <m:t>ℎ</m:t>
              </m:r>
              <m:ctrlPr>
                <w:rPr>
                  <w:rFonts w:ascii="Cambria Math" w:hAnsi="Cambria Math" w:eastAsia="楷体"/>
                  <w:i/>
                  <w:szCs w:val="22"/>
                </w:rPr>
              </m:ctrlPr>
            </m:sub>
          </m:sSub>
          <m:r>
            <m:rPr/>
            <w:rPr>
              <w:rFonts w:ascii="Cambria Math" w:hAnsi="楷体" w:eastAsia="楷体"/>
              <w:szCs w:val="22"/>
            </w:rPr>
            <m:t>+</m:t>
          </m:r>
          <m:sSub>
            <m:sSubPr>
              <m:ctrlPr>
                <w:rPr>
                  <w:rFonts w:ascii="Cambria Math" w:hAnsi="楷体" w:eastAsia="楷体"/>
                  <w:i/>
                  <w:szCs w:val="22"/>
                </w:rPr>
              </m:ctrlPr>
            </m:sSubPr>
            <m:e>
              <m:r>
                <m:rPr/>
                <w:rPr>
                  <w:rFonts w:ascii="Cambria Math" w:hAnsi="楷体" w:eastAsia="楷体"/>
                  <w:szCs w:val="22"/>
                </w:rPr>
                <m:t>E</m:t>
              </m:r>
              <m:ctrlPr>
                <w:rPr>
                  <w:rFonts w:ascii="Cambria Math" w:hAnsi="楷体" w:eastAsia="楷体"/>
                  <w:i/>
                  <w:szCs w:val="22"/>
                </w:rPr>
              </m:ctrlPr>
            </m:e>
            <m:sub>
              <m:r>
                <m:rPr/>
                <w:rPr>
                  <w:rFonts w:ascii="Cambria Math" w:hAnsi="楷体" w:eastAsia="楷体"/>
                  <w:szCs w:val="22"/>
                </w:rPr>
                <m:t>e</m:t>
              </m:r>
              <m:ctrlPr>
                <w:rPr>
                  <w:rFonts w:ascii="Cambria Math" w:hAnsi="楷体" w:eastAsia="楷体"/>
                  <w:i/>
                  <w:szCs w:val="22"/>
                </w:rPr>
              </m:ctrlPr>
            </m:sub>
          </m:sSub>
          <m:r>
            <m:rPr/>
            <w:rPr>
              <w:rFonts w:ascii="Cambria Math" w:hAnsi="楷体" w:eastAsia="楷体"/>
              <w:szCs w:val="22"/>
            </w:rPr>
            <m:t>+</m:t>
          </m:r>
          <m:sSub>
            <m:sSubPr>
              <m:ctrlPr>
                <w:rPr>
                  <w:rFonts w:ascii="Cambria Math" w:hAnsi="楷体" w:eastAsia="楷体"/>
                  <w:i/>
                  <w:szCs w:val="22"/>
                </w:rPr>
              </m:ctrlPr>
            </m:sSubPr>
            <m:e>
              <m:r>
                <m:rPr/>
                <w:rPr>
                  <w:rFonts w:ascii="Cambria Math" w:hAnsi="楷体" w:eastAsia="楷体"/>
                  <w:szCs w:val="22"/>
                </w:rPr>
                <m:t>E</m:t>
              </m:r>
              <m:ctrlPr>
                <w:rPr>
                  <w:rFonts w:ascii="Cambria Math" w:hAnsi="楷体" w:eastAsia="楷体"/>
                  <w:i/>
                  <w:szCs w:val="22"/>
                </w:rPr>
              </m:ctrlPr>
            </m:e>
            <m:sub>
              <m:r>
                <m:rPr/>
                <w:rPr>
                  <w:rFonts w:ascii="Cambria Math" w:hAnsi="楷体" w:eastAsia="楷体"/>
                  <w:szCs w:val="22"/>
                </w:rPr>
                <m:t>d</m:t>
              </m:r>
              <m:ctrlPr>
                <w:rPr>
                  <w:rFonts w:ascii="Cambria Math" w:hAnsi="楷体" w:eastAsia="楷体"/>
                  <w:i/>
                  <w:szCs w:val="22"/>
                </w:rPr>
              </m:ctrlPr>
            </m:sub>
          </m:sSub>
          <m:r>
            <m:rPr/>
            <w:rPr>
              <w:rFonts w:ascii="Cambria Math" w:hAnsi="楷体" w:eastAsia="楷体"/>
              <w:szCs w:val="22"/>
            </w:rPr>
            <m:t>=</m:t>
          </m:r>
          <m:sSub>
            <m:sSubPr>
              <m:ctrlPr>
                <w:rPr>
                  <w:rFonts w:ascii="Cambria Math" w:hAnsi="楷体" w:eastAsia="楷体"/>
                  <w:i/>
                  <w:szCs w:val="22"/>
                </w:rPr>
              </m:ctrlPr>
            </m:sSubPr>
            <m:e>
              <m:r>
                <m:rPr/>
                <w:rPr>
                  <w:rFonts w:ascii="Cambria Math" w:hAnsi="楷体" w:eastAsia="楷体"/>
                  <w:szCs w:val="22"/>
                </w:rPr>
                <m:t>E</m:t>
              </m:r>
              <m:ctrlPr>
                <w:rPr>
                  <w:rFonts w:ascii="Cambria Math" w:hAnsi="楷体" w:eastAsia="楷体"/>
                  <w:i/>
                  <w:szCs w:val="22"/>
                </w:rPr>
              </m:ctrlPr>
            </m:e>
            <m:sub>
              <m:r>
                <m:rPr/>
                <w:rPr>
                  <w:rFonts w:ascii="Cambria Math" w:hAnsi="楷体" w:eastAsia="楷体"/>
                  <w:szCs w:val="22"/>
                </w:rPr>
                <m:t>in</m:t>
              </m:r>
              <m:ctrlPr>
                <w:rPr>
                  <w:rFonts w:ascii="Cambria Math" w:hAnsi="楷体" w:eastAsia="楷体"/>
                  <w:i/>
                  <w:szCs w:val="22"/>
                </w:rPr>
              </m:ctrlPr>
            </m:sub>
          </m:sSub>
        </m:oMath>
      </m:oMathPara>
    </w:p>
    <w:p>
      <w:pPr>
        <w:autoSpaceDE w:val="0"/>
        <w:autoSpaceDN w:val="0"/>
        <w:spacing w:line="300" w:lineRule="exact"/>
        <w:rPr>
          <w:rFonts w:ascii="华文楷体" w:hAnsi="华文楷体" w:eastAsia="华文楷体" w:cs="华文楷体"/>
          <w:color w:val="0000FF"/>
          <w:szCs w:val="22"/>
        </w:rPr>
      </w:pPr>
      <w:r>
        <w:rPr>
          <w:rFonts w:hint="eastAsia" w:ascii="华文楷体" w:hAnsi="华文楷体" w:eastAsia="华文楷体" w:cs="华文楷体"/>
          <w:color w:val="0000FF"/>
          <w:szCs w:val="22"/>
        </w:rPr>
        <w:t>式中：</w:t>
      </w:r>
      <w:r>
        <w:rPr>
          <w:rFonts w:ascii="楷体" w:hAnsi="楷体" w:eastAsia="楷体"/>
          <w:position w:val="-10"/>
        </w:rPr>
        <w:object>
          <v:shape id="_x0000_i1196" o:spt="75" type="#_x0000_t75" style="height:14.7pt;width:14.7pt;" o:ole="t" filled="f" o:preferrelative="t" stroked="f" coordsize="21600,21600">
            <v:path/>
            <v:fill on="f" focussize="0,0"/>
            <v:stroke on="f" joinstyle="miter"/>
            <v:imagedata r:id="rId345" o:title=""/>
            <o:lock v:ext="edit" aspectratio="t"/>
            <w10:wrap type="none"/>
            <w10:anchorlock/>
          </v:shape>
          <o:OLEObject Type="Embed" ProgID="Equation.DSMT4" ShapeID="_x0000_i1196" DrawAspect="Content" ObjectID="_1468075896" r:id="rId344">
            <o:LockedField>false</o:LockedField>
          </o:OLEObject>
        </w:object>
      </w:r>
      <w:r>
        <w:rPr>
          <w:rFonts w:hint="eastAsia" w:ascii="楷体" w:hAnsi="楷体" w:eastAsia="楷体"/>
        </w:rPr>
        <w:t>、</w:t>
      </w:r>
      <w:r>
        <w:rPr>
          <w:rFonts w:ascii="楷体" w:hAnsi="楷体" w:eastAsia="楷体"/>
          <w:position w:val="-10"/>
        </w:rPr>
        <w:object>
          <v:shape id="_x0000_i1197" o:spt="75" type="#_x0000_t75" style="height:14.7pt;width:12.5pt;" o:ole="t" filled="f" o:preferrelative="t" stroked="f" coordsize="21600,21600">
            <v:path/>
            <v:fill on="f" focussize="0,0"/>
            <v:stroke on="f" joinstyle="miter"/>
            <v:imagedata r:id="rId347" o:title=""/>
            <o:lock v:ext="edit" aspectratio="t"/>
            <w10:wrap type="none"/>
            <w10:anchorlock/>
          </v:shape>
          <o:OLEObject Type="Embed" ProgID="Equation.DSMT4" ShapeID="_x0000_i1197" DrawAspect="Content" ObjectID="_1468075897" r:id="rId346">
            <o:LockedField>false</o:LockedField>
          </o:OLEObject>
        </w:object>
      </w:r>
      <w:r>
        <w:rPr>
          <w:rFonts w:hint="eastAsia" w:ascii="楷体" w:hAnsi="楷体" w:eastAsia="楷体"/>
        </w:rPr>
        <w:t>、</w:t>
      </w:r>
      <w:r>
        <w:rPr>
          <w:rFonts w:ascii="楷体" w:hAnsi="楷体" w:eastAsia="楷体"/>
          <w:position w:val="-10"/>
        </w:rPr>
        <w:object>
          <v:shape id="_x0000_i1198" o:spt="75" type="#_x0000_t75" style="height:14.7pt;width:14.7pt;" o:ole="t" filled="f" o:preferrelative="t" stroked="f" coordsize="21600,21600">
            <v:path/>
            <v:fill on="f" focussize="0,0"/>
            <v:stroke on="f" joinstyle="miter"/>
            <v:imagedata r:id="rId349" o:title=""/>
            <o:lock v:ext="edit" aspectratio="t"/>
            <w10:wrap type="none"/>
            <w10:anchorlock/>
          </v:shape>
          <o:OLEObject Type="Embed" ProgID="Equation.DSMT4" ShapeID="_x0000_i1198" DrawAspect="Content" ObjectID="_1468075898" r:id="rId348">
            <o:LockedField>false</o:LockedField>
          </o:OLEObject>
        </w:object>
      </w:r>
      <w:r>
        <w:rPr>
          <w:rFonts w:hint="eastAsia" w:ascii="楷体" w:hAnsi="楷体" w:eastAsia="楷体"/>
        </w:rPr>
        <w:t>、</w:t>
      </w:r>
      <w:r>
        <w:rPr>
          <w:rFonts w:ascii="楷体" w:hAnsi="楷体" w:eastAsia="楷体"/>
          <w:position w:val="-10"/>
        </w:rPr>
        <w:object>
          <v:shape id="_x0000_i1199" o:spt="75" type="#_x0000_t75" style="height:14.7pt;width:12.5pt;" o:ole="t" filled="f" o:preferrelative="t" stroked="f" coordsize="21600,21600">
            <v:path/>
            <v:fill on="f" focussize="0,0"/>
            <v:stroke on="f" joinstyle="miter"/>
            <v:imagedata r:id="rId351" o:title=""/>
            <o:lock v:ext="edit" aspectratio="t"/>
            <w10:wrap type="none"/>
            <w10:anchorlock/>
          </v:shape>
          <o:OLEObject Type="Embed" ProgID="Equation.DSMT4" ShapeID="_x0000_i1199" DrawAspect="Content" ObjectID="_1468075899" r:id="rId350">
            <o:LockedField>false</o:LockedField>
          </o:OLEObject>
        </w:object>
      </w:r>
      <w:r>
        <w:rPr>
          <w:rFonts w:hint="eastAsia" w:ascii="楷体" w:hAnsi="楷体" w:eastAsia="楷体"/>
        </w:rPr>
        <w:t>、</w:t>
      </w:r>
      <w:r>
        <w:rPr>
          <w:rFonts w:ascii="楷体" w:hAnsi="楷体" w:eastAsia="楷体"/>
          <w:position w:val="-10"/>
        </w:rPr>
        <w:object>
          <v:shape id="_x0000_i1200" o:spt="75" type="#_x0000_t75" style="height:14.7pt;width:14.7pt;" o:ole="t" filled="f" o:preferrelative="t" stroked="f" coordsize="21600,21600">
            <v:path/>
            <v:fill on="f" focussize="0,0"/>
            <v:stroke on="f" joinstyle="miter"/>
            <v:imagedata r:id="rId353" o:title=""/>
            <o:lock v:ext="edit" aspectratio="t"/>
            <w10:wrap type="none"/>
            <w10:anchorlock/>
          </v:shape>
          <o:OLEObject Type="Embed" ProgID="Equation.DSMT4" ShapeID="_x0000_i1200" DrawAspect="Content" ObjectID="_1468075900" r:id="rId352">
            <o:LockedField>false</o:LockedField>
          </o:OLEObject>
        </w:object>
      </w:r>
      <w:r>
        <w:rPr>
          <w:rFonts w:hint="eastAsia" w:ascii="楷体" w:hAnsi="楷体" w:eastAsia="楷体"/>
        </w:rPr>
        <w:t>、</w:t>
      </w:r>
      <w:r>
        <w:rPr>
          <w:rFonts w:ascii="楷体" w:hAnsi="楷体" w:eastAsia="楷体"/>
          <w:position w:val="-10"/>
        </w:rPr>
        <w:object>
          <v:shape id="_x0000_i1201" o:spt="75" type="#_x0000_t75" style="height:14.7pt;width:14.7pt;" o:ole="t" filled="f" o:preferrelative="t" stroked="f" coordsize="21600,21600">
            <v:path/>
            <v:fill on="f" focussize="0,0"/>
            <v:stroke on="f" joinstyle="miter"/>
            <v:imagedata r:id="rId355" o:title=""/>
            <o:lock v:ext="edit" aspectratio="t"/>
            <w10:wrap type="none"/>
            <w10:anchorlock/>
          </v:shape>
          <o:OLEObject Type="Embed" ProgID="Equation.DSMT4" ShapeID="_x0000_i1201" DrawAspect="Content" ObjectID="_1468075901" r:id="rId354">
            <o:LockedField>false</o:LockedField>
          </o:OLEObject>
        </w:object>
      </w:r>
      <w:r>
        <w:rPr>
          <w:rFonts w:hint="eastAsia" w:ascii="华文楷体" w:hAnsi="华文楷体" w:eastAsia="华文楷体" w:cs="华文楷体"/>
          <w:color w:val="0000FF"/>
          <w:szCs w:val="22"/>
        </w:rPr>
        <w:t>分别为结构动能、结构固有模态阻尼耗能、结构滞回耗能、结构弹性应变能、结构中的消能器耗能和地震输入的能量。</w:t>
      </w:r>
    </w:p>
    <w:p>
      <w:pPr>
        <w:autoSpaceDE w:val="0"/>
        <w:autoSpaceDN w:val="0"/>
        <w:spacing w:line="300" w:lineRule="exact"/>
        <w:rPr>
          <w:rFonts w:ascii="华文楷体" w:hAnsi="华文楷体" w:eastAsia="华文楷体" w:cs="华文楷体"/>
          <w:color w:val="0000FF"/>
          <w:szCs w:val="22"/>
        </w:rPr>
      </w:pPr>
      <w:r>
        <w:rPr>
          <w:rFonts w:hint="eastAsia" w:ascii="华文楷体" w:hAnsi="华文楷体" w:eastAsia="华文楷体" w:cs="华文楷体"/>
          <w:color w:val="0000FF"/>
          <w:szCs w:val="22"/>
        </w:rPr>
        <w:t>将消能器的消能作用通过能量等效原则转换为有效线性黏滞力做功，如下式所示：</w:t>
      </w:r>
    </w:p>
    <w:p>
      <w:pPr>
        <w:autoSpaceDE w:val="0"/>
        <w:autoSpaceDN w:val="0"/>
        <w:rPr>
          <w:rFonts w:ascii="华文楷体" w:hAnsi="华文楷体" w:eastAsia="华文楷体" w:cs="华文楷体"/>
          <w:color w:val="0000FF"/>
          <w:szCs w:val="22"/>
        </w:rPr>
      </w:pPr>
      <m:oMathPara>
        <m:oMath>
          <m:sSub>
            <m:sSubPr>
              <m:ctrlPr>
                <w:rPr>
                  <w:rFonts w:ascii="Cambria Math" w:hAnsi="楷体" w:eastAsia="楷体"/>
                  <w:i/>
                  <w:szCs w:val="22"/>
                </w:rPr>
              </m:ctrlPr>
            </m:sSubPr>
            <m:e>
              <m:r>
                <m:rPr/>
                <w:rPr>
                  <w:rFonts w:ascii="Cambria Math" w:hAnsi="楷体" w:eastAsia="楷体"/>
                  <w:szCs w:val="22"/>
                </w:rPr>
                <m:t>E</m:t>
              </m:r>
              <m:ctrlPr>
                <w:rPr>
                  <w:rFonts w:ascii="Cambria Math" w:hAnsi="楷体" w:eastAsia="楷体"/>
                  <w:i/>
                  <w:szCs w:val="22"/>
                </w:rPr>
              </m:ctrlPr>
            </m:e>
            <m:sub>
              <m:r>
                <m:rPr/>
                <w:rPr>
                  <w:rFonts w:ascii="Cambria Math" w:hAnsi="楷体" w:eastAsia="楷体"/>
                  <w:szCs w:val="22"/>
                </w:rPr>
                <m:t>d</m:t>
              </m:r>
              <m:ctrlPr>
                <w:rPr>
                  <w:rFonts w:ascii="Cambria Math" w:hAnsi="楷体" w:eastAsia="楷体"/>
                  <w:i/>
                  <w:szCs w:val="22"/>
                </w:rPr>
              </m:ctrlPr>
            </m:sub>
          </m:sSub>
          <m:r>
            <m:rPr/>
            <w:rPr>
              <w:rFonts w:ascii="Cambria Math" w:hAnsi="楷体" w:eastAsia="楷体"/>
              <w:szCs w:val="22"/>
            </w:rPr>
            <m:t>=</m:t>
          </m:r>
          <m:sSub>
            <m:sSubPr>
              <m:ctrlPr>
                <w:rPr>
                  <w:rFonts w:ascii="Cambria Math" w:hAnsi="楷体" w:eastAsia="楷体"/>
                  <w:i/>
                  <w:szCs w:val="22"/>
                </w:rPr>
              </m:ctrlPr>
            </m:sSubPr>
            <m:e>
              <m:r>
                <m:rPr/>
                <w:rPr>
                  <w:rFonts w:ascii="Cambria Math" w:hAnsi="楷体" w:eastAsia="楷体"/>
                  <w:szCs w:val="22"/>
                </w:rPr>
                <m:t>E</m:t>
              </m:r>
              <m:ctrlPr>
                <w:rPr>
                  <w:rFonts w:ascii="Cambria Math" w:hAnsi="楷体" w:eastAsia="楷体"/>
                  <w:i/>
                  <w:szCs w:val="22"/>
                </w:rPr>
              </m:ctrlPr>
            </m:e>
            <m:sub>
              <m:r>
                <m:rPr/>
                <w:rPr>
                  <w:rFonts w:ascii="Cambria Math" w:hAnsi="楷体" w:eastAsia="楷体"/>
                  <w:szCs w:val="22"/>
                </w:rPr>
                <m:t>a</m:t>
              </m:r>
              <m:ctrlPr>
                <w:rPr>
                  <w:rFonts w:ascii="Cambria Math" w:hAnsi="楷体" w:eastAsia="楷体"/>
                  <w:i/>
                  <w:szCs w:val="22"/>
                </w:rPr>
              </m:ctrlPr>
            </m:sub>
          </m:sSub>
          <m:r>
            <m:rPr/>
            <w:rPr>
              <w:rFonts w:ascii="Cambria Math" w:hAnsi="Cambria Math" w:eastAsia="楷体" w:cs="Cambria Math"/>
              <w:szCs w:val="22"/>
            </w:rPr>
            <m:t>⇔</m:t>
          </m:r>
          <m:sSub>
            <m:sSubPr>
              <m:ctrlPr>
                <w:rPr>
                  <w:rFonts w:ascii="Cambria Math" w:hAnsi="楷体" w:eastAsia="楷体"/>
                  <w:i/>
                  <w:szCs w:val="22"/>
                </w:rPr>
              </m:ctrlPr>
            </m:sSubPr>
            <m:e>
              <m:r>
                <m:rPr/>
                <w:rPr>
                  <w:rFonts w:ascii="Cambria Math" w:hAnsi="楷体" w:eastAsia="楷体"/>
                  <w:szCs w:val="22"/>
                </w:rPr>
                <m:t>f</m:t>
              </m:r>
              <m:ctrlPr>
                <w:rPr>
                  <w:rFonts w:ascii="Cambria Math" w:hAnsi="楷体" w:eastAsia="楷体"/>
                  <w:i/>
                  <w:szCs w:val="22"/>
                </w:rPr>
              </m:ctrlPr>
            </m:e>
            <m:sub>
              <m:r>
                <m:rPr/>
                <w:rPr>
                  <w:rFonts w:ascii="Cambria Math" w:hAnsi="楷体" w:eastAsia="楷体"/>
                  <w:szCs w:val="22"/>
                </w:rPr>
                <m:t>d</m:t>
              </m:r>
              <m:ctrlPr>
                <w:rPr>
                  <w:rFonts w:ascii="Cambria Math" w:hAnsi="楷体" w:eastAsia="楷体"/>
                  <w:i/>
                  <w:szCs w:val="22"/>
                </w:rPr>
              </m:ctrlPr>
            </m:sub>
          </m:sSub>
          <m:d>
            <m:dPr>
              <m:ctrlPr>
                <w:rPr>
                  <w:rFonts w:ascii="Cambria Math" w:hAnsi="楷体" w:eastAsia="楷体"/>
                  <w:i/>
                  <w:szCs w:val="22"/>
                </w:rPr>
              </m:ctrlPr>
            </m:dPr>
            <m:e>
              <m:r>
                <m:rPr/>
                <w:rPr>
                  <w:rFonts w:ascii="Cambria Math" w:hAnsi="楷体" w:eastAsia="楷体"/>
                  <w:szCs w:val="22"/>
                </w:rPr>
                <m:t>x,</m:t>
              </m:r>
              <m:acc>
                <m:accPr>
                  <m:chr m:val="̇"/>
                  <m:ctrlPr>
                    <w:rPr>
                      <w:rFonts w:ascii="Cambria Math" w:hAnsi="楷体" w:eastAsia="楷体"/>
                      <w:i/>
                      <w:szCs w:val="22"/>
                    </w:rPr>
                  </m:ctrlPr>
                </m:accPr>
                <m:e>
                  <m:r>
                    <m:rPr/>
                    <w:rPr>
                      <w:rFonts w:ascii="Cambria Math" w:hAnsi="楷体" w:eastAsia="楷体"/>
                      <w:szCs w:val="22"/>
                    </w:rPr>
                    <m:t>x</m:t>
                  </m:r>
                  <m:ctrlPr>
                    <w:rPr>
                      <w:rFonts w:ascii="Cambria Math" w:hAnsi="楷体" w:eastAsia="楷体"/>
                      <w:i/>
                      <w:szCs w:val="22"/>
                    </w:rPr>
                  </m:ctrlPr>
                </m:e>
              </m:acc>
              <m:ctrlPr>
                <w:rPr>
                  <w:rFonts w:ascii="Cambria Math" w:hAnsi="Cambria Math" w:eastAsia="楷体"/>
                  <w:i/>
                  <w:szCs w:val="22"/>
                </w:rPr>
              </m:ctrlPr>
            </m:e>
          </m:d>
          <m:r>
            <m:rPr/>
            <w:rPr>
              <w:rFonts w:ascii="Cambria Math" w:hAnsi="楷体" w:eastAsia="楷体"/>
              <w:szCs w:val="22"/>
            </w:rPr>
            <m:t>=</m:t>
          </m:r>
          <m:sSub>
            <m:sSubPr>
              <m:ctrlPr>
                <w:rPr>
                  <w:rFonts w:ascii="Cambria Math" w:hAnsi="楷体" w:eastAsia="楷体"/>
                  <w:i/>
                  <w:szCs w:val="22"/>
                </w:rPr>
              </m:ctrlPr>
            </m:sSubPr>
            <m:e>
              <m:r>
                <m:rPr/>
                <w:rPr>
                  <w:rFonts w:ascii="Cambria Math" w:hAnsi="楷体" w:eastAsia="楷体"/>
                  <w:szCs w:val="22"/>
                </w:rPr>
                <m:t>c</m:t>
              </m:r>
              <m:ctrlPr>
                <w:rPr>
                  <w:rFonts w:ascii="Cambria Math" w:hAnsi="楷体" w:eastAsia="楷体"/>
                  <w:i/>
                  <w:szCs w:val="22"/>
                </w:rPr>
              </m:ctrlPr>
            </m:e>
            <m:sub>
              <m:r>
                <m:rPr/>
                <w:rPr>
                  <w:rFonts w:ascii="Cambria Math" w:hAnsi="楷体" w:eastAsia="楷体"/>
                  <w:szCs w:val="22"/>
                </w:rPr>
                <m:t>a</m:t>
              </m:r>
              <m:ctrlPr>
                <w:rPr>
                  <w:rFonts w:ascii="Cambria Math" w:hAnsi="楷体" w:eastAsia="楷体"/>
                  <w:i/>
                  <w:szCs w:val="22"/>
                </w:rPr>
              </m:ctrlPr>
            </m:sub>
          </m:sSub>
          <m:r>
            <m:rPr/>
            <w:rPr>
              <w:rFonts w:ascii="Cambria Math" w:hAnsi="楷体" w:eastAsia="楷体"/>
              <w:szCs w:val="22"/>
            </w:rPr>
            <m:t>(t)</m:t>
          </m:r>
          <m:acc>
            <m:accPr>
              <m:chr m:val="̇"/>
              <m:ctrlPr>
                <w:rPr>
                  <w:rFonts w:ascii="Cambria Math" w:hAnsi="楷体" w:eastAsia="楷体"/>
                  <w:i/>
                  <w:szCs w:val="22"/>
                </w:rPr>
              </m:ctrlPr>
            </m:accPr>
            <m:e>
              <m:r>
                <m:rPr/>
                <w:rPr>
                  <w:rFonts w:ascii="Cambria Math" w:hAnsi="楷体" w:eastAsia="楷体"/>
                  <w:szCs w:val="22"/>
                </w:rPr>
                <m:t>x</m:t>
              </m:r>
              <m:ctrlPr>
                <w:rPr>
                  <w:rFonts w:ascii="Cambria Math" w:hAnsi="楷体" w:eastAsia="楷体"/>
                  <w:i/>
                  <w:szCs w:val="22"/>
                </w:rPr>
              </m:ctrlPr>
            </m:e>
          </m:acc>
        </m:oMath>
      </m:oMathPara>
    </w:p>
    <w:p>
      <w:pPr>
        <w:autoSpaceDE w:val="0"/>
        <w:autoSpaceDN w:val="0"/>
        <w:spacing w:line="300" w:lineRule="exact"/>
        <w:rPr>
          <w:rFonts w:ascii="华文楷体" w:hAnsi="华文楷体" w:eastAsia="华文楷体" w:cs="华文楷体"/>
          <w:color w:val="0000FF"/>
          <w:szCs w:val="22"/>
        </w:rPr>
      </w:pPr>
      <w:r>
        <w:rPr>
          <w:rFonts w:hint="eastAsia" w:ascii="华文楷体" w:hAnsi="华文楷体" w:eastAsia="华文楷体" w:cs="华文楷体"/>
          <w:color w:val="0000FF"/>
          <w:szCs w:val="22"/>
        </w:rPr>
        <w:t>式中：</w:t>
      </w:r>
      <w:r>
        <w:rPr>
          <w:rFonts w:ascii="华文楷体" w:hAnsi="华文楷体" w:eastAsia="华文楷体" w:cs="华文楷体"/>
          <w:color w:val="0000FF"/>
          <w:szCs w:val="22"/>
        </w:rPr>
        <w:t xml:space="preserve"> </w:t>
      </w:r>
      <w:r>
        <w:rPr>
          <w:rFonts w:hint="eastAsia" w:ascii="华文楷体" w:hAnsi="华文楷体" w:eastAsia="华文楷体" w:cs="华文楷体"/>
          <w:color w:val="0000FF"/>
          <w:szCs w:val="22"/>
        </w:rPr>
        <w:t>为附加有效阻尼耗能。这里消能器耗能的等价效果假定存在一个等效黏滞阻尼力，其物理特性与结构的线性模态阻尼力类同，但是时间历程函数，即</w:t>
      </w:r>
      <m:oMath>
        <m:sSub>
          <m:sSubPr>
            <m:ctrlPr>
              <w:rPr>
                <w:rFonts w:ascii="Cambria Math" w:hAnsi="楷体" w:eastAsia="楷体"/>
                <w:i/>
                <w:szCs w:val="22"/>
              </w:rPr>
            </m:ctrlPr>
          </m:sSubPr>
          <m:e>
            <m:r>
              <m:rPr/>
              <w:rPr>
                <w:rFonts w:ascii="Cambria Math" w:hAnsi="楷体" w:eastAsia="楷体"/>
              </w:rPr>
              <m:t>E</m:t>
            </m:r>
            <m:ctrlPr>
              <w:rPr>
                <w:rFonts w:ascii="Cambria Math" w:hAnsi="楷体" w:eastAsia="楷体"/>
                <w:i/>
                <w:szCs w:val="22"/>
              </w:rPr>
            </m:ctrlPr>
          </m:e>
          <m:sub>
            <m:r>
              <m:rPr/>
              <w:rPr>
                <w:rFonts w:ascii="Cambria Math" w:hAnsi="楷体" w:eastAsia="楷体"/>
              </w:rPr>
              <m:t>a</m:t>
            </m:r>
            <m:ctrlPr>
              <w:rPr>
                <w:rFonts w:ascii="Cambria Math" w:hAnsi="楷体" w:eastAsia="楷体"/>
                <w:i/>
                <w:szCs w:val="22"/>
              </w:rPr>
            </m:ctrlPr>
          </m:sub>
        </m:sSub>
        <m:r>
          <m:rPr/>
          <w:rPr>
            <w:rFonts w:ascii="Cambria Math" w:hAnsi="楷体" w:eastAsia="楷体"/>
          </w:rPr>
          <m:t>=</m:t>
        </m:r>
        <m:nary>
          <m:naryPr>
            <m:ctrlPr>
              <w:rPr>
                <w:rFonts w:ascii="Cambria Math" w:hAnsi="楷体" w:eastAsia="楷体"/>
                <w:i/>
                <w:szCs w:val="22"/>
              </w:rPr>
            </m:ctrlPr>
          </m:naryPr>
          <m:sub>
            <m:r>
              <m:rPr/>
              <w:rPr>
                <w:rFonts w:ascii="Cambria Math" w:hAnsi="楷体" w:eastAsia="楷体"/>
              </w:rPr>
              <m:t>0</m:t>
            </m:r>
            <m:ctrlPr>
              <w:rPr>
                <w:rFonts w:ascii="Cambria Math" w:hAnsi="楷体" w:eastAsia="楷体"/>
                <w:i/>
                <w:szCs w:val="22"/>
              </w:rPr>
            </m:ctrlPr>
          </m:sub>
          <m:sup>
            <m:r>
              <m:rPr/>
              <w:rPr>
                <w:rFonts w:ascii="Cambria Math" w:hAnsi="楷体" w:eastAsia="楷体"/>
              </w:rPr>
              <m:t>t</m:t>
            </m:r>
            <m:ctrlPr>
              <w:rPr>
                <w:rFonts w:ascii="Cambria Math" w:hAnsi="楷体" w:eastAsia="楷体"/>
                <w:i/>
                <w:szCs w:val="22"/>
              </w:rPr>
            </m:ctrlPr>
          </m:sup>
          <m:e>
            <m:sSub>
              <m:sSubPr>
                <m:ctrlPr>
                  <w:rPr>
                    <w:rFonts w:ascii="Cambria Math" w:hAnsi="楷体" w:eastAsia="楷体"/>
                    <w:i/>
                    <w:szCs w:val="22"/>
                  </w:rPr>
                </m:ctrlPr>
              </m:sSubPr>
              <m:e>
                <m:r>
                  <m:rPr/>
                  <w:rPr>
                    <w:rFonts w:ascii="Cambria Math" w:hAnsi="楷体" w:eastAsia="楷体"/>
                  </w:rPr>
                  <m:t>c</m:t>
                </m:r>
                <m:ctrlPr>
                  <w:rPr>
                    <w:rFonts w:ascii="Cambria Math" w:hAnsi="楷体" w:eastAsia="楷体"/>
                    <w:i/>
                    <w:szCs w:val="22"/>
                  </w:rPr>
                </m:ctrlPr>
              </m:e>
              <m:sub>
                <m:r>
                  <m:rPr/>
                  <w:rPr>
                    <w:rFonts w:ascii="Cambria Math" w:hAnsi="楷体" w:eastAsia="楷体"/>
                  </w:rPr>
                  <m:t>a</m:t>
                </m:r>
                <m:ctrlPr>
                  <w:rPr>
                    <w:rFonts w:ascii="Cambria Math" w:hAnsi="楷体" w:eastAsia="楷体"/>
                    <w:i/>
                    <w:szCs w:val="22"/>
                  </w:rPr>
                </m:ctrlPr>
              </m:sub>
            </m:sSub>
            <m:r>
              <m:rPr/>
              <w:rPr>
                <w:rFonts w:ascii="Cambria Math" w:hAnsi="楷体" w:eastAsia="楷体"/>
              </w:rPr>
              <m:t>(x,</m:t>
            </m:r>
            <m:acc>
              <m:accPr>
                <m:chr m:val="̇"/>
                <m:ctrlPr>
                  <w:rPr>
                    <w:rFonts w:ascii="Cambria Math" w:hAnsi="楷体" w:eastAsia="楷体"/>
                    <w:i/>
                    <w:szCs w:val="22"/>
                  </w:rPr>
                </m:ctrlPr>
              </m:accPr>
              <m:e>
                <m:r>
                  <m:rPr/>
                  <w:rPr>
                    <w:rFonts w:ascii="Cambria Math" w:hAnsi="楷体" w:eastAsia="楷体"/>
                  </w:rPr>
                  <m:t>x</m:t>
                </m:r>
                <m:ctrlPr>
                  <w:rPr>
                    <w:rFonts w:ascii="Cambria Math" w:hAnsi="楷体" w:eastAsia="楷体"/>
                    <w:i/>
                    <w:szCs w:val="22"/>
                  </w:rPr>
                </m:ctrlPr>
              </m:e>
            </m:acc>
            <m:r>
              <m:rPr/>
              <w:rPr>
                <w:rFonts w:ascii="Cambria Math" w:hAnsi="楷体" w:eastAsia="楷体"/>
              </w:rPr>
              <m:t>,t)</m:t>
            </m:r>
            <m:acc>
              <m:accPr>
                <m:chr m:val="̇"/>
                <m:ctrlPr>
                  <w:rPr>
                    <w:rFonts w:ascii="Cambria Math" w:hAnsi="楷体" w:eastAsia="楷体"/>
                    <w:i/>
                    <w:szCs w:val="22"/>
                  </w:rPr>
                </m:ctrlPr>
              </m:accPr>
              <m:e>
                <m:r>
                  <m:rPr/>
                  <w:rPr>
                    <w:rFonts w:ascii="Cambria Math" w:hAnsi="楷体" w:eastAsia="楷体"/>
                  </w:rPr>
                  <m:t>x</m:t>
                </m:r>
                <m:ctrlPr>
                  <w:rPr>
                    <w:rFonts w:ascii="Cambria Math" w:hAnsi="楷体" w:eastAsia="楷体"/>
                    <w:i/>
                    <w:szCs w:val="22"/>
                  </w:rPr>
                </m:ctrlPr>
              </m:e>
            </m:acc>
            <m:acc>
              <m:accPr>
                <m:chr m:val="̇"/>
                <m:ctrlPr>
                  <w:rPr>
                    <w:rFonts w:ascii="Cambria Math" w:hAnsi="楷体" w:eastAsia="楷体"/>
                    <w:i/>
                    <w:szCs w:val="22"/>
                  </w:rPr>
                </m:ctrlPr>
              </m:accPr>
              <m:e>
                <m:r>
                  <m:rPr/>
                  <w:rPr>
                    <w:rFonts w:ascii="Cambria Math" w:hAnsi="楷体" w:eastAsia="楷体"/>
                  </w:rPr>
                  <m:t>x</m:t>
                </m:r>
                <m:ctrlPr>
                  <w:rPr>
                    <w:rFonts w:ascii="Cambria Math" w:hAnsi="楷体" w:eastAsia="楷体"/>
                    <w:i/>
                    <w:szCs w:val="22"/>
                  </w:rPr>
                </m:ctrlPr>
              </m:e>
            </m:acc>
            <m:r>
              <m:rPr/>
              <w:rPr>
                <w:rFonts w:ascii="Cambria Math" w:hAnsi="楷体" w:eastAsia="楷体"/>
              </w:rPr>
              <m:t>dt</m:t>
            </m:r>
            <m:ctrlPr>
              <w:rPr>
                <w:rFonts w:ascii="Cambria Math" w:hAnsi="楷体" w:eastAsia="楷体"/>
                <w:i/>
                <w:szCs w:val="22"/>
              </w:rPr>
            </m:ctrlPr>
          </m:e>
        </m:nary>
      </m:oMath>
      <w:r>
        <w:rPr>
          <w:rFonts w:ascii="华文楷体" w:hAnsi="华文楷体" w:eastAsia="华文楷体" w:cs="华文楷体"/>
          <w:color w:val="0000FF"/>
          <w:szCs w:val="22"/>
        </w:rPr>
        <w:t xml:space="preserve"> </w:t>
      </w:r>
      <w:r>
        <w:rPr>
          <w:rFonts w:hint="eastAsia" w:ascii="华文楷体" w:hAnsi="华文楷体" w:eastAsia="华文楷体" w:cs="华文楷体"/>
          <w:color w:val="0000FF"/>
          <w:szCs w:val="22"/>
        </w:rPr>
        <w:t>基本成立。阻尼系数矩阵</w:t>
      </w:r>
      <w:r>
        <w:rPr>
          <w:rFonts w:ascii="华文楷体" w:hAnsi="华文楷体" w:eastAsia="华文楷体" w:cs="华文楷体"/>
          <w:color w:val="0000FF"/>
          <w:szCs w:val="22"/>
        </w:rPr>
        <w:t xml:space="preserve">c_a (x,x </w:t>
      </w:r>
      <w:r>
        <w:rPr>
          <w:rFonts w:ascii="Times New Roman" w:hAnsi="Times New Roman" w:eastAsia="华文楷体"/>
          <w:color w:val="0000FF"/>
          <w:szCs w:val="22"/>
        </w:rPr>
        <w:t>̇</w:t>
      </w:r>
      <w:r>
        <w:rPr>
          <w:rFonts w:ascii="华文楷体" w:hAnsi="华文楷体" w:eastAsia="华文楷体" w:cs="华文楷体"/>
          <w:color w:val="0000FF"/>
          <w:szCs w:val="22"/>
        </w:rPr>
        <w:t>,t)</w:t>
      </w:r>
      <w:r>
        <w:rPr>
          <w:rFonts w:asciiTheme="minorHAnsi" w:hAnsiTheme="minorHAnsi" w:eastAsiaTheme="minorEastAsia"/>
          <w:szCs w:val="22"/>
        </w:rPr>
        <w:t xml:space="preserve"> </w:t>
      </w:r>
      <w:r>
        <w:rPr>
          <w:rFonts w:hint="eastAsia" w:ascii="华文楷体" w:hAnsi="华文楷体" w:eastAsia="华文楷体" w:cs="华文楷体"/>
          <w:color w:val="0000FF"/>
          <w:szCs w:val="22"/>
        </w:rPr>
        <w:t>为有效黏滞阻尼系数，当消能器具有非线性行为时一般应该是消能器相对位移、相对速度的函数。</w:t>
      </w:r>
    </w:p>
    <w:p>
      <w:pPr>
        <w:autoSpaceDE w:val="0"/>
        <w:autoSpaceDN w:val="0"/>
        <w:spacing w:line="300" w:lineRule="exact"/>
        <w:rPr>
          <w:rFonts w:ascii="华文楷体" w:hAnsi="华文楷体" w:eastAsia="华文楷体" w:cs="华文楷体"/>
          <w:color w:val="0000FF"/>
          <w:szCs w:val="22"/>
        </w:rPr>
      </w:pPr>
      <w:r>
        <w:rPr>
          <w:rFonts w:hint="eastAsia" w:ascii="华文楷体" w:hAnsi="华文楷体" w:eastAsia="华文楷体" w:cs="华文楷体"/>
          <w:color w:val="0000FF"/>
          <w:szCs w:val="22"/>
        </w:rPr>
        <w:t>当考察减震结构在某条地震时程输入下结构弹性状态响应，一般可认为主体结构固有阻尼比为常数，记为</w:t>
      </w:r>
      <w:r>
        <w:rPr>
          <w:rFonts w:ascii="楷体" w:hAnsi="楷体" w:eastAsia="楷体"/>
          <w:position w:val="-10"/>
        </w:rPr>
        <w:object>
          <v:shape id="_x0000_i1202" o:spt="75" type="#_x0000_t75" style="height:14.7pt;width:11.75pt;" o:ole="t" filled="f" o:preferrelative="t" stroked="f" coordsize="21600,21600">
            <v:path/>
            <v:fill on="f" focussize="0,0"/>
            <v:stroke on="f" joinstyle="miter"/>
            <v:imagedata r:id="rId357" o:title=""/>
            <o:lock v:ext="edit" aspectratio="t"/>
            <w10:wrap type="none"/>
            <w10:anchorlock/>
          </v:shape>
          <o:OLEObject Type="Embed" ProgID="Equation.DSMT4" ShapeID="_x0000_i1202" DrawAspect="Content" ObjectID="_1468075902" r:id="rId356">
            <o:LockedField>false</o:LockedField>
          </o:OLEObject>
        </w:object>
      </w:r>
      <w:r>
        <w:rPr>
          <w:rFonts w:ascii="华文楷体" w:hAnsi="华文楷体" w:eastAsia="华文楷体" w:cs="华文楷体"/>
          <w:color w:val="0000FF"/>
          <w:szCs w:val="22"/>
        </w:rPr>
        <w:t xml:space="preserve"> </w:t>
      </w:r>
      <w:r>
        <w:rPr>
          <w:rFonts w:hint="eastAsia" w:ascii="华文楷体" w:hAnsi="华文楷体" w:eastAsia="华文楷体" w:cs="华文楷体"/>
          <w:color w:val="0000FF"/>
          <w:szCs w:val="22"/>
        </w:rPr>
        <w:t>，消能器工作附加给结构的有效阻尼比记为</w:t>
      </w:r>
      <w:r>
        <w:rPr>
          <w:rFonts w:ascii="楷体" w:hAnsi="楷体" w:eastAsia="楷体"/>
          <w:position w:val="-10"/>
        </w:rPr>
        <w:object>
          <v:shape id="_x0000_i1203" o:spt="75" type="#_x0000_t75" style="height:14.7pt;width:26.45pt;" o:ole="t" filled="f" o:preferrelative="t" stroked="f" coordsize="21600,21600">
            <v:path/>
            <v:fill on="f" focussize="0,0"/>
            <v:stroke on="f" joinstyle="miter"/>
            <v:imagedata r:id="rId359" o:title=""/>
            <o:lock v:ext="edit" aspectratio="t"/>
            <w10:wrap type="none"/>
            <w10:anchorlock/>
          </v:shape>
          <o:OLEObject Type="Embed" ProgID="Equation.DSMT4" ShapeID="_x0000_i1203" DrawAspect="Content" ObjectID="_1468075903" r:id="rId358">
            <o:LockedField>false</o:LockedField>
          </o:OLEObject>
        </w:object>
      </w:r>
      <w:r>
        <w:rPr>
          <w:rFonts w:hint="eastAsia" w:ascii="华文楷体" w:hAnsi="华文楷体" w:eastAsia="华文楷体" w:cs="华文楷体"/>
          <w:color w:val="0000FF"/>
          <w:szCs w:val="22"/>
        </w:rPr>
        <w:t>，简单起见可认为它仅是时间的函数。因为阻尼比计算公式中结构势能对于</w:t>
      </w:r>
      <w:r>
        <w:rPr>
          <w:rFonts w:ascii="楷体" w:hAnsi="楷体" w:eastAsia="楷体"/>
          <w:position w:val="-10"/>
        </w:rPr>
        <w:object>
          <v:shape id="_x0000_i1204" o:spt="75" type="#_x0000_t75" style="height:14.7pt;width:11.75pt;" o:ole="t" filled="f" o:preferrelative="t" stroked="f" coordsize="21600,21600">
            <v:path/>
            <v:fill on="f" focussize="0,0"/>
            <v:stroke on="f" joinstyle="miter"/>
            <v:imagedata r:id="rId357" o:title=""/>
            <o:lock v:ext="edit" aspectratio="t"/>
            <w10:wrap type="none"/>
            <w10:anchorlock/>
          </v:shape>
          <o:OLEObject Type="Embed" ProgID="Equation.DSMT4" ShapeID="_x0000_i1204" DrawAspect="Content" ObjectID="_1468075904" r:id="rId360">
            <o:LockedField>false</o:LockedField>
          </o:OLEObject>
        </w:object>
      </w:r>
      <w:r>
        <w:rPr>
          <w:rFonts w:hint="eastAsia" w:ascii="华文楷体" w:hAnsi="华文楷体" w:eastAsia="华文楷体" w:cs="华文楷体"/>
          <w:color w:val="0000FF"/>
          <w:szCs w:val="22"/>
        </w:rPr>
        <w:t>与</w:t>
      </w:r>
      <w:r>
        <w:rPr>
          <w:rFonts w:ascii="楷体" w:hAnsi="楷体" w:eastAsia="楷体"/>
          <w:position w:val="-10"/>
        </w:rPr>
        <w:object>
          <v:shape id="_x0000_i1205" o:spt="75" type="#_x0000_t75" style="height:14.7pt;width:25.7pt;" o:ole="t" filled="f" o:preferrelative="t" stroked="f" coordsize="21600,21600">
            <v:path/>
            <v:fill on="f" focussize="0,0"/>
            <v:stroke on="f" joinstyle="miter"/>
            <v:imagedata r:id="rId362" o:title=""/>
            <o:lock v:ext="edit" aspectratio="t"/>
            <w10:wrap type="none"/>
            <w10:anchorlock/>
          </v:shape>
          <o:OLEObject Type="Embed" ProgID="Equation.DSMT4" ShapeID="_x0000_i1205" DrawAspect="Content" ObjectID="_1468075905" r:id="rId361">
            <o:LockedField>false</o:LockedField>
          </o:OLEObject>
        </w:object>
      </w:r>
      <w:r>
        <w:rPr>
          <w:rFonts w:hint="eastAsia" w:ascii="华文楷体" w:hAnsi="华文楷体" w:eastAsia="华文楷体" w:cs="华文楷体"/>
          <w:color w:val="0000FF"/>
          <w:szCs w:val="22"/>
        </w:rPr>
        <w:t>均是一样的，故下式存在：</w:t>
      </w:r>
    </w:p>
    <w:p>
      <w:pPr>
        <w:autoSpaceDE w:val="0"/>
        <w:autoSpaceDN w:val="0"/>
        <w:spacing w:line="240" w:lineRule="atLeast"/>
        <w:rPr>
          <w:rFonts w:ascii="华文楷体" w:hAnsi="华文楷体" w:eastAsia="华文楷体" w:cs="华文楷体"/>
          <w:color w:val="0000FF"/>
          <w:szCs w:val="22"/>
        </w:rPr>
      </w:pPr>
      <w:r>
        <w:rPr>
          <w:rFonts w:ascii="华文楷体" w:hAnsi="华文楷体" w:eastAsia="华文楷体" w:cs="华文楷体"/>
          <w:color w:val="0000FF"/>
          <w:szCs w:val="22"/>
        </w:rPr>
        <w:t xml:space="preserve">                        </w:t>
      </w:r>
      <w:r>
        <w:rPr>
          <w:rFonts w:ascii="楷体" w:hAnsi="楷体" w:eastAsia="楷体"/>
          <w:position w:val="-26"/>
          <w:szCs w:val="22"/>
        </w:rPr>
        <w:object>
          <v:shape id="_x0000_i1206" o:spt="75" type="#_x0000_t75" style="height:30.1pt;width:144.75pt;" o:ole="t" filled="f" o:preferrelative="t" stroked="f" coordsize="21600,21600">
            <v:path/>
            <v:fill on="f" focussize="0,0"/>
            <v:stroke on="f" joinstyle="miter"/>
            <v:imagedata r:id="rId364" o:title=""/>
            <o:lock v:ext="edit" aspectratio="t"/>
            <w10:wrap type="none"/>
            <w10:anchorlock/>
          </v:shape>
          <o:OLEObject Type="Embed" ProgID="Equation.DSMT4" ShapeID="_x0000_i1206" DrawAspect="Content" ObjectID="_1468075906" r:id="rId363">
            <o:LockedField>false</o:LockedField>
          </o:OLEObject>
        </w:object>
      </w:r>
      <w:r>
        <w:rPr>
          <w:rFonts w:ascii="楷体" w:hAnsi="楷体" w:eastAsia="楷体"/>
          <w:szCs w:val="22"/>
        </w:rPr>
        <w:t xml:space="preserve">                            </w:t>
      </w:r>
    </w:p>
    <w:p>
      <w:pPr>
        <w:autoSpaceDE w:val="0"/>
        <w:autoSpaceDN w:val="0"/>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当消能器耗散的能量和结构固有模态阻尼耗散的累积能量函数已知时，可以根据结构固有模态阻尼的大小确定消能器带给体系的附加有效阻尼比。</w:t>
      </w:r>
    </w:p>
    <w:p>
      <w:pPr>
        <w:autoSpaceDE w:val="0"/>
        <w:autoSpaceDN w:val="0"/>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方法</w:t>
      </w:r>
      <w:r>
        <w:rPr>
          <w:rFonts w:ascii="华文楷体" w:hAnsi="华文楷体" w:eastAsia="华文楷体" w:cs="华文楷体"/>
          <w:color w:val="0000FF"/>
          <w:szCs w:val="22"/>
        </w:rPr>
        <w:t>3</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自由振动衰减法则根据自由振动衰减理论，将消能结构顶点自由振动衰减看作单自由度体系自由振动，根据单自由度体系阻尼比与振幅关系计算得到结构的阻尼比如下式：</w:t>
      </w:r>
    </w:p>
    <w:p>
      <w:pPr>
        <w:adjustRightInd/>
        <w:spacing w:line="360" w:lineRule="auto"/>
        <w:ind w:right="420" w:firstLine="3255" w:firstLineChars="1550"/>
        <w:rPr>
          <w:rFonts w:ascii="华文楷体" w:hAnsi="华文楷体" w:eastAsia="华文楷体" w:cs="华文楷体"/>
          <w:color w:val="0000FF"/>
          <w:szCs w:val="20"/>
        </w:rPr>
      </w:pPr>
      <w:r>
        <w:rPr>
          <w:rFonts w:ascii="华文楷体" w:hAnsi="华文楷体" w:eastAsia="华文楷体" w:cs="华文楷体"/>
          <w:color w:val="0000FF"/>
          <w:szCs w:val="20"/>
        </w:rPr>
        <w:object>
          <v:shape id="_x0000_i1207" o:spt="75" type="#_x0000_t75" style="height:26.45pt;width:97.7pt;" o:ole="t" filled="f" o:preferrelative="t" stroked="f" coordsize="21600,21600">
            <v:path/>
            <v:fill on="f" focussize="0,0"/>
            <v:stroke on="f" joinstyle="miter"/>
            <v:imagedata r:id="rId343" o:title=""/>
            <o:lock v:ext="edit" aspectratio="t"/>
            <w10:wrap type="none"/>
            <w10:anchorlock/>
          </v:shape>
          <o:OLEObject Type="Embed" ProgID="Equation.DSMT4" ShapeID="_x0000_i1207" DrawAspect="Content" ObjectID="_1468075907" r:id="rId365">
            <o:LockedField>false</o:LockedField>
          </o:OLEObject>
        </w:object>
      </w:r>
      <w:r>
        <w:rPr>
          <w:rFonts w:ascii="华文楷体" w:hAnsi="华文楷体" w:eastAsia="华文楷体" w:cs="华文楷体"/>
          <w:color w:val="0000FF"/>
          <w:szCs w:val="20"/>
        </w:rPr>
        <w:t xml:space="preserve">  </w:t>
      </w:r>
      <w:r>
        <w:rPr>
          <w:rFonts w:hint="eastAsia" w:ascii="华文楷体" w:hAnsi="华文楷体" w:eastAsia="华文楷体" w:cs="华文楷体"/>
          <w:color w:val="0000FF"/>
          <w:szCs w:val="20"/>
        </w:rPr>
        <w:t>　　　　　</w:t>
      </w:r>
      <w:r>
        <w:rPr>
          <w:rFonts w:ascii="华文楷体" w:hAnsi="华文楷体" w:eastAsia="华文楷体" w:cs="华文楷体"/>
          <w:color w:val="0000FF"/>
          <w:szCs w:val="20"/>
        </w:rPr>
        <w:t xml:space="preserve">          </w:t>
      </w:r>
    </w:p>
    <w:p>
      <w:pPr>
        <w:adjustRightInd/>
        <w:spacing w:line="240" w:lineRule="auto"/>
        <w:ind w:firstLine="420" w:firstLineChars="200"/>
        <w:rPr>
          <w:rFonts w:ascii="华文楷体" w:hAnsi="华文楷体" w:eastAsia="华文楷体" w:cs="华文楷体"/>
          <w:color w:val="0000FF"/>
          <w:szCs w:val="20"/>
        </w:rPr>
      </w:pPr>
      <w:r>
        <w:rPr>
          <w:rFonts w:hint="eastAsia" w:ascii="华文楷体" w:hAnsi="华文楷体" w:eastAsia="华文楷体" w:cs="华文楷体"/>
          <w:color w:val="0000FF"/>
          <w:szCs w:val="20"/>
        </w:rPr>
        <w:t>式中，δ</w:t>
      </w:r>
      <w:r>
        <w:rPr>
          <w:rFonts w:ascii="华文楷体" w:hAnsi="华文楷体" w:eastAsia="华文楷体" w:cs="华文楷体"/>
          <w:color w:val="0000FF"/>
          <w:szCs w:val="20"/>
        </w:rPr>
        <w:t>m</w:t>
      </w:r>
      <w:r>
        <w:rPr>
          <w:rFonts w:hint="eastAsia" w:ascii="华文楷体" w:hAnsi="华文楷体" w:eastAsia="华文楷体" w:cs="华文楷体"/>
          <w:color w:val="0000FF"/>
          <w:szCs w:val="20"/>
        </w:rPr>
        <w:t>为振幅对数衰减率δ</w:t>
      </w:r>
      <w:r>
        <w:rPr>
          <w:rFonts w:ascii="华文楷体" w:hAnsi="华文楷体" w:eastAsia="华文楷体" w:cs="华文楷体"/>
          <w:color w:val="0000FF"/>
          <w:szCs w:val="20"/>
        </w:rPr>
        <w:t>m=ln(sn/sn+m)</w:t>
      </w:r>
      <w:r>
        <w:rPr>
          <w:rFonts w:hint="eastAsia" w:ascii="华文楷体" w:hAnsi="华文楷体" w:eastAsia="华文楷体" w:cs="华文楷体"/>
          <w:color w:val="0000FF"/>
          <w:szCs w:val="20"/>
        </w:rPr>
        <w:t>，</w:t>
      </w:r>
      <w:r>
        <w:rPr>
          <w:rFonts w:ascii="华文楷体" w:hAnsi="华文楷体" w:eastAsia="华文楷体" w:cs="华文楷体"/>
          <w:color w:val="0000FF"/>
          <w:szCs w:val="20"/>
        </w:rPr>
        <w:t>sn</w:t>
      </w:r>
      <w:r>
        <w:rPr>
          <w:rFonts w:hint="eastAsia" w:ascii="华文楷体" w:hAnsi="华文楷体" w:eastAsia="华文楷体" w:cs="华文楷体"/>
          <w:color w:val="0000FF"/>
          <w:szCs w:val="20"/>
        </w:rPr>
        <w:t>和</w:t>
      </w:r>
      <w:r>
        <w:rPr>
          <w:rFonts w:ascii="华文楷体" w:hAnsi="华文楷体" w:eastAsia="华文楷体" w:cs="华文楷体"/>
          <w:color w:val="0000FF"/>
          <w:szCs w:val="20"/>
        </w:rPr>
        <w:t>sn+m</w:t>
      </w:r>
      <w:r>
        <w:rPr>
          <w:rFonts w:hint="eastAsia" w:ascii="华文楷体" w:hAnsi="华文楷体" w:eastAsia="华文楷体" w:cs="华文楷体"/>
          <w:color w:val="0000FF"/>
          <w:szCs w:val="20"/>
        </w:rPr>
        <w:t>分别为第</w:t>
      </w:r>
      <w:r>
        <w:rPr>
          <w:rFonts w:ascii="华文楷体" w:hAnsi="华文楷体" w:eastAsia="华文楷体" w:cs="华文楷体"/>
          <w:color w:val="0000FF"/>
          <w:szCs w:val="20"/>
        </w:rPr>
        <w:t>n</w:t>
      </w:r>
      <w:r>
        <w:rPr>
          <w:rFonts w:hint="eastAsia" w:ascii="华文楷体" w:hAnsi="华文楷体" w:eastAsia="华文楷体" w:cs="华文楷体"/>
          <w:color w:val="0000FF"/>
          <w:szCs w:val="20"/>
        </w:rPr>
        <w:t>和第</w:t>
      </w:r>
      <w:r>
        <w:rPr>
          <w:rFonts w:ascii="华文楷体" w:hAnsi="华文楷体" w:eastAsia="华文楷体" w:cs="华文楷体"/>
          <w:color w:val="0000FF"/>
          <w:szCs w:val="20"/>
        </w:rPr>
        <w:t>n+m</w:t>
      </w:r>
      <w:r>
        <w:rPr>
          <w:rFonts w:hint="eastAsia" w:ascii="华文楷体" w:hAnsi="华文楷体" w:eastAsia="华文楷体" w:cs="华文楷体"/>
          <w:color w:val="0000FF"/>
          <w:szCs w:val="20"/>
        </w:rPr>
        <w:t>周期振幅，</w:t>
      </w:r>
      <w:r>
        <w:rPr>
          <w:rFonts w:ascii="华文楷体" w:hAnsi="华文楷体" w:eastAsia="华文楷体" w:cs="华文楷体"/>
          <w:color w:val="0000FF"/>
          <w:szCs w:val="20"/>
        </w:rPr>
        <w:t>m</w:t>
      </w:r>
      <w:r>
        <w:rPr>
          <w:rFonts w:hint="eastAsia" w:ascii="华文楷体" w:hAnsi="华文楷体" w:eastAsia="华文楷体" w:cs="华文楷体"/>
          <w:color w:val="0000FF"/>
          <w:szCs w:val="20"/>
        </w:rPr>
        <w:t>为两振幅间相隔周期数，ω和ω</w:t>
      </w:r>
      <w:r>
        <w:rPr>
          <w:rFonts w:ascii="华文楷体" w:hAnsi="华文楷体" w:eastAsia="华文楷体" w:cs="华文楷体"/>
          <w:color w:val="0000FF"/>
          <w:szCs w:val="20"/>
        </w:rPr>
        <w:t>D</w:t>
      </w:r>
      <w:r>
        <w:rPr>
          <w:rFonts w:hint="eastAsia" w:ascii="华文楷体" w:hAnsi="华文楷体" w:eastAsia="华文楷体" w:cs="华文楷体"/>
          <w:color w:val="0000FF"/>
          <w:szCs w:val="20"/>
        </w:rPr>
        <w:t>为无阻尼和有阻尼振动的自振频率。</w:t>
      </w:r>
    </w:p>
    <w:p>
      <w:pPr>
        <w:adjustRightInd/>
        <w:spacing w:line="240" w:lineRule="auto"/>
        <w:ind w:firstLine="420" w:firstLineChars="200"/>
        <w:rPr>
          <w:rFonts w:ascii="华文楷体" w:hAnsi="华文楷体" w:eastAsia="华文楷体" w:cs="华文楷体"/>
          <w:color w:val="0000FF"/>
          <w:szCs w:val="20"/>
        </w:rPr>
      </w:pPr>
      <w:r>
        <w:rPr>
          <w:rFonts w:hint="eastAsia" w:ascii="华文楷体" w:hAnsi="华文楷体" w:eastAsia="华文楷体" w:cs="华文楷体"/>
          <w:color w:val="0000FF"/>
          <w:szCs w:val="20"/>
        </w:rPr>
        <w:t>计算过程为：</w:t>
      </w:r>
    </w:p>
    <w:p>
      <w:pPr>
        <w:adjustRightInd/>
        <w:spacing w:line="240" w:lineRule="auto"/>
        <w:ind w:firstLine="420" w:firstLineChars="200"/>
        <w:rPr>
          <w:rFonts w:ascii="华文楷体" w:hAnsi="华文楷体" w:eastAsia="华文楷体" w:cs="华文楷体"/>
          <w:color w:val="0000FF"/>
          <w:szCs w:val="20"/>
        </w:rPr>
      </w:pPr>
      <w:r>
        <w:rPr>
          <w:rFonts w:ascii="华文楷体" w:hAnsi="华文楷体" w:eastAsia="华文楷体" w:cs="华文楷体"/>
          <w:color w:val="0000FF"/>
          <w:szCs w:val="20"/>
        </w:rPr>
        <w:t>(1)</w:t>
      </w:r>
      <w:r>
        <w:rPr>
          <w:rFonts w:hint="eastAsia" w:ascii="华文楷体" w:hAnsi="华文楷体" w:eastAsia="华文楷体" w:cs="华文楷体"/>
          <w:color w:val="0000FF"/>
          <w:szCs w:val="20"/>
        </w:rPr>
        <w:t>将采用消能减震加固的结构自身阻尼比设为</w:t>
      </w:r>
      <w:r>
        <w:rPr>
          <w:rFonts w:ascii="华文楷体" w:hAnsi="华文楷体" w:eastAsia="华文楷体" w:cs="华文楷体"/>
          <w:color w:val="0000FF"/>
          <w:szCs w:val="20"/>
        </w:rPr>
        <w:t>0</w:t>
      </w:r>
      <w:r>
        <w:rPr>
          <w:rFonts w:hint="eastAsia" w:ascii="华文楷体" w:hAnsi="华文楷体" w:eastAsia="华文楷体" w:cs="华文楷体"/>
          <w:color w:val="0000FF"/>
          <w:szCs w:val="20"/>
        </w:rPr>
        <w:t>，对结构施加一个瞬时激励，计入消能器非线性变形，计算采用消能减震加固的结构振幅自由振动衰减时程（图</w:t>
      </w:r>
      <w:r>
        <w:rPr>
          <w:rFonts w:ascii="华文楷体" w:hAnsi="华文楷体" w:eastAsia="华文楷体" w:cs="华文楷体"/>
          <w:color w:val="0000FF"/>
          <w:szCs w:val="20"/>
        </w:rPr>
        <w:t>10</w:t>
      </w:r>
      <w:r>
        <w:rPr>
          <w:rFonts w:hint="eastAsia" w:ascii="华文楷体" w:hAnsi="华文楷体" w:eastAsia="华文楷体" w:cs="华文楷体"/>
          <w:color w:val="0000FF"/>
          <w:szCs w:val="20"/>
        </w:rPr>
        <w:t>）。</w:t>
      </w:r>
    </w:p>
    <w:p>
      <w:pPr>
        <w:adjustRightInd/>
        <w:spacing w:line="240" w:lineRule="auto"/>
        <w:ind w:firstLine="420" w:firstLineChars="200"/>
        <w:rPr>
          <w:rFonts w:ascii="华文楷体" w:hAnsi="华文楷体" w:eastAsia="华文楷体" w:cs="华文楷体"/>
          <w:color w:val="0000FF"/>
          <w:szCs w:val="20"/>
        </w:rPr>
      </w:pPr>
      <w:r>
        <w:rPr>
          <w:rFonts w:ascii="华文楷体" w:hAnsi="华文楷体" w:eastAsia="华文楷体" w:cs="华文楷体"/>
          <w:color w:val="0000FF"/>
          <w:szCs w:val="20"/>
        </w:rPr>
        <w:t>(2)</w:t>
      </w:r>
      <w:r>
        <w:rPr>
          <w:rFonts w:hint="eastAsia" w:ascii="华文楷体" w:hAnsi="华文楷体" w:eastAsia="华文楷体" w:cs="华文楷体"/>
          <w:color w:val="0000FF"/>
          <w:szCs w:val="20"/>
        </w:rPr>
        <w:t>将结构振幅值代入式（</w:t>
      </w:r>
      <w:r>
        <w:rPr>
          <w:rFonts w:ascii="华文楷体" w:hAnsi="华文楷体" w:eastAsia="华文楷体" w:cs="华文楷体"/>
          <w:color w:val="0000FF"/>
          <w:szCs w:val="20"/>
        </w:rPr>
        <w:t>19</w:t>
      </w:r>
      <w:r>
        <w:rPr>
          <w:rFonts w:hint="eastAsia" w:ascii="华文楷体" w:hAnsi="华文楷体" w:eastAsia="华文楷体" w:cs="华文楷体"/>
          <w:color w:val="0000FF"/>
          <w:szCs w:val="20"/>
        </w:rPr>
        <w:t>），计算不同振幅下采用消能减震加固的结构的阻尼比，得到采用消能减震技术的结构阻尼比</w:t>
      </w:r>
      <w:r>
        <w:rPr>
          <w:rFonts w:ascii="华文楷体" w:hAnsi="华文楷体" w:eastAsia="华文楷体" w:cs="华文楷体"/>
          <w:color w:val="0000FF"/>
          <w:szCs w:val="20"/>
        </w:rPr>
        <w:t>-</w:t>
      </w:r>
      <w:r>
        <w:rPr>
          <w:rFonts w:hint="eastAsia" w:ascii="华文楷体" w:hAnsi="华文楷体" w:eastAsia="华文楷体" w:cs="华文楷体"/>
          <w:color w:val="0000FF"/>
          <w:szCs w:val="20"/>
        </w:rPr>
        <w:t>振幅曲线</w:t>
      </w:r>
      <w:r>
        <w:rPr>
          <w:rFonts w:ascii="华文楷体" w:hAnsi="华文楷体" w:eastAsia="华文楷体" w:cs="华文楷体"/>
          <w:color w:val="0000FF"/>
          <w:szCs w:val="20"/>
        </w:rPr>
        <w:t>,</w:t>
      </w:r>
      <w:r>
        <w:rPr>
          <w:rFonts w:hint="eastAsia" w:ascii="华文楷体" w:hAnsi="华文楷体" w:eastAsia="华文楷体" w:cs="华文楷体"/>
          <w:color w:val="0000FF"/>
          <w:szCs w:val="20"/>
        </w:rPr>
        <w:t>如图</w:t>
      </w:r>
      <w:r>
        <w:rPr>
          <w:rFonts w:ascii="华文楷体" w:hAnsi="华文楷体" w:eastAsia="华文楷体" w:cs="华文楷体"/>
          <w:color w:val="0000FF"/>
          <w:szCs w:val="20"/>
        </w:rPr>
        <w:t>11</w:t>
      </w:r>
      <w:r>
        <w:rPr>
          <w:rFonts w:hint="eastAsia" w:ascii="华文楷体" w:hAnsi="华文楷体" w:eastAsia="华文楷体" w:cs="华文楷体"/>
          <w:color w:val="0000FF"/>
          <w:szCs w:val="20"/>
        </w:rPr>
        <w:t>。</w:t>
      </w:r>
    </w:p>
    <w:p>
      <w:pPr>
        <w:adjustRightInd/>
        <w:spacing w:line="240" w:lineRule="auto"/>
        <w:ind w:firstLine="420" w:firstLineChars="200"/>
        <w:rPr>
          <w:rFonts w:ascii="华文楷体" w:hAnsi="华文楷体" w:eastAsia="华文楷体" w:cs="华文楷体"/>
          <w:color w:val="0000FF"/>
          <w:szCs w:val="20"/>
        </w:rPr>
      </w:pPr>
      <w:r>
        <w:rPr>
          <w:rFonts w:ascii="华文楷体" w:hAnsi="华文楷体" w:eastAsia="华文楷体" w:cs="华文楷体"/>
          <w:color w:val="0000FF"/>
          <w:szCs w:val="20"/>
        </w:rPr>
        <w:t>(3)</w:t>
      </w:r>
      <w:r>
        <w:rPr>
          <w:rFonts w:hint="eastAsia" w:ascii="华文楷体" w:hAnsi="华文楷体" w:eastAsia="华文楷体" w:cs="华文楷体"/>
          <w:color w:val="0000FF"/>
          <w:szCs w:val="20"/>
        </w:rPr>
        <w:t>估算多遇地震下结构顶点振幅，在阻尼比</w:t>
      </w:r>
      <w:r>
        <w:rPr>
          <w:rFonts w:ascii="华文楷体" w:hAnsi="华文楷体" w:eastAsia="华文楷体" w:cs="华文楷体"/>
          <w:color w:val="0000FF"/>
          <w:szCs w:val="20"/>
        </w:rPr>
        <w:t>-</w:t>
      </w:r>
      <w:r>
        <w:rPr>
          <w:rFonts w:hint="eastAsia" w:ascii="华文楷体" w:hAnsi="华文楷体" w:eastAsia="华文楷体" w:cs="华文楷体"/>
          <w:color w:val="0000FF"/>
          <w:szCs w:val="20"/>
        </w:rPr>
        <w:t>振幅曲线中确定结构的阻尼比，即为消能器附加阻尼比。</w:t>
      </w:r>
    </w:p>
    <w:tbl>
      <w:tblPr>
        <w:tblStyle w:val="27"/>
        <w:tblW w:w="0" w:type="auto"/>
        <w:jc w:val="center"/>
        <w:tblLayout w:type="autofit"/>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rPr>
          <w:jc w:val="center"/>
        </w:trPr>
        <w:tc>
          <w:tcPr>
            <w:tcW w:w="4261" w:type="dxa"/>
            <w:vAlign w:val="center"/>
          </w:tcPr>
          <w:p>
            <w:pPr>
              <w:adjustRightInd/>
              <w:spacing w:line="360" w:lineRule="auto"/>
              <w:ind w:firstLine="420" w:firstLineChars="200"/>
              <w:rPr>
                <w:rFonts w:ascii="华文楷体" w:hAnsi="华文楷体" w:eastAsia="华文楷体" w:cs="华文楷体"/>
                <w:color w:val="0000FF"/>
                <w:szCs w:val="20"/>
              </w:rPr>
            </w:pPr>
            <w:r>
              <w:rPr>
                <w:rFonts w:ascii="华文楷体" w:hAnsi="华文楷体" w:eastAsia="华文楷体" w:cs="华文楷体"/>
                <w:color w:val="0000FF"/>
                <w:szCs w:val="20"/>
              </w:rPr>
              <w:object>
                <v:shape id="_x0000_i1208" o:spt="75" type="#_x0000_t75" style="height:90.35pt;width:112.4pt;" o:ole="t" filled="f" o:preferrelative="t" stroked="f" coordsize="21600,21600">
                  <v:path/>
                  <v:fill on="f" focussize="0,0"/>
                  <v:stroke on="f" joinstyle="miter"/>
                  <v:imagedata r:id="rId367" o:title=""/>
                  <o:lock v:ext="edit" aspectratio="t"/>
                  <w10:wrap type="none"/>
                  <w10:anchorlock/>
                </v:shape>
                <o:OLEObject Type="Embed" ProgID="Origin50.Graph" ShapeID="_x0000_i1208" DrawAspect="Content" ObjectID="_1468075908" r:id="rId366">
                  <o:LockedField>false</o:LockedField>
                </o:OLEObject>
              </w:object>
            </w:r>
          </w:p>
          <w:p>
            <w:pPr>
              <w:adjustRightInd/>
              <w:spacing w:line="360" w:lineRule="auto"/>
              <w:ind w:firstLine="420" w:firstLineChars="200"/>
              <w:rPr>
                <w:rFonts w:ascii="华文楷体" w:hAnsi="华文楷体" w:eastAsia="华文楷体" w:cs="华文楷体"/>
                <w:color w:val="0000FF"/>
                <w:szCs w:val="20"/>
              </w:rPr>
            </w:pPr>
            <w:r>
              <w:rPr>
                <w:rFonts w:hint="eastAsia" w:ascii="华文楷体" w:hAnsi="华文楷体" w:eastAsia="华文楷体" w:cs="华文楷体"/>
                <w:color w:val="0000FF"/>
                <w:szCs w:val="20"/>
              </w:rPr>
              <w:t>图</w:t>
            </w:r>
            <w:r>
              <w:rPr>
                <w:rFonts w:ascii="华文楷体" w:hAnsi="华文楷体" w:eastAsia="华文楷体" w:cs="华文楷体"/>
                <w:color w:val="0000FF"/>
                <w:szCs w:val="20"/>
              </w:rPr>
              <w:t xml:space="preserve">8.3.2a </w:t>
            </w:r>
            <w:r>
              <w:rPr>
                <w:rFonts w:hint="eastAsia" w:ascii="华文楷体" w:hAnsi="华文楷体" w:eastAsia="华文楷体" w:cs="华文楷体"/>
                <w:color w:val="0000FF"/>
                <w:szCs w:val="20"/>
              </w:rPr>
              <w:t>自由振动衰减时程</w:t>
            </w:r>
          </w:p>
        </w:tc>
        <w:tc>
          <w:tcPr>
            <w:tcW w:w="4261" w:type="dxa"/>
            <w:vAlign w:val="center"/>
          </w:tcPr>
          <w:p>
            <w:pPr>
              <w:adjustRightInd/>
              <w:spacing w:line="360" w:lineRule="auto"/>
              <w:ind w:firstLine="420" w:firstLineChars="200"/>
              <w:rPr>
                <w:rFonts w:ascii="华文楷体" w:hAnsi="华文楷体" w:eastAsia="华文楷体" w:cs="华文楷体"/>
                <w:color w:val="0000FF"/>
                <w:szCs w:val="20"/>
              </w:rPr>
            </w:pPr>
            <w:r>
              <w:rPr>
                <w:rFonts w:ascii="华文楷体" w:hAnsi="华文楷体" w:eastAsia="华文楷体" w:cs="华文楷体"/>
                <w:color w:val="0000FF"/>
                <w:szCs w:val="20"/>
              </w:rPr>
              <w:object>
                <v:shape id="_x0000_i1209" o:spt="75" type="#_x0000_t75" style="height:90.35pt;width:112.4pt;" o:ole="t" filled="f" o:preferrelative="t" stroked="f" coordsize="21600,21600">
                  <v:path/>
                  <v:fill on="f" focussize="0,0"/>
                  <v:stroke on="f" joinstyle="miter"/>
                  <v:imagedata r:id="rId369" o:title=""/>
                  <o:lock v:ext="edit" aspectratio="t"/>
                  <w10:wrap type="none"/>
                  <w10:anchorlock/>
                </v:shape>
                <o:OLEObject Type="Embed" ProgID="Origin50.Graph" ShapeID="_x0000_i1209" DrawAspect="Content" ObjectID="_1468075909" r:id="rId368">
                  <o:LockedField>false</o:LockedField>
                </o:OLEObject>
              </w:object>
            </w:r>
          </w:p>
          <w:p>
            <w:pPr>
              <w:adjustRightInd/>
              <w:spacing w:line="360" w:lineRule="auto"/>
              <w:ind w:firstLine="420" w:firstLineChars="200"/>
              <w:rPr>
                <w:rFonts w:ascii="华文楷体" w:hAnsi="华文楷体" w:eastAsia="华文楷体" w:cs="华文楷体"/>
                <w:color w:val="0000FF"/>
                <w:szCs w:val="20"/>
              </w:rPr>
            </w:pPr>
            <w:r>
              <w:rPr>
                <w:rFonts w:hint="eastAsia" w:ascii="华文楷体" w:hAnsi="华文楷体" w:eastAsia="华文楷体" w:cs="华文楷体"/>
                <w:color w:val="0000FF"/>
                <w:szCs w:val="20"/>
              </w:rPr>
              <w:t>图</w:t>
            </w:r>
            <w:r>
              <w:rPr>
                <w:rFonts w:ascii="华文楷体" w:hAnsi="华文楷体" w:eastAsia="华文楷体" w:cs="华文楷体"/>
                <w:color w:val="0000FF"/>
                <w:szCs w:val="20"/>
              </w:rPr>
              <w:t xml:space="preserve">8.3.2b </w:t>
            </w:r>
            <w:r>
              <w:rPr>
                <w:rFonts w:hint="eastAsia" w:ascii="华文楷体" w:hAnsi="华文楷体" w:eastAsia="华文楷体" w:cs="华文楷体"/>
                <w:color w:val="0000FF"/>
                <w:szCs w:val="20"/>
              </w:rPr>
              <w:t>阻尼比</w:t>
            </w:r>
            <w:r>
              <w:rPr>
                <w:rFonts w:ascii="华文楷体" w:hAnsi="华文楷体" w:eastAsia="华文楷体" w:cs="华文楷体"/>
                <w:color w:val="0000FF"/>
                <w:szCs w:val="20"/>
              </w:rPr>
              <w:t>-</w:t>
            </w:r>
            <w:r>
              <w:rPr>
                <w:rFonts w:hint="eastAsia" w:ascii="华文楷体" w:hAnsi="华文楷体" w:eastAsia="华文楷体" w:cs="华文楷体"/>
                <w:color w:val="0000FF"/>
                <w:szCs w:val="20"/>
              </w:rPr>
              <w:t>振幅曲线</w:t>
            </w:r>
          </w:p>
        </w:tc>
      </w:tr>
    </w:tbl>
    <w:p>
      <w:pPr>
        <w:pStyle w:val="167"/>
        <w:numPr>
          <w:ilvl w:val="0"/>
          <w:numId w:val="0"/>
        </w:numPr>
        <w:rPr>
          <w:rFonts w:ascii="华文楷体" w:hAnsi="华文楷体" w:eastAsia="华文楷体" w:cs="华文楷体"/>
          <w:color w:val="FF0000"/>
          <w:kern w:val="2"/>
        </w:rPr>
      </w:pPr>
      <w:r>
        <w:rPr>
          <w:rFonts w:hint="eastAsia" w:ascii="华文楷体" w:hAnsi="华文楷体" w:eastAsia="华文楷体" w:cs="华文楷体"/>
          <w:color w:val="FF0000"/>
          <w:kern w:val="2"/>
        </w:rPr>
        <w:t>理论分析表明：方法1有效阻尼比计算方法是根据结构在简谐激励下发生共振时的稳态响应得到的，具有一定的近似性。当然在附加有效阻尼比计算值不大的情况下，误差较小，可以满足工程精度的要求。而该分析方法在消能减震结构自振周期与场地卓越周期相差较大时，不准确，特别是对于长周期建筑，附加阻尼比偏大，结果是偏于不安全的；</w:t>
      </w:r>
    </w:p>
    <w:p>
      <w:pPr>
        <w:pStyle w:val="167"/>
        <w:numPr>
          <w:ilvl w:val="0"/>
          <w:numId w:val="0"/>
        </w:numPr>
        <w:rPr>
          <w:rFonts w:ascii="华文楷体" w:hAnsi="华文楷体" w:eastAsia="华文楷体" w:cs="华文楷体"/>
          <w:color w:val="FF0000"/>
          <w:kern w:val="2"/>
        </w:rPr>
      </w:pPr>
      <w:r>
        <w:rPr>
          <w:rFonts w:hint="eastAsia" w:ascii="华文楷体" w:hAnsi="华文楷体" w:eastAsia="华文楷体" w:cs="华文楷体"/>
          <w:color w:val="FF0000"/>
          <w:kern w:val="2"/>
        </w:rPr>
        <w:t>方法2是基于模态耗能的有效阻尼比计算方法，其能体现在地震动激励作用下，附加有效阻尼比随时间变化的时变性，其物理意义明确、计算过程简单，计算精度不受工程经验约束，可以运用于任何一类非线性消能器，可以用于长周期消能减震结构附加阻尼比的计算。</w:t>
      </w:r>
    </w:p>
    <w:p>
      <w:pPr>
        <w:pStyle w:val="167"/>
        <w:numPr>
          <w:ilvl w:val="0"/>
          <w:numId w:val="0"/>
        </w:numPr>
        <w:rPr>
          <w:rFonts w:ascii="华文楷体" w:hAnsi="华文楷体" w:eastAsia="华文楷体" w:cs="华文楷体"/>
          <w:color w:val="FF0000"/>
          <w:kern w:val="2"/>
        </w:rPr>
      </w:pPr>
      <w:r>
        <w:rPr>
          <w:rFonts w:hint="eastAsia" w:ascii="华文楷体" w:hAnsi="华文楷体" w:eastAsia="华文楷体" w:cs="华文楷体"/>
          <w:color w:val="FF0000"/>
          <w:kern w:val="2"/>
        </w:rPr>
        <w:t>方法3有效阻尼比计算方法是由线性粘滞阻尼假定得到，理论上该方法仅对附加线性黏滞消能器的消能减震结构附加有效阻尼比计算适用；当应用于安装其它类型消能器情形时，需要使用者具有一定的工程经验判断计算值的合理性。</w:t>
      </w:r>
    </w:p>
    <w:p>
      <w:pPr>
        <w:pStyle w:val="167"/>
      </w:pPr>
      <w:r>
        <w:rPr>
          <w:rFonts w:hint="eastAsia"/>
        </w:rPr>
        <w:t>采用振型分解反应谱分析时，结构有效阻尼比可采用附加阻尼比的迭代方法计算。</w:t>
      </w:r>
    </w:p>
    <w:p>
      <w:pPr>
        <w:pStyle w:val="167"/>
        <w:rPr>
          <w:color w:val="FF0000"/>
        </w:rPr>
      </w:pPr>
      <w:r>
        <w:rPr>
          <w:rFonts w:hint="eastAsia"/>
          <w:color w:val="FF0000"/>
        </w:rPr>
        <w:t>采用非线性时程分析时，结构等效阻尼比也可采用结构总阻尼比的迭代修正方法计算。可按下述步骤计算结构的总阻尼比和消能器的参数：</w:t>
      </w:r>
    </w:p>
    <w:p>
      <w:pPr>
        <w:adjustRightInd/>
        <w:spacing w:line="240" w:lineRule="auto"/>
        <w:ind w:firstLine="210" w:firstLineChars="100"/>
        <w:rPr>
          <w:rFonts w:ascii="Times New Roman" w:hAnsi="Times New Roman"/>
          <w:color w:val="FF0000"/>
        </w:rPr>
      </w:pPr>
      <w:r>
        <w:rPr>
          <w:rFonts w:ascii="Times New Roman" w:hAnsi="Times New Roman"/>
          <w:color w:val="FF0000"/>
        </w:rPr>
        <w:t xml:space="preserve">1  </w:t>
      </w:r>
      <w:r>
        <w:rPr>
          <w:rFonts w:hint="eastAsia" w:ascii="Times New Roman" w:hAnsi="Times New Roman"/>
          <w:color w:val="FF0000"/>
        </w:rPr>
        <w:t>假定各个消能器的设计参数</w:t>
      </w:r>
      <w:r>
        <w:rPr>
          <w:rFonts w:ascii="Times New Roman" w:hAnsi="Times New Roman"/>
          <w:color w:val="FF0000"/>
        </w:rPr>
        <w:t>[</w:t>
      </w:r>
      <w:r>
        <w:rPr>
          <w:rFonts w:hint="eastAsia" w:ascii="Times New Roman" w:hAnsi="Times New Roman"/>
          <w:color w:val="FF0000"/>
        </w:rPr>
        <w:t>如（</w:t>
      </w:r>
      <w:r>
        <w:rPr>
          <w:rFonts w:ascii="Times New Roman" w:hAnsi="Times New Roman"/>
          <w:color w:val="FF0000"/>
        </w:rPr>
        <w:t>K</w:t>
      </w:r>
      <w:r>
        <w:rPr>
          <w:rFonts w:ascii="Times New Roman" w:hAnsi="Times New Roman"/>
          <w:color w:val="FF0000"/>
          <w:vertAlign w:val="subscript"/>
        </w:rPr>
        <w:t>eff</w:t>
      </w:r>
      <w:r>
        <w:rPr>
          <w:rFonts w:hint="eastAsia" w:ascii="Times New Roman" w:hAnsi="Times New Roman"/>
          <w:color w:val="FF0000"/>
        </w:rPr>
        <w:t>）</w:t>
      </w:r>
      <w:r>
        <w:rPr>
          <w:rFonts w:ascii="Times New Roman" w:hAnsi="Times New Roman"/>
          <w:color w:val="FF0000"/>
          <w:vertAlign w:val="subscript"/>
        </w:rPr>
        <w:t>j</w:t>
      </w:r>
      <w:r>
        <w:rPr>
          <w:rFonts w:hint="eastAsia" w:ascii="Times New Roman" w:hAnsi="Times New Roman"/>
          <w:color w:val="FF0000"/>
        </w:rPr>
        <w:t>，</w:t>
      </w:r>
      <w:r>
        <w:rPr>
          <w:rFonts w:ascii="Times New Roman" w:hAnsi="Times New Roman"/>
          <w:color w:val="FF0000"/>
        </w:rPr>
        <w:t>C</w:t>
      </w:r>
      <w:r>
        <w:rPr>
          <w:rFonts w:ascii="Times New Roman" w:hAnsi="Times New Roman"/>
          <w:color w:val="FF0000"/>
          <w:vertAlign w:val="subscript"/>
        </w:rPr>
        <w:t>j</w:t>
      </w:r>
      <w:r>
        <w:rPr>
          <w:rFonts w:ascii="Times New Roman" w:hAnsi="Times New Roman"/>
          <w:color w:val="FF0000"/>
        </w:rPr>
        <w:t>]</w:t>
      </w:r>
      <w:r>
        <w:rPr>
          <w:rFonts w:hint="eastAsia" w:ascii="Times New Roman" w:hAnsi="Times New Roman"/>
          <w:color w:val="FF0000"/>
        </w:rPr>
        <w:t>，采用非线性时程分析法进行结构分析。</w:t>
      </w:r>
    </w:p>
    <w:p>
      <w:pPr>
        <w:adjustRightInd/>
        <w:spacing w:line="240" w:lineRule="auto"/>
        <w:ind w:firstLine="210" w:firstLineChars="100"/>
        <w:rPr>
          <w:rFonts w:ascii="Times New Roman" w:hAnsi="Times New Roman"/>
          <w:color w:val="FF0000"/>
        </w:rPr>
      </w:pPr>
      <w:r>
        <w:rPr>
          <w:rFonts w:ascii="Times New Roman" w:hAnsi="Times New Roman"/>
          <w:color w:val="FF0000"/>
        </w:rPr>
        <w:t xml:space="preserve">2  </w:t>
      </w:r>
      <w:r>
        <w:rPr>
          <w:rFonts w:hint="eastAsia" w:ascii="Times New Roman" w:hAnsi="Times New Roman"/>
          <w:color w:val="FF0000"/>
        </w:rPr>
        <w:t>经结构分析可得第</w:t>
      </w:r>
      <w:r>
        <w:rPr>
          <w:rFonts w:ascii="Times New Roman" w:hAnsi="Times New Roman"/>
          <w:color w:val="FF0000"/>
        </w:rPr>
        <w:t>i</w:t>
      </w:r>
      <w:r>
        <w:rPr>
          <w:rFonts w:hint="eastAsia" w:ascii="Times New Roman" w:hAnsi="Times New Roman"/>
          <w:color w:val="FF0000"/>
        </w:rPr>
        <w:t>楼层的水平剪力最大值</w:t>
      </w:r>
      <w:r>
        <w:rPr>
          <w:rFonts w:ascii="Times New Roman" w:hAnsi="Times New Roman"/>
          <w:color w:val="FF0000"/>
        </w:rPr>
        <w:t>F</w:t>
      </w:r>
      <w:r>
        <w:rPr>
          <w:rFonts w:ascii="Times New Roman" w:hAnsi="Times New Roman"/>
          <w:color w:val="FF0000"/>
          <w:vertAlign w:val="subscript"/>
        </w:rPr>
        <w:t>i</w:t>
      </w:r>
      <w:r>
        <w:rPr>
          <w:rFonts w:hint="eastAsia" w:ascii="Times New Roman" w:hAnsi="Times New Roman"/>
          <w:color w:val="FF0000"/>
        </w:rPr>
        <w:t>、第</w:t>
      </w:r>
      <w:r>
        <w:rPr>
          <w:rFonts w:ascii="Times New Roman" w:hAnsi="Times New Roman"/>
          <w:color w:val="FF0000"/>
        </w:rPr>
        <w:t>j</w:t>
      </w:r>
      <w:r>
        <w:rPr>
          <w:rFonts w:hint="eastAsia" w:ascii="Times New Roman" w:hAnsi="Times New Roman"/>
          <w:color w:val="FF0000"/>
        </w:rPr>
        <w:t>个消能器的最大阻尼力</w:t>
      </w:r>
      <w:r>
        <w:rPr>
          <w:rFonts w:ascii="Times New Roman" w:hAnsi="Times New Roman"/>
          <w:color w:val="FF0000"/>
        </w:rPr>
        <w:t>F</w:t>
      </w:r>
      <w:r>
        <w:rPr>
          <w:rFonts w:ascii="Times New Roman" w:hAnsi="Times New Roman"/>
          <w:color w:val="FF0000"/>
          <w:vertAlign w:val="subscript"/>
        </w:rPr>
        <w:t>djmax</w:t>
      </w:r>
      <w:r>
        <w:rPr>
          <w:rFonts w:hint="eastAsia" w:ascii="Times New Roman" w:hAnsi="Times New Roman"/>
          <w:color w:val="FF0000"/>
        </w:rPr>
        <w:t>及最大阻尼力对应的相对位移</w:t>
      </w:r>
      <w:r>
        <w:rPr>
          <w:rFonts w:ascii="Times New Roman" w:hAnsi="Times New Roman"/>
          <w:color w:val="FF0000"/>
        </w:rPr>
        <w:t>Δu</w:t>
      </w:r>
      <w:r>
        <w:rPr>
          <w:rFonts w:ascii="Times New Roman" w:hAnsi="Times New Roman"/>
          <w:color w:val="FF0000"/>
          <w:vertAlign w:val="subscript"/>
        </w:rPr>
        <w:t>dj</w:t>
      </w:r>
      <w:r>
        <w:rPr>
          <w:rFonts w:hint="eastAsia" w:ascii="Times New Roman" w:hAnsi="Times New Roman"/>
          <w:color w:val="FF0000"/>
        </w:rPr>
        <w:t>。</w:t>
      </w:r>
    </w:p>
    <w:p>
      <w:pPr>
        <w:adjustRightInd/>
        <w:spacing w:line="240" w:lineRule="auto"/>
        <w:ind w:firstLine="210" w:firstLineChars="100"/>
        <w:rPr>
          <w:rFonts w:ascii="Times New Roman" w:hAnsi="Times New Roman"/>
          <w:color w:val="FF0000"/>
        </w:rPr>
      </w:pPr>
      <w:r>
        <w:rPr>
          <w:rFonts w:ascii="Times New Roman" w:hAnsi="Times New Roman"/>
          <w:color w:val="FF0000"/>
        </w:rPr>
        <w:t xml:space="preserve">3  </w:t>
      </w:r>
      <w:r>
        <w:rPr>
          <w:rFonts w:hint="eastAsia" w:ascii="Times New Roman" w:hAnsi="Times New Roman"/>
          <w:color w:val="FF0000"/>
        </w:rPr>
        <w:t>消能器附加给结构的等效刚度（</w:t>
      </w:r>
      <w:r>
        <w:rPr>
          <w:rFonts w:ascii="Times New Roman" w:hAnsi="Times New Roman"/>
          <w:color w:val="FF0000"/>
        </w:rPr>
        <w:t>K</w:t>
      </w:r>
      <w:r>
        <w:rPr>
          <w:rFonts w:ascii="Times New Roman" w:hAnsi="Times New Roman"/>
          <w:color w:val="FF0000"/>
          <w:vertAlign w:val="subscript"/>
        </w:rPr>
        <w:t>eff</w:t>
      </w:r>
      <w:r>
        <w:rPr>
          <w:rFonts w:hint="eastAsia" w:ascii="Times New Roman" w:hAnsi="Times New Roman"/>
          <w:color w:val="FF0000"/>
        </w:rPr>
        <w:t>）</w:t>
      </w:r>
      <w:r>
        <w:rPr>
          <w:rFonts w:ascii="Times New Roman" w:hAnsi="Times New Roman"/>
          <w:color w:val="FF0000"/>
          <w:vertAlign w:val="subscript"/>
        </w:rPr>
        <w:t>j</w:t>
      </w:r>
      <w:r>
        <w:rPr>
          <w:rFonts w:hint="eastAsia" w:ascii="Times New Roman" w:hAnsi="Times New Roman"/>
          <w:color w:val="FF0000"/>
        </w:rPr>
        <w:t>，可按式（</w:t>
      </w:r>
      <w:r>
        <w:rPr>
          <w:rFonts w:ascii="Times New Roman" w:hAnsi="Times New Roman"/>
          <w:color w:val="FF0000"/>
        </w:rPr>
        <w:t>8.3.4-1</w:t>
      </w:r>
      <w:r>
        <w:rPr>
          <w:rFonts w:hint="eastAsia" w:ascii="Times New Roman" w:hAnsi="Times New Roman"/>
          <w:color w:val="FF0000"/>
        </w:rPr>
        <w:t>）进行计算，消能器附加给结构的等效阻尼比</w:t>
      </w:r>
      <w:r>
        <w:rPr>
          <w:rFonts w:ascii="Times New Roman" w:hAnsi="Times New Roman"/>
          <w:color w:val="FF0000"/>
        </w:rPr>
        <w:t>ζ</w:t>
      </w:r>
      <w:r>
        <w:rPr>
          <w:rFonts w:ascii="Times New Roman" w:hAnsi="Times New Roman"/>
          <w:color w:val="FF0000"/>
          <w:vertAlign w:val="subscript"/>
        </w:rPr>
        <w:t>a</w:t>
      </w:r>
      <w:r>
        <w:rPr>
          <w:rFonts w:hint="eastAsia" w:ascii="Times New Roman" w:hAnsi="Times New Roman"/>
          <w:color w:val="FF0000"/>
        </w:rPr>
        <w:t>，可按式（</w:t>
      </w:r>
      <w:r>
        <w:rPr>
          <w:rFonts w:ascii="Times New Roman" w:hAnsi="Times New Roman"/>
          <w:color w:val="FF0000"/>
        </w:rPr>
        <w:t>8.3.4-2</w:t>
      </w:r>
      <w:r>
        <w:rPr>
          <w:rFonts w:hint="eastAsia" w:ascii="Times New Roman" w:hAnsi="Times New Roman"/>
          <w:color w:val="FF0000"/>
        </w:rPr>
        <w:t>）进行计算，结构总阻尼比</w:t>
      </w:r>
      <w:r>
        <w:rPr>
          <w:rFonts w:ascii="Times New Roman" w:hAnsi="Times New Roman"/>
          <w:color w:val="FF0000"/>
        </w:rPr>
        <w:t>ζ</w:t>
      </w:r>
      <w:r>
        <w:rPr>
          <w:rFonts w:hint="eastAsia" w:ascii="Times New Roman" w:hAnsi="Times New Roman"/>
          <w:color w:val="FF0000"/>
        </w:rPr>
        <w:t>，可按式（</w:t>
      </w:r>
      <w:r>
        <w:rPr>
          <w:rFonts w:ascii="Times New Roman" w:hAnsi="Times New Roman"/>
          <w:color w:val="FF0000"/>
        </w:rPr>
        <w:t>8.3.4-3</w:t>
      </w:r>
      <w:r>
        <w:rPr>
          <w:rFonts w:hint="eastAsia" w:ascii="Times New Roman" w:hAnsi="Times New Roman"/>
          <w:color w:val="FF0000"/>
        </w:rPr>
        <w:t>）计算。</w:t>
      </w:r>
    </w:p>
    <w:p>
      <w:pPr>
        <w:pStyle w:val="115"/>
        <w:rPr>
          <w:color w:val="FF0000"/>
        </w:rPr>
      </w:pPr>
      <w:r>
        <w:rPr>
          <w:color w:val="FF0000"/>
        </w:rPr>
        <w:tab/>
      </w:r>
      <w:r>
        <w:rPr>
          <w:rFonts w:eastAsia="黑体" w:asciiTheme="minorHAnsi" w:hAnsiTheme="minorHAnsi"/>
          <w:color w:val="FF0000"/>
          <w:position w:val="-30"/>
          <w:szCs w:val="24"/>
        </w:rPr>
        <w:object>
          <v:shape id="_x0000_i1210" o:spt="75" type="#_x0000_t75" style="height:33.8pt;width:56.55pt;" o:ole="t" filled="f" o:preferrelative="t" stroked="f" coordsize="21600,21600">
            <v:path/>
            <v:fill on="f" focussize="0,0"/>
            <v:stroke on="f" joinstyle="miter"/>
            <v:imagedata r:id="rId371" o:title=""/>
            <o:lock v:ext="edit" aspectratio="t"/>
            <w10:wrap type="none"/>
            <w10:anchorlock/>
          </v:shape>
          <o:OLEObject Type="Embed" ProgID="Equation.DSMT4" ShapeID="_x0000_i1210" DrawAspect="Content" ObjectID="_1468075910" r:id="rId370">
            <o:LockedField>false</o:LockedField>
          </o:OLEObject>
        </w:object>
      </w:r>
      <w:r>
        <w:rPr>
          <w:rFonts w:ascii="微软雅黑" w:hAnsi="微软雅黑" w:eastAsia="微软雅黑"/>
          <w:color w:val="FF0000"/>
        </w:rPr>
        <w:tab/>
      </w:r>
      <w:r>
        <w:rPr>
          <w:color w:val="FF0000"/>
        </w:rPr>
        <w:t>(8.3.4-1)</w:t>
      </w:r>
    </w:p>
    <w:p>
      <w:pPr>
        <w:pStyle w:val="115"/>
        <w:rPr>
          <w:color w:val="FF0000"/>
        </w:rPr>
      </w:pPr>
      <w:r>
        <w:rPr>
          <w:color w:val="FF0000"/>
        </w:rPr>
        <w:tab/>
      </w:r>
      <w:r>
        <w:rPr>
          <w:rFonts w:eastAsia="黑体" w:asciiTheme="minorHAnsi" w:hAnsiTheme="minorHAnsi"/>
          <w:color w:val="FF0000"/>
          <w:position w:val="-28"/>
          <w:szCs w:val="24"/>
        </w:rPr>
        <w:object>
          <v:shape id="_x0000_i1211" o:spt="75" type="#_x0000_t75" style="height:30.85pt;width:44.8pt;" o:ole="t" filled="f" o:preferrelative="t" stroked="f" coordsize="21600,21600">
            <v:path/>
            <v:fill on="f" focussize="0,0"/>
            <v:stroke on="f" joinstyle="miter"/>
            <v:imagedata r:id="rId373" o:title=""/>
            <o:lock v:ext="edit" aspectratio="t"/>
            <w10:wrap type="none"/>
            <w10:anchorlock/>
          </v:shape>
          <o:OLEObject Type="Embed" ProgID="Equation.DSMT4" ShapeID="_x0000_i1211" DrawAspect="Content" ObjectID="_1468075911" r:id="rId372">
            <o:LockedField>false</o:LockedField>
          </o:OLEObject>
        </w:object>
      </w:r>
      <w:r>
        <w:rPr>
          <w:rFonts w:ascii="微软雅黑" w:hAnsi="微软雅黑" w:eastAsia="微软雅黑"/>
          <w:color w:val="FF0000"/>
        </w:rPr>
        <w:tab/>
      </w:r>
      <w:r>
        <w:rPr>
          <w:color w:val="FF0000"/>
        </w:rPr>
        <w:t>(8.3.4-2)</w:t>
      </w:r>
    </w:p>
    <w:p>
      <w:pPr>
        <w:pStyle w:val="115"/>
        <w:rPr>
          <w:color w:val="FF0000"/>
        </w:rPr>
      </w:pPr>
      <w:r>
        <w:rPr>
          <w:color w:val="FF0000"/>
        </w:rPr>
        <w:tab/>
      </w:r>
      <w:r>
        <w:rPr>
          <w:rFonts w:ascii="Times New Roman" w:hAnsi="Times New Roman" w:eastAsia="仿宋_GB2312"/>
          <w:color w:val="FF0000"/>
          <w:position w:val="-10"/>
        </w:rPr>
        <w:object>
          <v:shape id="_x0000_i1212" o:spt="75" type="#_x0000_t75" style="height:17.65pt;width:37.45pt;" o:ole="t" filled="f" o:preferrelative="t" stroked="f" coordsize="21600,21600">
            <v:path/>
            <v:fill on="f" focussize="0,0"/>
            <v:stroke on="f" joinstyle="miter"/>
            <v:imagedata r:id="rId375" o:title=""/>
            <o:lock v:ext="edit" aspectratio="t"/>
            <w10:wrap type="none"/>
            <w10:anchorlock/>
          </v:shape>
          <o:OLEObject Type="Embed" ProgID="Equation.DSMT4" ShapeID="_x0000_i1212" DrawAspect="Content" ObjectID="_1468075912" r:id="rId374">
            <o:LockedField>false</o:LockedField>
          </o:OLEObject>
        </w:object>
      </w:r>
      <w:r>
        <w:rPr>
          <w:rFonts w:ascii="微软雅黑" w:hAnsi="微软雅黑" w:eastAsia="微软雅黑"/>
          <w:color w:val="FF0000"/>
        </w:rPr>
        <w:tab/>
      </w:r>
      <w:r>
        <w:rPr>
          <w:color w:val="FF0000"/>
        </w:rPr>
        <w:t>(8.3.4-3)</w:t>
      </w:r>
    </w:p>
    <w:p>
      <w:pPr>
        <w:adjustRightInd/>
        <w:spacing w:line="240" w:lineRule="auto"/>
        <w:rPr>
          <w:rFonts w:ascii="Times New Roman" w:hAnsi="Times New Roman"/>
          <w:color w:val="FF0000"/>
        </w:rPr>
      </w:pPr>
      <w:r>
        <w:rPr>
          <w:rFonts w:ascii="Times New Roman" w:hAnsi="Times New Roman"/>
          <w:color w:val="FF0000"/>
        </w:rPr>
        <w:t xml:space="preserve">4  </w:t>
      </w:r>
      <w:r>
        <w:rPr>
          <w:rFonts w:hint="eastAsia" w:ascii="Times New Roman" w:hAnsi="Times New Roman"/>
          <w:color w:val="FF0000"/>
        </w:rPr>
        <w:t>将计算得到的结构总阻尼比及步骤</w:t>
      </w:r>
      <w:r>
        <w:rPr>
          <w:rFonts w:ascii="Times New Roman" w:hAnsi="Times New Roman"/>
          <w:color w:val="FF0000"/>
        </w:rPr>
        <w:t>3</w:t>
      </w:r>
      <w:r>
        <w:rPr>
          <w:rFonts w:hint="eastAsia" w:ascii="Times New Roman" w:hAnsi="Times New Roman"/>
          <w:color w:val="FF0000"/>
        </w:rPr>
        <w:t>计算得到的消能器附加等效刚度代入计算模型中，进行时程分析，经结构分析可得第</w:t>
      </w:r>
      <w:r>
        <w:rPr>
          <w:rFonts w:ascii="Times New Roman" w:hAnsi="Times New Roman"/>
          <w:color w:val="FF0000"/>
        </w:rPr>
        <w:t>i</w:t>
      </w:r>
      <w:r>
        <w:rPr>
          <w:rFonts w:hint="eastAsia" w:ascii="Times New Roman" w:hAnsi="Times New Roman"/>
          <w:color w:val="FF0000"/>
        </w:rPr>
        <w:t>楼层的水平剪力最大值</w:t>
      </w:r>
      <m:oMath>
        <m:sSubSup>
          <m:sSubSupPr>
            <m:ctrlPr>
              <w:rPr>
                <w:rFonts w:ascii="Cambria Math" w:hAnsi="Cambria Math"/>
                <w:color w:val="FF0000"/>
              </w:rPr>
            </m:ctrlPr>
          </m:sSubSupPr>
          <m:e>
            <m:r>
              <m:rPr/>
              <w:rPr>
                <w:rFonts w:ascii="Cambria Math" w:hAnsi="Cambria Math"/>
                <w:color w:val="FF0000"/>
              </w:rPr>
              <m:t>F</m:t>
            </m:r>
            <m:ctrlPr>
              <w:rPr>
                <w:rFonts w:ascii="Cambria Math" w:hAnsi="Cambria Math"/>
                <w:color w:val="FF0000"/>
              </w:rPr>
            </m:ctrlPr>
          </m:e>
          <m:sub>
            <m:r>
              <m:rPr/>
              <w:rPr>
                <w:rFonts w:ascii="Cambria Math" w:hAnsi="Cambria Math"/>
                <w:color w:val="FF0000"/>
              </w:rPr>
              <m:t>i</m:t>
            </m:r>
            <m:ctrlPr>
              <w:rPr>
                <w:rFonts w:ascii="Cambria Math" w:hAnsi="Cambria Math"/>
                <w:color w:val="FF0000"/>
              </w:rPr>
            </m:ctrlPr>
          </m:sub>
          <m:sup>
            <m:r>
              <m:rPr>
                <m:sty m:val="p"/>
              </m:rPr>
              <w:rPr>
                <w:rFonts w:hint="eastAsia" w:ascii="Cambria Math" w:hAnsi="Cambria Math"/>
                <w:color w:val="FF0000"/>
              </w:rPr>
              <m:t>'</m:t>
            </m:r>
            <m:ctrlPr>
              <w:rPr>
                <w:rFonts w:ascii="Cambria Math" w:hAnsi="Cambria Math"/>
                <w:color w:val="FF0000"/>
              </w:rPr>
            </m:ctrlPr>
          </m:sup>
        </m:sSubSup>
      </m:oMath>
      <w:r>
        <w:rPr>
          <w:rFonts w:hint="eastAsia" w:ascii="Times New Roman" w:hAnsi="Times New Roman"/>
          <w:color w:val="FF0000"/>
        </w:rPr>
        <w:t>。</w:t>
      </w:r>
    </w:p>
    <w:p>
      <w:pPr>
        <w:adjustRightInd/>
        <w:spacing w:line="240" w:lineRule="auto"/>
        <w:rPr>
          <w:rFonts w:ascii="Times New Roman" w:hAnsi="Times New Roman"/>
          <w:color w:val="FF0000"/>
        </w:rPr>
      </w:pPr>
      <w:r>
        <w:rPr>
          <w:rFonts w:ascii="Times New Roman" w:hAnsi="Times New Roman"/>
          <w:color w:val="FF0000"/>
        </w:rPr>
        <w:t xml:space="preserve">5  </w:t>
      </w:r>
      <w:r>
        <w:rPr>
          <w:rFonts w:hint="eastAsia" w:ascii="Times New Roman" w:hAnsi="Times New Roman"/>
          <w:color w:val="FF0000"/>
        </w:rPr>
        <w:t>将步骤</w:t>
      </w:r>
      <w:r>
        <w:rPr>
          <w:rFonts w:ascii="Times New Roman" w:hAnsi="Times New Roman"/>
          <w:color w:val="FF0000"/>
        </w:rPr>
        <w:t>4</w:t>
      </w:r>
      <w:r>
        <w:rPr>
          <w:rFonts w:hint="eastAsia" w:ascii="Times New Roman" w:hAnsi="Times New Roman"/>
          <w:color w:val="FF0000"/>
        </w:rPr>
        <w:t>计算得到的楼层水平剪力及步骤</w:t>
      </w:r>
      <w:r>
        <w:rPr>
          <w:rFonts w:ascii="Times New Roman" w:hAnsi="Times New Roman"/>
          <w:color w:val="FF0000"/>
        </w:rPr>
        <w:t>2</w:t>
      </w:r>
      <w:r>
        <w:rPr>
          <w:rFonts w:hint="eastAsia" w:ascii="Times New Roman" w:hAnsi="Times New Roman"/>
          <w:color w:val="FF0000"/>
        </w:rPr>
        <w:t>得到的楼层水平剪力，按下式进行第</w:t>
      </w:r>
      <w:r>
        <w:rPr>
          <w:rFonts w:ascii="Times New Roman" w:hAnsi="Times New Roman"/>
          <w:color w:val="FF0000"/>
        </w:rPr>
        <w:t>i</w:t>
      </w:r>
      <w:r>
        <w:rPr>
          <w:rFonts w:hint="eastAsia" w:ascii="Times New Roman" w:hAnsi="Times New Roman"/>
          <w:color w:val="FF0000"/>
        </w:rPr>
        <w:t>楼层水平剪力误差计算：</w:t>
      </w:r>
    </w:p>
    <w:p>
      <w:pPr>
        <w:pStyle w:val="115"/>
        <w:rPr>
          <w:color w:val="FF0000"/>
        </w:rPr>
      </w:pPr>
      <w:r>
        <w:rPr>
          <w:color w:val="FF0000"/>
        </w:rPr>
        <w:tab/>
      </w:r>
      <w:r>
        <w:rPr>
          <w:rFonts w:asciiTheme="minorHAnsi" w:hAnsiTheme="minorHAnsi" w:eastAsiaTheme="minorEastAsia"/>
          <w:color w:val="FF0000"/>
          <w:position w:val="-28"/>
          <w:szCs w:val="22"/>
        </w:rPr>
        <w:object>
          <v:shape id="_x0000_i1213" o:spt="75" type="#_x0000_t75" style="height:37.45pt;width:87.45pt;" o:ole="t" filled="f" o:preferrelative="t" stroked="f" coordsize="21600,21600">
            <v:path/>
            <v:fill on="f" focussize="0,0"/>
            <v:stroke on="f" joinstyle="miter"/>
            <v:imagedata r:id="rId377" o:title=""/>
            <o:lock v:ext="edit" aspectratio="t"/>
            <w10:wrap type="none"/>
            <w10:anchorlock/>
          </v:shape>
          <o:OLEObject Type="Embed" ProgID="Equation.DSMT4" ShapeID="_x0000_i1213" DrawAspect="Content" ObjectID="_1468075913" r:id="rId376">
            <o:LockedField>false</o:LockedField>
          </o:OLEObject>
        </w:object>
      </w:r>
      <w:r>
        <w:rPr>
          <w:rFonts w:ascii="微软雅黑" w:hAnsi="微软雅黑" w:eastAsia="微软雅黑"/>
          <w:color w:val="FF0000"/>
        </w:rPr>
        <w:tab/>
      </w:r>
      <w:r>
        <w:rPr>
          <w:color w:val="FF0000"/>
        </w:rPr>
        <w:t>(8.3.4-4)</w:t>
      </w:r>
    </w:p>
    <w:p>
      <w:pPr>
        <w:adjustRightInd/>
        <w:spacing w:line="240" w:lineRule="auto"/>
        <w:rPr>
          <w:rFonts w:ascii="Times New Roman" w:hAnsi="Times New Roman"/>
          <w:color w:val="FF0000"/>
        </w:rPr>
      </w:pPr>
      <w:r>
        <w:rPr>
          <w:rFonts w:hint="eastAsia" w:ascii="Times New Roman" w:hAnsi="Times New Roman"/>
          <w:color w:val="FF0000"/>
        </w:rPr>
        <w:t>确定第</w:t>
      </w:r>
      <w:r>
        <w:rPr>
          <w:rFonts w:ascii="Times New Roman" w:hAnsi="Times New Roman"/>
          <w:color w:val="FF0000"/>
        </w:rPr>
        <w:t>i</w:t>
      </w:r>
      <w:r>
        <w:rPr>
          <w:rFonts w:hint="eastAsia" w:ascii="Times New Roman" w:hAnsi="Times New Roman"/>
          <w:color w:val="FF0000"/>
        </w:rPr>
        <w:t>楼层水平剪力误差最大的楼层</w:t>
      </w:r>
      <w:r>
        <w:rPr>
          <w:rFonts w:ascii="Times New Roman" w:hAnsi="Times New Roman"/>
          <w:color w:val="FF0000"/>
        </w:rPr>
        <w:t>i</w:t>
      </w:r>
      <w:r>
        <w:rPr>
          <w:rFonts w:hint="eastAsia" w:ascii="Times New Roman" w:hAnsi="Times New Roman"/>
          <w:color w:val="FF0000"/>
        </w:rPr>
        <w:t>。</w:t>
      </w:r>
    </w:p>
    <w:p>
      <w:pPr>
        <w:pStyle w:val="115"/>
        <w:rPr>
          <w:color w:val="FF0000"/>
        </w:rPr>
      </w:pPr>
      <w:r>
        <w:rPr>
          <w:rFonts w:ascii="Times New Roman" w:hAnsi="Times New Roman"/>
          <w:color w:val="FF0000"/>
        </w:rPr>
        <w:t xml:space="preserve">6  </w:t>
      </w:r>
      <w:r>
        <w:rPr>
          <w:rFonts w:hint="eastAsia" w:ascii="Times New Roman" w:hAnsi="Times New Roman"/>
          <w:color w:val="FF0000"/>
        </w:rPr>
        <w:t>基于步骤</w:t>
      </w:r>
      <w:r>
        <w:rPr>
          <w:rFonts w:ascii="Times New Roman" w:hAnsi="Times New Roman"/>
          <w:color w:val="FF0000"/>
        </w:rPr>
        <w:t>5</w:t>
      </w:r>
      <w:r>
        <w:rPr>
          <w:rFonts w:hint="eastAsia" w:ascii="Times New Roman" w:hAnsi="Times New Roman"/>
          <w:color w:val="FF0000"/>
        </w:rPr>
        <w:t>确定的第</w:t>
      </w:r>
      <w:r>
        <w:rPr>
          <w:rFonts w:ascii="Times New Roman" w:hAnsi="Times New Roman"/>
          <w:color w:val="FF0000"/>
        </w:rPr>
        <w:t>i</w:t>
      </w:r>
      <w:r>
        <w:rPr>
          <w:rFonts w:hint="eastAsia" w:ascii="Times New Roman" w:hAnsi="Times New Roman"/>
          <w:color w:val="FF0000"/>
        </w:rPr>
        <w:t>楼层水平剪力最大值进行结构总阻尼比迭代修正，可按下式进行计算：</w:t>
      </w:r>
      <w:r>
        <w:rPr>
          <w:rFonts w:ascii="Times New Roman" w:hAnsi="Times New Roman"/>
          <w:color w:val="FF0000"/>
        </w:rPr>
        <w:br w:type="textWrapping"/>
      </w:r>
      <w:r>
        <w:rPr>
          <w:color w:val="FF0000"/>
        </w:rPr>
        <w:tab/>
      </w:r>
      <w:r>
        <w:rPr>
          <w:rFonts w:asciiTheme="minorHAnsi" w:hAnsiTheme="minorHAnsi" w:eastAsiaTheme="minorEastAsia"/>
          <w:color w:val="FF0000"/>
          <w:position w:val="-28"/>
          <w:szCs w:val="22"/>
        </w:rPr>
        <w:object>
          <v:shape id="_x0000_i1214" o:spt="75" type="#_x0000_t75" style="height:37.45pt;width:36.75pt;" o:ole="t" filled="f" o:preferrelative="t" stroked="f" coordsize="21600,21600">
            <v:path/>
            <v:fill on="f" focussize="0,0"/>
            <v:stroke on="f" joinstyle="miter"/>
            <v:imagedata r:id="rId379" o:title=""/>
            <o:lock v:ext="edit" aspectratio="t"/>
            <w10:wrap type="none"/>
            <w10:anchorlock/>
          </v:shape>
          <o:OLEObject Type="Embed" ProgID="Equation.DSMT4" ShapeID="_x0000_i1214" DrawAspect="Content" ObjectID="_1468075914" r:id="rId378">
            <o:LockedField>false</o:LockedField>
          </o:OLEObject>
        </w:object>
      </w:r>
      <w:r>
        <w:rPr>
          <w:rFonts w:ascii="微软雅黑" w:hAnsi="微软雅黑" w:eastAsia="微软雅黑"/>
          <w:color w:val="FF0000"/>
        </w:rPr>
        <w:tab/>
      </w:r>
      <w:r>
        <w:rPr>
          <w:color w:val="FF0000"/>
        </w:rPr>
        <w:t>(8.3.4-5)</w:t>
      </w:r>
    </w:p>
    <w:p>
      <w:pPr>
        <w:adjustRightInd/>
        <w:spacing w:line="240" w:lineRule="auto"/>
        <w:rPr>
          <w:rFonts w:ascii="Times New Roman" w:hAnsi="Times New Roman"/>
          <w:color w:val="FF0000"/>
        </w:rPr>
      </w:pPr>
      <w:r>
        <w:rPr>
          <w:rFonts w:ascii="Times New Roman" w:hAnsi="Times New Roman"/>
          <w:color w:val="FF0000"/>
        </w:rPr>
        <w:t xml:space="preserve">7  </w:t>
      </w:r>
      <w:r>
        <w:rPr>
          <w:rFonts w:hint="eastAsia" w:ascii="Times New Roman" w:hAnsi="Times New Roman"/>
          <w:color w:val="FF0000"/>
        </w:rPr>
        <w:t>重复步骤</w:t>
      </w:r>
      <w:r>
        <w:rPr>
          <w:rFonts w:ascii="Times New Roman" w:hAnsi="Times New Roman"/>
          <w:color w:val="FF0000"/>
        </w:rPr>
        <w:t>4</w:t>
      </w:r>
      <w:r>
        <w:rPr>
          <w:rFonts w:hint="eastAsia" w:ascii="Times New Roman" w:hAnsi="Times New Roman"/>
          <w:color w:val="FF0000"/>
        </w:rPr>
        <w:t>与步骤</w:t>
      </w:r>
      <w:r>
        <w:rPr>
          <w:rFonts w:ascii="Times New Roman" w:hAnsi="Times New Roman"/>
          <w:color w:val="FF0000"/>
        </w:rPr>
        <w:t>6</w:t>
      </w:r>
      <w:r>
        <w:rPr>
          <w:rFonts w:hint="eastAsia" w:ascii="Times New Roman" w:hAnsi="Times New Roman"/>
          <w:color w:val="FF0000"/>
        </w:rPr>
        <w:t>，反复迭代，直至步骤</w:t>
      </w:r>
      <w:r>
        <w:rPr>
          <w:rFonts w:ascii="Times New Roman" w:hAnsi="Times New Roman"/>
          <w:color w:val="FF0000"/>
        </w:rPr>
        <w:t>4</w:t>
      </w:r>
      <w:r>
        <w:rPr>
          <w:rFonts w:hint="eastAsia" w:ascii="Times New Roman" w:hAnsi="Times New Roman"/>
          <w:color w:val="FF0000"/>
        </w:rPr>
        <w:t>使用的结构总阻尼比计算得到的第</w:t>
      </w:r>
      <w:r>
        <w:rPr>
          <w:rFonts w:ascii="Times New Roman" w:hAnsi="Times New Roman"/>
          <w:color w:val="FF0000"/>
        </w:rPr>
        <w:t>i</w:t>
      </w:r>
      <w:r>
        <w:rPr>
          <w:rFonts w:hint="eastAsia" w:ascii="Times New Roman" w:hAnsi="Times New Roman"/>
          <w:color w:val="FF0000"/>
        </w:rPr>
        <w:t>楼层的水平剪力最大值</w:t>
      </w:r>
      <m:oMath>
        <m:sSubSup>
          <m:sSubSupPr>
            <m:ctrlPr>
              <w:rPr>
                <w:rFonts w:ascii="Cambria Math" w:hAnsi="Cambria Math" w:eastAsiaTheme="minorEastAsia"/>
                <w:color w:val="FF0000"/>
                <w:szCs w:val="22"/>
              </w:rPr>
            </m:ctrlPr>
          </m:sSubSupPr>
          <m:e>
            <m:r>
              <m:rPr/>
              <w:rPr>
                <w:rFonts w:ascii="Cambria Math" w:hAnsi="Cambria Math"/>
                <w:color w:val="FF0000"/>
              </w:rPr>
              <m:t>F</m:t>
            </m:r>
            <m:ctrlPr>
              <w:rPr>
                <w:rFonts w:ascii="Cambria Math" w:hAnsi="Cambria Math" w:eastAsiaTheme="minorEastAsia"/>
                <w:color w:val="FF0000"/>
                <w:szCs w:val="22"/>
              </w:rPr>
            </m:ctrlPr>
          </m:e>
          <m:sub>
            <m:r>
              <m:rPr/>
              <w:rPr>
                <w:rFonts w:ascii="Cambria Math" w:hAnsi="Cambria Math"/>
                <w:color w:val="FF0000"/>
              </w:rPr>
              <m:t>i</m:t>
            </m:r>
            <m:ctrlPr>
              <w:rPr>
                <w:rFonts w:ascii="Cambria Math" w:hAnsi="Cambria Math" w:eastAsiaTheme="minorEastAsia"/>
                <w:color w:val="FF0000"/>
                <w:szCs w:val="22"/>
              </w:rPr>
            </m:ctrlPr>
          </m:sub>
          <m:sup>
            <m:r>
              <m:rPr/>
              <w:rPr>
                <w:rFonts w:hint="eastAsia" w:ascii="Cambria Math" w:hAnsi="Cambria Math"/>
                <w:color w:val="FF0000"/>
              </w:rPr>
              <m:t>'</m:t>
            </m:r>
            <m:ctrlPr>
              <w:rPr>
                <w:rFonts w:ascii="Cambria Math" w:hAnsi="Cambria Math" w:eastAsiaTheme="minorEastAsia"/>
                <w:color w:val="FF0000"/>
                <w:szCs w:val="22"/>
              </w:rPr>
            </m:ctrlPr>
          </m:sup>
        </m:sSubSup>
      </m:oMath>
      <w:r>
        <w:rPr>
          <w:rFonts w:hint="eastAsia" w:ascii="Times New Roman" w:hAnsi="Times New Roman"/>
          <w:color w:val="FF0000"/>
        </w:rPr>
        <w:t>大于或等于步骤</w:t>
      </w:r>
      <w:r>
        <w:rPr>
          <w:rFonts w:ascii="Times New Roman" w:hAnsi="Times New Roman"/>
          <w:color w:val="FF0000"/>
        </w:rPr>
        <w:t>2</w:t>
      </w:r>
      <w:r>
        <w:rPr>
          <w:rFonts w:hint="eastAsia" w:ascii="Times New Roman" w:hAnsi="Times New Roman"/>
          <w:color w:val="FF0000"/>
        </w:rPr>
        <w:t>得到的第</w:t>
      </w:r>
      <w:r>
        <w:rPr>
          <w:rFonts w:ascii="Times New Roman" w:hAnsi="Times New Roman"/>
          <w:color w:val="FF0000"/>
        </w:rPr>
        <w:t>i</w:t>
      </w:r>
      <w:r>
        <w:rPr>
          <w:rFonts w:hint="eastAsia" w:ascii="Times New Roman" w:hAnsi="Times New Roman"/>
          <w:color w:val="FF0000"/>
        </w:rPr>
        <w:t>楼层的水平剪力最大值</w:t>
      </w:r>
      <w:r>
        <w:rPr>
          <w:rFonts w:ascii="Times New Roman" w:hAnsi="Times New Roman"/>
          <w:color w:val="FF0000"/>
        </w:rPr>
        <w:t>F</w:t>
      </w:r>
      <w:r>
        <w:rPr>
          <w:rFonts w:ascii="Times New Roman" w:hAnsi="Times New Roman"/>
          <w:i/>
          <w:color w:val="FF0000"/>
          <w:vertAlign w:val="subscript"/>
        </w:rPr>
        <w:t>i</w:t>
      </w:r>
      <w:r>
        <w:rPr>
          <w:rFonts w:hint="eastAsia" w:ascii="Times New Roman" w:hAnsi="Times New Roman"/>
          <w:color w:val="FF0000"/>
        </w:rPr>
        <w:t>。</w:t>
      </w:r>
    </w:p>
    <w:p>
      <w:pPr>
        <w:adjustRightInd/>
        <w:spacing w:line="240" w:lineRule="auto"/>
        <w:rPr>
          <w:rFonts w:ascii="Times New Roman" w:hAnsi="Times New Roman"/>
          <w:color w:val="FF0000"/>
        </w:rPr>
      </w:pPr>
      <w:r>
        <w:rPr>
          <w:rFonts w:ascii="Times New Roman" w:hAnsi="Times New Roman"/>
          <w:color w:val="FF0000"/>
        </w:rPr>
        <w:t xml:space="preserve">8  </w:t>
      </w:r>
      <w:r>
        <w:rPr>
          <w:rFonts w:hint="eastAsia" w:ascii="Times New Roman" w:hAnsi="Times New Roman"/>
          <w:color w:val="FF0000"/>
        </w:rPr>
        <w:t>计算出时程波下消能器的等效刚度和结构总阻尼比后，以得到最小总阻尼比的时程波分析结果作为消能器附加等效刚度和结构总阻尼比。</w:t>
      </w:r>
    </w:p>
    <w:p>
      <w:pPr>
        <w:pStyle w:val="167"/>
        <w:numPr>
          <w:ilvl w:val="0"/>
          <w:numId w:val="0"/>
        </w:numPr>
        <w:rPr>
          <w:rFonts w:ascii="华文楷体" w:hAnsi="华文楷体" w:eastAsia="华文楷体" w:cs="华文楷体"/>
          <w:color w:val="FF0000"/>
        </w:rPr>
      </w:pPr>
      <w:r>
        <w:rPr>
          <w:rFonts w:hint="eastAsia" w:ascii="华文楷体" w:hAnsi="华文楷体" w:eastAsia="华文楷体" w:cs="华文楷体"/>
          <w:color w:val="FF0000"/>
        </w:rPr>
        <w:t>条文说明</w:t>
      </w:r>
      <w:r>
        <w:rPr>
          <w:rFonts w:ascii="华文楷体" w:hAnsi="华文楷体" w:eastAsia="华文楷体" w:cs="华文楷体"/>
          <w:color w:val="FF0000"/>
        </w:rPr>
        <w:t xml:space="preserve">8.3.4 </w:t>
      </w:r>
      <w:r>
        <w:rPr>
          <w:rFonts w:hint="eastAsia" w:ascii="华文楷体" w:hAnsi="华文楷体" w:eastAsia="华文楷体" w:cs="华文楷体"/>
          <w:color w:val="FF0000"/>
        </w:rPr>
        <w:t>消能减震结构进行非线性时程分析时，消能器的等效刚度和非线性属性共同影响结构的刚度矩阵和阻尼耗能。而目前常用的消能减震结构设计的方法，是通过计算消能部件附加等效刚度和附加阻尼比，建立消能部件的等效线性模型，进行设防地震下的振型分解反应谱分析，最后根据结构内力对主体结构及消能子结构进行配筋计算。因此结构等效阻尼比的迭代修正基于楼层剪力进行，确保计算得到等效结构内力与实际消能减震结构内力更接近。</w:t>
      </w:r>
    </w:p>
    <w:p>
      <w:pPr>
        <w:pStyle w:val="167"/>
      </w:pPr>
      <w:r>
        <w:rPr>
          <w:rFonts w:hint="eastAsia"/>
        </w:rPr>
        <w:t>采用时程分析法计算消能器附加给结构的有效阻尼比时，消能器两端的相对水平位移、质点的水平地震作用标准值、质点对应于水平地震作用标准值的位移，应采用符合本规程第3.1.4条规定的时程分析结果的包络值。</w:t>
      </w:r>
    </w:p>
    <w:p>
      <w:pPr>
        <w:pStyle w:val="167"/>
      </w:pPr>
      <w:r>
        <w:rPr>
          <w:rFonts w:hint="eastAsia"/>
        </w:rPr>
        <w:t>采用静力弹塑性分析方法时，计算模型中消能器宜采用第6.3.5条给出的恢复力模型，并由实际分析计算获得消能器附加给结构的有效阻尼比。位移相关型消能器可采用等刚度的杆单元代替，并根据消能器的力学特性在杆单元上设置轴力塑性饺，以模拟位移相关型消能器的力学特性。</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 xml:space="preserve">8.3.6 </w:t>
      </w:r>
      <w:r>
        <w:rPr>
          <w:rFonts w:hint="eastAsia" w:ascii="华文楷体" w:hAnsi="华文楷体" w:eastAsia="华文楷体" w:cs="华文楷体"/>
          <w:color w:val="0000FF"/>
          <w:szCs w:val="20"/>
        </w:rPr>
        <w:t>消能器产生减震效果主要体现在消能器的滞回耗能上，消能器需要产生往复位移或速度起作用，然而，静力弹塑性分析过程中对于黏滞消能器无法直接体现出消能器的作用，以直接得出消能器附加结构的阻尼比，为了使静力弹塑性分析方法能够体现出黏滞消能器的作用，对于黏滞消能器的阻尼需要进行多次迭代。位移相关型消能器的模拟，可以直接设置相应的杆端具有屈服铰的等效杆件代替消能器的非线性特征。</w:t>
      </w:r>
    </w:p>
    <w:p>
      <w:pPr>
        <w:pStyle w:val="167"/>
      </w:pPr>
      <w:r>
        <w:rPr>
          <w:rFonts w:hint="eastAsia"/>
        </w:rPr>
        <w:t>消能减震结构在多遇、基本烈度和罕遇地震作用下的总阻尼比应分别计算，消能部件附加给结构的有效阻尼比超过25％时，宜按25％计算。</w:t>
      </w:r>
    </w:p>
    <w:p>
      <w:pPr>
        <w:pStyle w:val="107"/>
        <w:spacing w:before="156" w:after="156"/>
        <w:jc w:val="center"/>
      </w:pPr>
      <w:r>
        <w:rPr>
          <w:rFonts w:hint="eastAsia"/>
        </w:rPr>
        <w:t>结构设计</w:t>
      </w:r>
    </w:p>
    <w:p>
      <w:pPr>
        <w:pStyle w:val="167"/>
      </w:pPr>
      <w:r>
        <w:rPr>
          <w:rFonts w:hint="eastAsia"/>
        </w:rPr>
        <w:t>主体结构的截面抗震验算应符合下列规定：</w:t>
      </w:r>
    </w:p>
    <w:p>
      <w:pPr>
        <w:pStyle w:val="58"/>
        <w:ind w:firstLine="420"/>
      </w:pPr>
      <w:r>
        <w:rPr>
          <w:rFonts w:hint="eastAsia"/>
        </w:rPr>
        <w:t>1  主体结构的截面抗震验算，应按现行国家标准《建筑抗震设计规范》GB 50011 的规定执行。</w:t>
      </w:r>
    </w:p>
    <w:p>
      <w:pPr>
        <w:pStyle w:val="58"/>
        <w:ind w:firstLine="420"/>
      </w:pPr>
      <w:r>
        <w:rPr>
          <w:rFonts w:hint="eastAsia"/>
        </w:rPr>
        <w:t>2  振型分解反应谱法计算地震作用效应时，宜按多遇地震作用下消能器的附加阻尼比取值。</w:t>
      </w:r>
    </w:p>
    <w:p>
      <w:pPr>
        <w:pStyle w:val="167"/>
      </w:pPr>
      <w:r>
        <w:rPr>
          <w:rFonts w:hint="eastAsia"/>
        </w:rPr>
        <w:t>消能子结构的截面抗震验算宜符合下列规定：</w:t>
      </w:r>
    </w:p>
    <w:p>
      <w:pPr>
        <w:pStyle w:val="58"/>
        <w:ind w:firstLine="420"/>
      </w:pPr>
      <w:r>
        <w:rPr>
          <w:rFonts w:hint="eastAsia"/>
        </w:rPr>
        <w:t xml:space="preserve">1 </w:t>
      </w:r>
      <w:r>
        <w:t xml:space="preserve"> </w:t>
      </w:r>
      <w:r>
        <w:rPr>
          <w:rFonts w:hint="eastAsia"/>
        </w:rPr>
        <w:t>消能子结构构件宜按重要构件设计，其性能应满足罕遇地震下极限承载力的要求。</w:t>
      </w:r>
    </w:p>
    <w:p>
      <w:pPr>
        <w:pStyle w:val="58"/>
        <w:ind w:firstLine="420"/>
      </w:pPr>
      <w:r>
        <w:rPr>
          <w:rFonts w:hint="eastAsia"/>
        </w:rPr>
        <w:t>2</w:t>
      </w:r>
      <w:r>
        <w:t xml:space="preserve">  </w:t>
      </w:r>
      <w:r>
        <w:rPr>
          <w:rFonts w:hint="eastAsia"/>
        </w:rPr>
        <w:t>丙类建筑消能子结构应按乙类建筑要求设计，乙类建筑消能子结构竖向结构构件地震作用效应应乘以1.5~2.0的增大系数；</w:t>
      </w:r>
    </w:p>
    <w:p>
      <w:pPr>
        <w:pStyle w:val="58"/>
        <w:ind w:firstLine="420"/>
      </w:pPr>
      <w:r>
        <w:rPr>
          <w:rFonts w:hint="eastAsia"/>
        </w:rPr>
        <w:t>3</w:t>
      </w:r>
      <w:r>
        <w:t xml:space="preserve">  </w:t>
      </w:r>
      <w:r>
        <w:rPr>
          <w:rFonts w:hint="eastAsia"/>
        </w:rPr>
        <w:t>消能部件由梁单独承载时，梁的承载力应符合下式规定：</w:t>
      </w:r>
    </w:p>
    <w:p>
      <w:pPr>
        <w:pStyle w:val="115"/>
      </w:pPr>
      <w:r>
        <w:tab/>
      </w:r>
      <w:r>
        <w:rPr>
          <w:position w:val="-12"/>
        </w:rPr>
        <w:object>
          <v:shape id="_x0000_i1215" o:spt="75" type="#_x0000_t75" style="height:18.35pt;width:78.6pt;" o:ole="t" filled="f" o:preferrelative="t" stroked="f" coordsize="21600,21600">
            <v:path/>
            <v:fill on="f" focussize="0,0"/>
            <v:stroke on="f" joinstyle="miter"/>
            <v:imagedata r:id="rId381" o:title=""/>
            <o:lock v:ext="edit" aspectratio="t"/>
            <w10:wrap type="none"/>
            <w10:anchorlock/>
          </v:shape>
          <o:OLEObject Type="Embed" ProgID="Equation.3" ShapeID="_x0000_i1215" DrawAspect="Content" ObjectID="_1468075915" r:id="rId380">
            <o:LockedField>false</o:LockedField>
          </o:OLEObject>
        </w:object>
      </w:r>
      <w:r>
        <w:rPr>
          <w:rFonts w:ascii="微软雅黑" w:hAnsi="微软雅黑" w:eastAsia="微软雅黑"/>
        </w:rPr>
        <w:tab/>
      </w:r>
      <w:r>
        <w:t>(8.4.1)</w:t>
      </w:r>
    </w:p>
    <w:p>
      <w:pPr>
        <w:pStyle w:val="58"/>
        <w:ind w:firstLine="420"/>
      </w:pPr>
      <w:r>
        <w:rPr>
          <w:rFonts w:hint="eastAsia"/>
        </w:rPr>
        <w:t>式中：</w:t>
      </w:r>
      <w:r>
        <w:t xml:space="preserve"> </w:t>
      </w:r>
      <w:r>
        <w:object>
          <v:shape id="_x0000_i1216" o:spt="75" type="#_x0000_t75" style="height:18.35pt;width:19.1pt;" o:ole="t" filled="f" o:preferrelative="t" stroked="f" coordsize="21600,21600">
            <v:path/>
            <v:fill on="f" focussize="0,0"/>
            <v:stroke on="f" joinstyle="miter"/>
            <v:imagedata r:id="rId383" o:title=""/>
            <o:lock v:ext="edit" aspectratio="t"/>
            <w10:wrap type="none"/>
            <w10:anchorlock/>
          </v:shape>
          <o:OLEObject Type="Embed" ProgID="Equation.3" ShapeID="_x0000_i1216" DrawAspect="Content" ObjectID="_1468075916" r:id="rId382">
            <o:LockedField>false</o:LockedField>
          </o:OLEObject>
        </w:object>
      </w:r>
      <w:r>
        <w:t>—</w:t>
      </w:r>
      <w:r>
        <w:rPr>
          <w:rFonts w:hint="eastAsia"/>
        </w:rPr>
        <w:t>重力荷载代表值的效应；</w:t>
      </w:r>
    </w:p>
    <w:p>
      <w:pPr>
        <w:pStyle w:val="58"/>
        <w:ind w:firstLine="1050" w:firstLineChars="500"/>
      </w:pPr>
      <w:r>
        <w:object>
          <v:shape id="_x0000_i1217" o:spt="75" type="#_x0000_t75" style="height:18.35pt;width:22.05pt;" o:ole="t" filled="f" o:preferrelative="t" stroked="f" coordsize="21600,21600">
            <v:path/>
            <v:fill on="f" focussize="0,0"/>
            <v:stroke on="f" joinstyle="miter"/>
            <v:imagedata r:id="rId385" o:title=""/>
            <o:lock v:ext="edit" aspectratio="t"/>
            <w10:wrap type="none"/>
            <w10:anchorlock/>
          </v:shape>
          <o:OLEObject Type="Embed" ProgID="Equation.3" ShapeID="_x0000_i1217" DrawAspect="Content" ObjectID="_1468075917" r:id="rId384">
            <o:LockedField>false</o:LockedField>
          </o:OLEObject>
        </w:object>
      </w:r>
      <w:r>
        <w:t>—</w:t>
      </w:r>
      <w:r>
        <w:rPr>
          <w:rFonts w:hint="eastAsia"/>
        </w:rPr>
        <w:t>罕遇水平地震作用标准值的效应，不考虑与抗震等级有关的调整系数；</w:t>
      </w:r>
    </w:p>
    <w:p>
      <w:pPr>
        <w:pStyle w:val="58"/>
        <w:ind w:left="1680" w:leftChars="500" w:hanging="630" w:hangingChars="300"/>
      </w:pPr>
      <w:r>
        <w:object>
          <v:shape id="_x0000_i1218" o:spt="75" type="#_x0000_t75" style="height:16.15pt;width:15.45pt;" o:ole="t" filled="f" o:preferrelative="t" stroked="f" coordsize="21600,21600">
            <v:path/>
            <v:fill on="f" focussize="0,0"/>
            <v:stroke on="f" joinstyle="miter"/>
            <v:imagedata r:id="rId387" o:title=""/>
            <o:lock v:ext="edit" aspectratio="t"/>
            <w10:wrap type="none"/>
            <w10:anchorlock/>
          </v:shape>
          <o:OLEObject Type="Embed" ProgID="Equation.3" ShapeID="_x0000_i1218" DrawAspect="Content" ObjectID="_1468075918" r:id="rId386">
            <o:LockedField>false</o:LockedField>
          </o:OLEObject>
        </w:object>
      </w:r>
      <w:r>
        <w:t xml:space="preserve"> —</w:t>
      </w:r>
      <w:r>
        <w:rPr>
          <w:rFonts w:hint="eastAsia"/>
        </w:rPr>
        <w:t>按材料最小极限强度计算的承载力；混凝土强度可取立方强度</w:t>
      </w:r>
      <w:r>
        <w:t>0.88</w:t>
      </w:r>
      <w:r>
        <w:rPr>
          <w:rFonts w:hint="eastAsia"/>
        </w:rPr>
        <w:t>倍、钢筋强度可取屈服强度标准值的</w:t>
      </w:r>
      <w:r>
        <w:t>1.25</w:t>
      </w:r>
      <w:r>
        <w:rPr>
          <w:rFonts w:hint="eastAsia"/>
        </w:rPr>
        <w:t>倍、钢材强度可取屈服强度标准值的</w:t>
      </w:r>
      <w:r>
        <w:t>1.5</w:t>
      </w:r>
      <w:r>
        <w:rPr>
          <w:rFonts w:hint="eastAsia"/>
        </w:rPr>
        <w:t>倍。</w:t>
      </w:r>
    </w:p>
    <w:p>
      <w:pPr>
        <w:pStyle w:val="58"/>
        <w:ind w:firstLine="420"/>
      </w:pPr>
      <w:r>
        <w:rPr>
          <w:rFonts w:hint="eastAsia"/>
        </w:rPr>
        <w:t>4  消能部件采用高强螺栓或焊接连接时，消能子结构节点部位组合弯矩设计值应考虑消能部件端部的附加弯矩。</w:t>
      </w:r>
    </w:p>
    <w:p>
      <w:pPr>
        <w:pStyle w:val="58"/>
        <w:numPr>
          <w:ilvl w:val="0"/>
          <w:numId w:val="32"/>
        </w:numPr>
        <w:ind w:firstLineChars="0"/>
      </w:pPr>
      <w:r>
        <w:rPr>
          <w:rFonts w:hint="eastAsia"/>
        </w:rPr>
        <w:t>消能部件的节点和构件应进行消能器在极限抗力作用下的截面验算。</w:t>
      </w:r>
    </w:p>
    <w:p>
      <w:pPr>
        <w:pStyle w:val="58"/>
        <w:ind w:firstLine="420"/>
      </w:pPr>
      <w:r>
        <w:rPr>
          <w:rFonts w:hint="eastAsia"/>
        </w:rPr>
        <w:t>6</w:t>
      </w:r>
      <w:r>
        <w:t xml:space="preserve">  </w:t>
      </w:r>
      <w:r>
        <w:rPr>
          <w:rFonts w:hint="eastAsia"/>
        </w:rPr>
        <w:t>当消能器的轴心与消能子结构非消能部件构件的轴线有偏差时，非消能部件构件应考虑消能器抗力引起附加弯矩或因偏心作用而引起的平面外弯曲的影响。</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 xml:space="preserve">8.4.2 </w:t>
      </w:r>
      <w:r>
        <w:rPr>
          <w:rFonts w:hint="eastAsia" w:ascii="华文楷体" w:hAnsi="华文楷体" w:eastAsia="华文楷体" w:cs="华文楷体"/>
          <w:color w:val="0000FF"/>
          <w:szCs w:val="20"/>
        </w:rPr>
        <w:t>从采用消能减震的结构试验研究结果看，结构达到极限变形时，消能子结构的构件损伤或破坏程度并不比非消能子结构的构件严重太多，加固设计时适当提高消能子结构的承载力即可。本标准明确了消能子结构按乙类建筑的结构设计，构件内力调整系数和构造措施按乙类建筑的有关规定确定。乙类建筑的子结构的竖向构件的内力设计值应乘以增大系数，</w:t>
      </w:r>
      <w:r>
        <w:rPr>
          <w:rFonts w:ascii="华文楷体" w:hAnsi="华文楷体" w:eastAsia="华文楷体" w:cs="华文楷体"/>
          <w:color w:val="0000FF"/>
          <w:szCs w:val="20"/>
        </w:rPr>
        <w:t>6</w:t>
      </w:r>
      <w:r>
        <w:rPr>
          <w:rFonts w:hint="eastAsia" w:ascii="华文楷体" w:hAnsi="华文楷体" w:eastAsia="华文楷体" w:cs="华文楷体"/>
          <w:color w:val="0000FF"/>
          <w:szCs w:val="20"/>
        </w:rPr>
        <w:t>度</w:t>
      </w:r>
      <w:r>
        <w:rPr>
          <w:rFonts w:ascii="华文楷体" w:hAnsi="华文楷体" w:eastAsia="华文楷体" w:cs="华文楷体"/>
          <w:color w:val="0000FF"/>
          <w:szCs w:val="20"/>
        </w:rPr>
        <w:t>~7</w:t>
      </w:r>
      <w:r>
        <w:rPr>
          <w:rFonts w:hint="eastAsia" w:ascii="华文楷体" w:hAnsi="华文楷体" w:eastAsia="华文楷体" w:cs="华文楷体"/>
          <w:color w:val="0000FF"/>
          <w:szCs w:val="20"/>
        </w:rPr>
        <w:t>度</w:t>
      </w:r>
      <w:r>
        <w:rPr>
          <w:rFonts w:ascii="华文楷体" w:hAnsi="华文楷体" w:eastAsia="华文楷体" w:cs="华文楷体"/>
          <w:color w:val="0000FF"/>
          <w:szCs w:val="20"/>
        </w:rPr>
        <w:t>(0.3g)</w:t>
      </w:r>
      <w:r>
        <w:rPr>
          <w:rFonts w:hint="eastAsia" w:ascii="华文楷体" w:hAnsi="华文楷体" w:eastAsia="华文楷体" w:cs="华文楷体"/>
          <w:color w:val="0000FF"/>
          <w:szCs w:val="20"/>
        </w:rPr>
        <w:t>系数取</w:t>
      </w:r>
      <w:r>
        <w:rPr>
          <w:rFonts w:ascii="华文楷体" w:hAnsi="华文楷体" w:eastAsia="华文楷体" w:cs="华文楷体"/>
          <w:color w:val="0000FF"/>
          <w:szCs w:val="20"/>
        </w:rPr>
        <w:t>2.0</w:t>
      </w:r>
      <w:r>
        <w:rPr>
          <w:rFonts w:hint="eastAsia" w:ascii="华文楷体" w:hAnsi="华文楷体" w:eastAsia="华文楷体" w:cs="华文楷体"/>
          <w:color w:val="0000FF"/>
          <w:szCs w:val="20"/>
        </w:rPr>
        <w:t>，</w:t>
      </w:r>
      <w:r>
        <w:rPr>
          <w:rFonts w:ascii="华文楷体" w:hAnsi="华文楷体" w:eastAsia="华文楷体" w:cs="华文楷体"/>
          <w:color w:val="0000FF"/>
          <w:szCs w:val="20"/>
        </w:rPr>
        <w:t>8</w:t>
      </w:r>
      <w:r>
        <w:rPr>
          <w:rFonts w:hint="eastAsia" w:ascii="华文楷体" w:hAnsi="华文楷体" w:eastAsia="华文楷体" w:cs="华文楷体"/>
          <w:color w:val="0000FF"/>
          <w:szCs w:val="20"/>
        </w:rPr>
        <w:t>度</w:t>
      </w:r>
      <w:r>
        <w:rPr>
          <w:rFonts w:ascii="华文楷体" w:hAnsi="华文楷体" w:eastAsia="华文楷体" w:cs="华文楷体"/>
          <w:color w:val="0000FF"/>
          <w:szCs w:val="20"/>
        </w:rPr>
        <w:t>~9</w:t>
      </w:r>
      <w:r>
        <w:rPr>
          <w:rFonts w:hint="eastAsia" w:ascii="华文楷体" w:hAnsi="华文楷体" w:eastAsia="华文楷体" w:cs="华文楷体"/>
          <w:color w:val="0000FF"/>
          <w:szCs w:val="20"/>
        </w:rPr>
        <w:t>度系数取</w:t>
      </w:r>
      <w:r>
        <w:rPr>
          <w:rFonts w:ascii="华文楷体" w:hAnsi="华文楷体" w:eastAsia="华文楷体" w:cs="华文楷体"/>
          <w:color w:val="0000FF"/>
          <w:szCs w:val="20"/>
        </w:rPr>
        <w:t>1.5</w:t>
      </w:r>
      <w:r>
        <w:rPr>
          <w:rFonts w:hint="eastAsia" w:ascii="华文楷体" w:hAnsi="华文楷体" w:eastAsia="华文楷体" w:cs="华文楷体"/>
          <w:color w:val="0000FF"/>
          <w:szCs w:val="20"/>
        </w:rPr>
        <w:t>，抗震措施不变。设防烈度已经为</w:t>
      </w:r>
      <w:r>
        <w:rPr>
          <w:rFonts w:ascii="华文楷体" w:hAnsi="华文楷体" w:eastAsia="华文楷体" w:cs="华文楷体"/>
          <w:color w:val="0000FF"/>
          <w:szCs w:val="20"/>
        </w:rPr>
        <w:t>9</w:t>
      </w:r>
      <w:r>
        <w:rPr>
          <w:rFonts w:hint="eastAsia" w:ascii="华文楷体" w:hAnsi="华文楷体" w:eastAsia="华文楷体" w:cs="华文楷体"/>
          <w:color w:val="0000FF"/>
          <w:szCs w:val="20"/>
        </w:rPr>
        <w:t>度时抗震措施适当提高。</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考虑到实际楼板的加强作用，放松了梁单独承载时的承载力要求，即采用材料的极限值计算极限承载力作为梁的抗力允许值。此外，为了保证消能部件的安全，消能子结构连接节点和构件的验算中还应考虑地震作用下消能器引起的附加弯矩的不利影响。</w:t>
      </w:r>
    </w:p>
    <w:p>
      <w:pPr>
        <w:pStyle w:val="167"/>
      </w:pPr>
      <w:r>
        <w:rPr>
          <w:rFonts w:hint="eastAsia"/>
        </w:rPr>
        <w:t>消能减震结构的抗震变形验算应符合下列规定：</w:t>
      </w:r>
    </w:p>
    <w:p>
      <w:pPr>
        <w:pStyle w:val="58"/>
        <w:ind w:firstLine="420"/>
      </w:pPr>
      <w:r>
        <w:rPr>
          <w:rFonts w:hint="eastAsia"/>
        </w:rPr>
        <w:t>1  消能减震结构的弹性层间位移角限值应满足本规程表4.5.1规定的限值要求。</w:t>
      </w:r>
    </w:p>
    <w:p>
      <w:pPr>
        <w:pStyle w:val="58"/>
        <w:ind w:firstLine="420"/>
      </w:pPr>
      <w:r>
        <w:rPr>
          <w:rFonts w:hint="eastAsia"/>
        </w:rPr>
        <w:t>2  消能减震结构的弹塑性层间位移角限值应满足本规程表3.5.3-1、表3.5.3-2规定的限值要求。</w:t>
      </w:r>
    </w:p>
    <w:p>
      <w:pPr>
        <w:pStyle w:val="167"/>
      </w:pPr>
      <w:r>
        <w:rPr>
          <w:rFonts w:hint="eastAsia"/>
        </w:rPr>
        <w:t>主体结构的构造措施应符合下列规定：</w:t>
      </w:r>
    </w:p>
    <w:p>
      <w:pPr>
        <w:pStyle w:val="58"/>
        <w:ind w:firstLine="420"/>
      </w:pPr>
      <w:r>
        <w:rPr>
          <w:rFonts w:hint="eastAsia"/>
        </w:rPr>
        <w:t>1  主体结构的抗震等级应按现行国家标准《建筑抗震设计规范》GB 50011取值。</w:t>
      </w:r>
    </w:p>
    <w:p>
      <w:pPr>
        <w:pStyle w:val="58"/>
        <w:ind w:firstLine="420"/>
      </w:pPr>
      <w:r>
        <w:rPr>
          <w:rFonts w:hint="eastAsia"/>
        </w:rPr>
        <w:t>2  当消能减震结构的抗震性能明显提高时，主体结构的抗震构造措施要求可适当降低，降低程度可根据消能减震主体结构地震剪力与不设置消能减震部件的结构的地震剪力之比确定，最大降低程度应控制在1度以内。</w:t>
      </w:r>
    </w:p>
    <w:p>
      <w:pPr>
        <w:pStyle w:val="167"/>
      </w:pPr>
      <w:r>
        <w:rPr>
          <w:rFonts w:hint="eastAsia"/>
        </w:rPr>
        <w:t>消能子结构的构造措施应符合下列要求：</w:t>
      </w:r>
    </w:p>
    <w:p>
      <w:pPr>
        <w:pStyle w:val="58"/>
        <w:ind w:firstLine="420"/>
      </w:pPr>
      <w:r>
        <w:rPr>
          <w:rFonts w:hint="eastAsia"/>
        </w:rPr>
        <w:t>1  消能子结构抗震构造措施要求同主体结构重要构件。</w:t>
      </w:r>
    </w:p>
    <w:p>
      <w:pPr>
        <w:pStyle w:val="58"/>
        <w:ind w:firstLine="420"/>
      </w:pPr>
      <w:r>
        <w:rPr>
          <w:rFonts w:hint="eastAsia"/>
        </w:rPr>
        <w:t>2  消能子结构为混凝土或型钢混凝土构件时，构件的箍筋加密区长度、箍筋最大间距和箍筋最小直径，应满足国家现行标准《混凝土结构设计规范》GB 50010和《高层建筑混凝土结构技术规程》JGJ 3的要求；消能子结构非消能部件的构件为剪力墙时，其端部宜设暗柱，其箍筋加密区长度、箍筋最大间距和箍筋最小直径，应高于国家现行标准《混凝土结构设计规范》GB 50010和《高层建筑混凝土结构技术规程》JGJ 3中框架柱的要求，预埋件所在的钢筋混凝土构件箍筋加密区按预埋件自端部计算。</w:t>
      </w:r>
    </w:p>
    <w:p>
      <w:pPr>
        <w:pStyle w:val="58"/>
        <w:ind w:firstLine="420"/>
      </w:pPr>
      <w:r>
        <w:rPr>
          <w:rFonts w:hint="eastAsia"/>
        </w:rPr>
        <w:t>3  消能子结构为钢结构时，钢梁、钢柱节点的构造措施应按国家现行标准《钢结构设计规范》GB 50017和《高层民用建筑钢结构技术规程》JGJ 99中心支撑的要求确定。</w:t>
      </w:r>
    </w:p>
    <w:p>
      <w:pPr>
        <w:widowControl/>
        <w:adjustRightInd/>
        <w:spacing w:line="240" w:lineRule="auto"/>
        <w:jc w:val="left"/>
        <w:rPr>
          <w:rFonts w:ascii="宋体" w:hAnsi="Times New Roman"/>
          <w:kern w:val="0"/>
          <w:szCs w:val="20"/>
        </w:rPr>
      </w:pPr>
      <w:r>
        <w:br w:type="page"/>
      </w:r>
    </w:p>
    <w:p>
      <w:pPr>
        <w:pStyle w:val="106"/>
        <w:spacing w:before="312" w:after="312"/>
        <w:jc w:val="center"/>
      </w:pPr>
      <w:bookmarkStart w:id="54" w:name="_Toc92414099"/>
      <w:r>
        <w:rPr>
          <w:rFonts w:hint="eastAsia"/>
        </w:rPr>
        <w:t>钢筋混凝土结构消能减震加固设计</w:t>
      </w:r>
      <w:bookmarkEnd w:id="54"/>
    </w:p>
    <w:p>
      <w:pPr>
        <w:pStyle w:val="107"/>
        <w:spacing w:before="156" w:after="156"/>
        <w:jc w:val="center"/>
      </w:pPr>
      <w:r>
        <w:rPr>
          <w:rFonts w:hint="eastAsia"/>
        </w:rPr>
        <w:t>一般规定</w:t>
      </w:r>
    </w:p>
    <w:p>
      <w:pPr>
        <w:pStyle w:val="167"/>
      </w:pPr>
      <w:r>
        <w:rPr>
          <w:rFonts w:hint="eastAsia"/>
        </w:rPr>
        <w:t>既有建筑采用消能减震加固方案应符合下列规定：</w:t>
      </w:r>
    </w:p>
    <w:p>
      <w:pPr>
        <w:pStyle w:val="58"/>
        <w:ind w:firstLine="420"/>
      </w:pPr>
      <w:r>
        <w:rPr>
          <w:rFonts w:hint="eastAsia"/>
        </w:rPr>
        <w:t>1 消能减震加固方案应根据抗震鉴定结果综合分析后确定，减少对原结构构件的加固量；</w:t>
      </w:r>
    </w:p>
    <w:p>
      <w:pPr>
        <w:pStyle w:val="58"/>
        <w:ind w:firstLine="420"/>
      </w:pPr>
      <w:r>
        <w:rPr>
          <w:rFonts w:hint="eastAsia"/>
        </w:rPr>
        <w:t>2 不规则建筑加固后的结构刚度宜分布均匀；</w:t>
      </w:r>
    </w:p>
    <w:p>
      <w:pPr>
        <w:pStyle w:val="58"/>
        <w:ind w:firstLine="420"/>
      </w:pPr>
      <w:r>
        <w:rPr>
          <w:rFonts w:hint="eastAsia"/>
        </w:rPr>
        <w:t>3 单跨框架结构可采用金属消能器或摩擦消能器的消能减震加固方案，消能部件布置间距不宜大于12m；</w:t>
      </w:r>
    </w:p>
    <w:p>
      <w:pPr>
        <w:pStyle w:val="58"/>
        <w:ind w:firstLine="420"/>
      </w:pPr>
      <w:r>
        <w:rPr>
          <w:rFonts w:hint="eastAsia"/>
        </w:rPr>
        <w:t>4 原结构采用预制楼板时应加强楼、屋盖整体性；</w:t>
      </w:r>
    </w:p>
    <w:p>
      <w:pPr>
        <w:pStyle w:val="58"/>
        <w:ind w:firstLine="420"/>
      </w:pPr>
      <w:r>
        <w:t xml:space="preserve">5 </w:t>
      </w:r>
      <w:r>
        <w:rPr>
          <w:rFonts w:hint="eastAsia"/>
        </w:rPr>
        <w:t>结构地基和基础抗震加固应符合现行标准《建筑抗震加固技术规程》JGJ116的有关规定。</w:t>
      </w:r>
    </w:p>
    <w:p>
      <w:pPr>
        <w:adjustRightInd/>
        <w:spacing w:line="240" w:lineRule="auto"/>
        <w:rPr>
          <w:rFonts w:ascii="华文楷体" w:hAnsi="华文楷体" w:eastAsia="华文楷体" w:cs="华文楷体"/>
          <w:color w:val="0000FF"/>
          <w:szCs w:val="22"/>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9.1.1</w:t>
      </w:r>
    </w:p>
    <w:p>
      <w:pPr>
        <w:adjustRightInd/>
        <w:spacing w:line="240" w:lineRule="auto"/>
        <w:rPr>
          <w:rFonts w:ascii="华文楷体" w:hAnsi="华文楷体" w:eastAsia="华文楷体" w:cs="华文楷体"/>
          <w:color w:val="0000FF"/>
          <w:szCs w:val="22"/>
        </w:rPr>
      </w:pPr>
      <w:r>
        <w:rPr>
          <w:rFonts w:ascii="华文楷体" w:hAnsi="华文楷体" w:eastAsia="华文楷体" w:cs="华文楷体"/>
          <w:color w:val="0000FF"/>
          <w:szCs w:val="22"/>
        </w:rPr>
        <w:t xml:space="preserve">1 </w:t>
      </w:r>
      <w:r>
        <w:rPr>
          <w:rFonts w:hint="eastAsia" w:ascii="华文楷体" w:hAnsi="华文楷体" w:eastAsia="华文楷体" w:cs="华文楷体"/>
          <w:color w:val="0000FF"/>
          <w:szCs w:val="22"/>
        </w:rPr>
        <w:t>抗震加固的方案应根据抗震鉴定的结构，综合分析现有建筑的现状和加固目标，区别对待，提出合理方案。现有建筑的刚度较小时，地震下变形较大的结构，宜采用金属阻尼器或摩擦型阻尼器，它们不仅能提供附加阻尼，还可提供附加刚度，小震下能够更加有效地解决变形问题。</w:t>
      </w:r>
    </w:p>
    <w:p>
      <w:pPr>
        <w:adjustRightInd/>
        <w:spacing w:line="240" w:lineRule="auto"/>
        <w:rPr>
          <w:rFonts w:ascii="华文楷体" w:hAnsi="华文楷体" w:eastAsia="华文楷体" w:cs="华文楷体"/>
          <w:color w:val="0000FF"/>
          <w:szCs w:val="22"/>
        </w:rPr>
      </w:pPr>
      <w:r>
        <w:rPr>
          <w:rFonts w:ascii="华文楷体" w:hAnsi="华文楷体" w:eastAsia="华文楷体" w:cs="华文楷体"/>
          <w:color w:val="0000FF"/>
          <w:szCs w:val="22"/>
        </w:rPr>
        <w:t xml:space="preserve">2 </w:t>
      </w:r>
      <w:r>
        <w:rPr>
          <w:rFonts w:hint="eastAsia" w:ascii="华文楷体" w:hAnsi="华文楷体" w:eastAsia="华文楷体" w:cs="华文楷体"/>
          <w:color w:val="0000FF"/>
          <w:szCs w:val="22"/>
        </w:rPr>
        <w:t>采用消能减震加固方案可极大减少对结构构件的直接加固，这才是采用消能减震技术的优势所在。通常仍需要加固的构件是与消能部件直接相关联的构件，数量有限。对构件的加固应保证其延性性能，避免出现加固后出现的脆性破坏。</w:t>
      </w:r>
    </w:p>
    <w:p>
      <w:pPr>
        <w:adjustRightInd/>
        <w:spacing w:line="240" w:lineRule="auto"/>
        <w:rPr>
          <w:rFonts w:ascii="华文楷体" w:hAnsi="华文楷体" w:eastAsia="华文楷体" w:cs="华文楷体"/>
          <w:color w:val="0000FF"/>
          <w:szCs w:val="22"/>
        </w:rPr>
      </w:pPr>
      <w:r>
        <w:rPr>
          <w:rFonts w:ascii="华文楷体" w:hAnsi="华文楷体" w:eastAsia="华文楷体" w:cs="华文楷体"/>
          <w:color w:val="0000FF"/>
          <w:szCs w:val="22"/>
        </w:rPr>
        <w:t xml:space="preserve">3 </w:t>
      </w:r>
      <w:r>
        <w:rPr>
          <w:rFonts w:hint="eastAsia" w:ascii="华文楷体" w:hAnsi="华文楷体" w:eastAsia="华文楷体" w:cs="华文楷体"/>
          <w:color w:val="0000FF"/>
          <w:szCs w:val="22"/>
        </w:rPr>
        <w:t>采用消能减震技术解决结构不规则性时，金属阻尼器中的屈曲约束支撑效果最佳。可以通过布置支撑使结构平面扭转效应或上下层刚度突变满足规范的限值要求。</w:t>
      </w:r>
    </w:p>
    <w:p>
      <w:pPr>
        <w:adjustRightInd/>
        <w:spacing w:line="240" w:lineRule="auto"/>
        <w:rPr>
          <w:rFonts w:ascii="华文楷体" w:hAnsi="华文楷体" w:eastAsia="华文楷体" w:cs="华文楷体"/>
          <w:color w:val="0000FF"/>
          <w:szCs w:val="22"/>
        </w:rPr>
      </w:pPr>
      <w:r>
        <w:rPr>
          <w:rFonts w:ascii="华文楷体" w:hAnsi="华文楷体" w:eastAsia="华文楷体" w:cs="华文楷体"/>
          <w:color w:val="0000FF"/>
          <w:szCs w:val="22"/>
        </w:rPr>
        <w:t xml:space="preserve">4 </w:t>
      </w:r>
      <w:r>
        <w:rPr>
          <w:rFonts w:hint="eastAsia" w:ascii="华文楷体" w:hAnsi="华文楷体" w:eastAsia="华文楷体" w:cs="华文楷体"/>
          <w:color w:val="0000FF"/>
          <w:szCs w:val="22"/>
        </w:rPr>
        <w:t>单跨框架结构采用金属消能器加固后，消能部件能够起到“抗震墙”的作用，同时又具有良好的延性性能，可以解决单跨框架结构抗震冗余度低的问题。</w:t>
      </w:r>
    </w:p>
    <w:p>
      <w:pPr>
        <w:adjustRightInd/>
        <w:spacing w:line="240" w:lineRule="auto"/>
        <w:rPr>
          <w:rFonts w:ascii="华文楷体" w:hAnsi="华文楷体" w:eastAsia="华文楷体" w:cs="华文楷体"/>
          <w:color w:val="0000FF"/>
          <w:szCs w:val="22"/>
        </w:rPr>
      </w:pPr>
      <w:r>
        <w:rPr>
          <w:rFonts w:ascii="华文楷体" w:hAnsi="华文楷体" w:eastAsia="华文楷体" w:cs="华文楷体"/>
          <w:color w:val="0000FF"/>
          <w:szCs w:val="22"/>
        </w:rPr>
        <w:t>5</w:t>
      </w:r>
      <w:r>
        <w:rPr>
          <w:rFonts w:hint="eastAsia" w:ascii="华文楷体" w:hAnsi="华文楷体" w:eastAsia="华文楷体" w:cs="华文楷体"/>
          <w:color w:val="0000FF"/>
          <w:szCs w:val="22"/>
        </w:rPr>
        <w:t>作用在结构上的地震作用，通过楼板传递到消能部件上，因此，楼板应具用一定的整体性。对</w:t>
      </w:r>
      <w:bookmarkStart w:id="55" w:name="_Hlk86742237"/>
      <w:r>
        <w:rPr>
          <w:rFonts w:hint="eastAsia" w:ascii="华文楷体" w:hAnsi="华文楷体" w:eastAsia="华文楷体" w:cs="华文楷体"/>
          <w:color w:val="0000FF"/>
          <w:szCs w:val="22"/>
        </w:rPr>
        <w:t>预制楼板</w:t>
      </w:r>
      <w:bookmarkEnd w:id="55"/>
      <w:r>
        <w:rPr>
          <w:rFonts w:hint="eastAsia" w:ascii="华文楷体" w:hAnsi="华文楷体" w:eastAsia="华文楷体" w:cs="华文楷体"/>
          <w:color w:val="0000FF"/>
          <w:szCs w:val="22"/>
        </w:rPr>
        <w:t>应加强楼面整体性，如：在楼面铺</w:t>
      </w:r>
      <w:r>
        <w:rPr>
          <w:rFonts w:ascii="华文楷体" w:hAnsi="华文楷体" w:eastAsia="华文楷体" w:cs="华文楷体"/>
          <w:color w:val="0000FF"/>
          <w:szCs w:val="22"/>
        </w:rPr>
        <w:t>40mm~50mm</w:t>
      </w:r>
      <w:r>
        <w:rPr>
          <w:rFonts w:hint="eastAsia" w:ascii="华文楷体" w:hAnsi="华文楷体" w:eastAsia="华文楷体" w:cs="华文楷体"/>
          <w:color w:val="0000FF"/>
          <w:szCs w:val="22"/>
        </w:rPr>
        <w:t>的混凝土现浇层或增加预制楼板支承长度以及与支承构件的有效连接。</w:t>
      </w:r>
    </w:p>
    <w:p>
      <w:pPr>
        <w:adjustRightInd/>
        <w:spacing w:line="240" w:lineRule="auto"/>
        <w:rPr>
          <w:rFonts w:ascii="华文楷体" w:hAnsi="华文楷体" w:eastAsia="华文楷体" w:cs="华文楷体"/>
          <w:color w:val="0000FF"/>
          <w:szCs w:val="22"/>
        </w:rPr>
      </w:pPr>
      <w:r>
        <w:rPr>
          <w:rFonts w:ascii="华文楷体" w:hAnsi="华文楷体" w:eastAsia="华文楷体" w:cs="华文楷体"/>
          <w:color w:val="0000FF"/>
          <w:szCs w:val="22"/>
        </w:rPr>
        <w:t xml:space="preserve">6 </w:t>
      </w:r>
      <w:r>
        <w:rPr>
          <w:rFonts w:hint="eastAsia" w:ascii="华文楷体" w:hAnsi="华文楷体" w:eastAsia="华文楷体" w:cs="华文楷体"/>
          <w:color w:val="0000FF"/>
          <w:szCs w:val="22"/>
        </w:rPr>
        <w:t>天然地基承载力验算方法与现行国家标准《建筑抗震鉴定标准》</w:t>
      </w:r>
      <w:r>
        <w:rPr>
          <w:rFonts w:ascii="华文楷体" w:hAnsi="华文楷体" w:eastAsia="华文楷体" w:cs="华文楷体"/>
          <w:color w:val="0000FF"/>
          <w:szCs w:val="22"/>
        </w:rPr>
        <w:t>GB50023</w:t>
      </w:r>
      <w:r>
        <w:rPr>
          <w:rFonts w:hint="eastAsia" w:ascii="华文楷体" w:hAnsi="华文楷体" w:eastAsia="华文楷体" w:cs="华文楷体"/>
          <w:color w:val="0000FF"/>
          <w:szCs w:val="22"/>
        </w:rPr>
        <w:t>的规定相同，可计算入地基长期压密提高系数</w:t>
      </w:r>
      <w:r>
        <w:rPr>
          <w:rFonts w:ascii="华文楷体" w:hAnsi="华文楷体" w:eastAsia="华文楷体" w:cs="华文楷体"/>
          <w:color w:val="0000FF"/>
          <w:szCs w:val="22"/>
        </w:rPr>
        <w:t>1.05~1.20</w:t>
      </w:r>
      <w:r>
        <w:rPr>
          <w:rFonts w:hint="eastAsia" w:ascii="华文楷体" w:hAnsi="华文楷体" w:eastAsia="华文楷体" w:cs="华文楷体"/>
          <w:color w:val="0000FF"/>
          <w:szCs w:val="22"/>
        </w:rPr>
        <w:t>。加固方法有地基土置换、挤密、固化和桩基托换等，其设计和施工方法，可按现行行业标准《现有建筑地基础加固技术规范》</w:t>
      </w:r>
      <w:r>
        <w:rPr>
          <w:rFonts w:ascii="华文楷体" w:hAnsi="华文楷体" w:eastAsia="华文楷体" w:cs="华文楷体"/>
          <w:color w:val="0000FF"/>
          <w:szCs w:val="22"/>
        </w:rPr>
        <w:t>JGJ123</w:t>
      </w:r>
      <w:r>
        <w:rPr>
          <w:rFonts w:hint="eastAsia" w:ascii="华文楷体" w:hAnsi="华文楷体" w:eastAsia="华文楷体" w:cs="华文楷体"/>
          <w:color w:val="0000FF"/>
          <w:szCs w:val="22"/>
        </w:rPr>
        <w:t>的规定执行。</w:t>
      </w:r>
    </w:p>
    <w:p>
      <w:pPr>
        <w:adjustRightInd/>
        <w:spacing w:line="240" w:lineRule="auto"/>
        <w:rPr>
          <w:rFonts w:ascii="华文楷体" w:hAnsi="华文楷体" w:eastAsia="华文楷体" w:cs="华文楷体"/>
          <w:color w:val="0000FF"/>
          <w:szCs w:val="22"/>
        </w:rPr>
      </w:pPr>
      <w:r>
        <w:rPr>
          <w:rFonts w:ascii="华文楷体" w:hAnsi="华文楷体" w:eastAsia="华文楷体" w:cs="华文楷体"/>
          <w:color w:val="0000FF"/>
          <w:szCs w:val="22"/>
        </w:rPr>
        <w:t xml:space="preserve">7 </w:t>
      </w:r>
      <w:r>
        <w:rPr>
          <w:rFonts w:hint="eastAsia" w:ascii="华文楷体" w:hAnsi="华文楷体" w:eastAsia="华文楷体" w:cs="华文楷体"/>
          <w:color w:val="0000FF"/>
          <w:szCs w:val="22"/>
        </w:rPr>
        <w:t>消除液化沉降是地基加固的重点。采取液化地基的抗液化措施时，要经过液化判别，根据地基的液化指数和液化等级以及抗震设防类别区别对待。</w:t>
      </w:r>
      <w:r>
        <w:rPr>
          <w:rFonts w:ascii="华文楷体" w:hAnsi="华文楷体" w:eastAsia="华文楷体" w:cs="华文楷体"/>
          <w:color w:val="0000FF"/>
          <w:szCs w:val="22"/>
        </w:rPr>
        <w:t>A</w:t>
      </w:r>
      <w:r>
        <w:rPr>
          <w:rFonts w:hint="eastAsia" w:ascii="华文楷体" w:hAnsi="华文楷体" w:eastAsia="华文楷体" w:cs="华文楷体"/>
          <w:color w:val="0000FF"/>
          <w:szCs w:val="22"/>
        </w:rPr>
        <w:t>类建筑，仅对液化等级为严重的现有地基采取抗液化措施；对于乙类设防的</w:t>
      </w:r>
      <w:r>
        <w:rPr>
          <w:rFonts w:ascii="华文楷体" w:hAnsi="华文楷体" w:eastAsia="华文楷体" w:cs="华文楷体"/>
          <w:color w:val="0000FF"/>
          <w:szCs w:val="22"/>
        </w:rPr>
        <w:t>B</w:t>
      </w:r>
      <w:r>
        <w:rPr>
          <w:rFonts w:hint="eastAsia" w:ascii="华文楷体" w:hAnsi="华文楷体" w:eastAsia="华文楷体" w:cs="华文楷体"/>
          <w:color w:val="0000FF"/>
          <w:szCs w:val="22"/>
        </w:rPr>
        <w:t>类建筑，液化等级为中等时也需采取抗液化措施，见表</w:t>
      </w:r>
      <w:r>
        <w:rPr>
          <w:rFonts w:ascii="华文楷体" w:hAnsi="华文楷体" w:eastAsia="华文楷体" w:cs="华文楷体"/>
          <w:color w:val="0000FF"/>
          <w:szCs w:val="22"/>
        </w:rPr>
        <w:t>9.1.1</w:t>
      </w:r>
      <w:r>
        <w:rPr>
          <w:rFonts w:hint="eastAsia" w:ascii="华文楷体" w:hAnsi="华文楷体" w:eastAsia="华文楷体" w:cs="华文楷体"/>
          <w:color w:val="0000FF"/>
          <w:szCs w:val="22"/>
        </w:rPr>
        <w:t>。消除液化的措施有：桩基托换、压重法、覆盖法、排水桩法、旋喷法。</w:t>
      </w:r>
    </w:p>
    <w:p>
      <w:pPr>
        <w:adjustRightInd/>
        <w:spacing w:line="360" w:lineRule="auto"/>
        <w:jc w:val="center"/>
        <w:rPr>
          <w:rFonts w:ascii="华文楷体" w:hAnsi="华文楷体" w:eastAsia="华文楷体" w:cs="华文楷体"/>
          <w:color w:val="0000FF"/>
          <w:szCs w:val="22"/>
        </w:rPr>
      </w:pPr>
      <w:r>
        <w:rPr>
          <w:rFonts w:hint="eastAsia" w:ascii="华文楷体" w:hAnsi="华文楷体" w:eastAsia="华文楷体" w:cs="华文楷体"/>
          <w:color w:val="0000FF"/>
          <w:szCs w:val="22"/>
        </w:rPr>
        <w:t>表</w:t>
      </w:r>
      <w:r>
        <w:rPr>
          <w:rFonts w:ascii="华文楷体" w:hAnsi="华文楷体" w:eastAsia="华文楷体" w:cs="华文楷体"/>
          <w:color w:val="0000FF"/>
          <w:szCs w:val="22"/>
        </w:rPr>
        <w:t>9.1.1</w:t>
      </w:r>
      <w:r>
        <w:rPr>
          <w:rFonts w:hint="eastAsia" w:ascii="华文楷体" w:hAnsi="华文楷体" w:eastAsia="华文楷体" w:cs="华文楷体"/>
          <w:color w:val="0000FF"/>
          <w:szCs w:val="22"/>
        </w:rPr>
        <w:t>液化地基处理范围</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2040"/>
        <w:gridCol w:w="2720"/>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tcPr>
          <w:p>
            <w:pPr>
              <w:adjustRightInd/>
              <w:spacing w:line="360" w:lineRule="auto"/>
              <w:ind w:firstLine="420" w:firstLineChars="200"/>
              <w:jc w:val="left"/>
              <w:rPr>
                <w:rFonts w:ascii="华文楷体" w:hAnsi="华文楷体" w:eastAsia="华文楷体" w:cs="华文楷体"/>
                <w:color w:val="0000FF"/>
                <w:szCs w:val="22"/>
              </w:rPr>
            </w:pPr>
            <w:r>
              <w:rPr>
                <w:rFonts w:hint="eastAsia" w:ascii="华文楷体" w:hAnsi="华文楷体" w:eastAsia="华文楷体" w:cs="华文楷体"/>
                <w:color w:val="0000FF"/>
                <w:szCs w:val="22"/>
              </w:rPr>
              <w:t>设防类别</w:t>
            </w:r>
          </w:p>
        </w:tc>
        <w:tc>
          <w:tcPr>
            <w:tcW w:w="2040" w:type="dxa"/>
          </w:tcPr>
          <w:p>
            <w:pPr>
              <w:adjustRightInd/>
              <w:spacing w:line="360" w:lineRule="auto"/>
              <w:ind w:firstLine="420" w:firstLineChars="200"/>
              <w:jc w:val="left"/>
              <w:rPr>
                <w:rFonts w:ascii="华文楷体" w:hAnsi="华文楷体" w:eastAsia="华文楷体" w:cs="华文楷体"/>
                <w:color w:val="0000FF"/>
                <w:szCs w:val="22"/>
              </w:rPr>
            </w:pPr>
            <w:r>
              <w:rPr>
                <w:rFonts w:hint="eastAsia" w:ascii="华文楷体" w:hAnsi="华文楷体" w:eastAsia="华文楷体" w:cs="华文楷体"/>
                <w:color w:val="0000FF"/>
                <w:szCs w:val="22"/>
              </w:rPr>
              <w:t>轻微液化</w:t>
            </w:r>
          </w:p>
        </w:tc>
        <w:tc>
          <w:tcPr>
            <w:tcW w:w="2720" w:type="dxa"/>
          </w:tcPr>
          <w:p>
            <w:pPr>
              <w:adjustRightInd/>
              <w:spacing w:line="360" w:lineRule="auto"/>
              <w:ind w:firstLine="420" w:firstLineChars="200"/>
              <w:jc w:val="left"/>
              <w:rPr>
                <w:rFonts w:ascii="华文楷体" w:hAnsi="华文楷体" w:eastAsia="华文楷体" w:cs="华文楷体"/>
                <w:color w:val="0000FF"/>
                <w:szCs w:val="22"/>
              </w:rPr>
            </w:pPr>
            <w:r>
              <w:rPr>
                <w:rFonts w:hint="eastAsia" w:ascii="华文楷体" w:hAnsi="华文楷体" w:eastAsia="华文楷体" w:cs="华文楷体"/>
                <w:color w:val="0000FF"/>
                <w:szCs w:val="22"/>
              </w:rPr>
              <w:t>中等液化</w:t>
            </w:r>
          </w:p>
        </w:tc>
        <w:tc>
          <w:tcPr>
            <w:tcW w:w="2265" w:type="dxa"/>
          </w:tcPr>
          <w:p>
            <w:pPr>
              <w:adjustRightInd/>
              <w:spacing w:line="360" w:lineRule="auto"/>
              <w:ind w:firstLine="420" w:firstLineChars="200"/>
              <w:jc w:val="left"/>
              <w:rPr>
                <w:rFonts w:ascii="华文楷体" w:hAnsi="华文楷体" w:eastAsia="华文楷体" w:cs="华文楷体"/>
                <w:color w:val="0000FF"/>
                <w:szCs w:val="22"/>
              </w:rPr>
            </w:pPr>
            <w:r>
              <w:rPr>
                <w:rFonts w:hint="eastAsia" w:ascii="华文楷体" w:hAnsi="华文楷体" w:eastAsia="华文楷体" w:cs="华文楷体"/>
                <w:color w:val="0000FF"/>
                <w:szCs w:val="22"/>
              </w:rPr>
              <w:t>严重液化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tcPr>
          <w:p>
            <w:pPr>
              <w:adjustRightInd/>
              <w:spacing w:line="240" w:lineRule="auto"/>
              <w:ind w:firstLine="420" w:firstLineChars="200"/>
              <w:jc w:val="left"/>
              <w:rPr>
                <w:rFonts w:ascii="华文楷体" w:hAnsi="华文楷体" w:eastAsia="华文楷体" w:cs="华文楷体"/>
                <w:color w:val="0000FF"/>
                <w:szCs w:val="22"/>
              </w:rPr>
            </w:pPr>
            <w:r>
              <w:rPr>
                <w:rFonts w:hint="eastAsia" w:ascii="华文楷体" w:hAnsi="华文楷体" w:eastAsia="华文楷体" w:cs="华文楷体"/>
                <w:color w:val="0000FF"/>
                <w:szCs w:val="22"/>
              </w:rPr>
              <w:t>乙类</w:t>
            </w:r>
          </w:p>
        </w:tc>
        <w:tc>
          <w:tcPr>
            <w:tcW w:w="2040" w:type="dxa"/>
          </w:tcPr>
          <w:p>
            <w:pPr>
              <w:adjustRightInd/>
              <w:spacing w:line="240" w:lineRule="auto"/>
              <w:jc w:val="left"/>
              <w:rPr>
                <w:rFonts w:ascii="华文楷体" w:hAnsi="华文楷体" w:eastAsia="华文楷体" w:cs="华文楷体"/>
                <w:color w:val="0000FF"/>
                <w:szCs w:val="22"/>
              </w:rPr>
            </w:pPr>
            <w:r>
              <w:rPr>
                <w:rFonts w:hint="eastAsia" w:ascii="华文楷体" w:hAnsi="华文楷体" w:eastAsia="华文楷体" w:cs="华文楷体"/>
                <w:color w:val="0000FF"/>
                <w:szCs w:val="22"/>
              </w:rPr>
              <w:t>可不采取措施</w:t>
            </w:r>
          </w:p>
        </w:tc>
        <w:tc>
          <w:tcPr>
            <w:tcW w:w="2720" w:type="dxa"/>
          </w:tcPr>
          <w:p>
            <w:pPr>
              <w:adjustRightInd/>
              <w:spacing w:line="240" w:lineRule="auto"/>
              <w:jc w:val="left"/>
              <w:rPr>
                <w:rFonts w:ascii="华文楷体" w:hAnsi="华文楷体" w:eastAsia="华文楷体" w:cs="华文楷体"/>
                <w:color w:val="0000FF"/>
                <w:szCs w:val="22"/>
              </w:rPr>
            </w:pPr>
            <w:r>
              <w:rPr>
                <w:rFonts w:hint="eastAsia" w:ascii="华文楷体" w:hAnsi="华文楷体" w:eastAsia="华文楷体" w:cs="华文楷体"/>
                <w:color w:val="0000FF"/>
                <w:szCs w:val="22"/>
              </w:rPr>
              <w:t>基础和上部结构处理或其他经济措施</w:t>
            </w:r>
          </w:p>
        </w:tc>
        <w:tc>
          <w:tcPr>
            <w:tcW w:w="2265" w:type="dxa"/>
          </w:tcPr>
          <w:p>
            <w:pPr>
              <w:adjustRightInd/>
              <w:spacing w:line="240" w:lineRule="auto"/>
              <w:jc w:val="left"/>
              <w:rPr>
                <w:rFonts w:ascii="华文楷体" w:hAnsi="华文楷体" w:eastAsia="华文楷体" w:cs="华文楷体"/>
                <w:color w:val="0000FF"/>
                <w:szCs w:val="22"/>
              </w:rPr>
            </w:pPr>
            <w:r>
              <w:rPr>
                <w:rFonts w:hint="eastAsia" w:ascii="华文楷体" w:hAnsi="华文楷体" w:eastAsia="华文楷体" w:cs="华文楷体"/>
                <w:color w:val="0000FF"/>
                <w:szCs w:val="22"/>
              </w:rPr>
              <w:t>宜全部消除液化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tcPr>
          <w:p>
            <w:pPr>
              <w:adjustRightInd/>
              <w:spacing w:line="240" w:lineRule="auto"/>
              <w:ind w:firstLine="420" w:firstLineChars="200"/>
              <w:jc w:val="left"/>
              <w:rPr>
                <w:rFonts w:ascii="华文楷体" w:hAnsi="华文楷体" w:eastAsia="华文楷体" w:cs="华文楷体"/>
                <w:color w:val="0000FF"/>
                <w:szCs w:val="22"/>
              </w:rPr>
            </w:pPr>
            <w:r>
              <w:rPr>
                <w:rFonts w:hint="eastAsia" w:ascii="华文楷体" w:hAnsi="华文楷体" w:eastAsia="华文楷体" w:cs="华文楷体"/>
                <w:color w:val="0000FF"/>
                <w:szCs w:val="22"/>
              </w:rPr>
              <w:t>丙类</w:t>
            </w:r>
          </w:p>
        </w:tc>
        <w:tc>
          <w:tcPr>
            <w:tcW w:w="2040" w:type="dxa"/>
          </w:tcPr>
          <w:p>
            <w:pPr>
              <w:adjustRightInd/>
              <w:spacing w:line="240" w:lineRule="auto"/>
              <w:jc w:val="left"/>
              <w:rPr>
                <w:rFonts w:ascii="华文楷体" w:hAnsi="华文楷体" w:eastAsia="华文楷体" w:cs="华文楷体"/>
                <w:color w:val="0000FF"/>
                <w:szCs w:val="22"/>
              </w:rPr>
            </w:pPr>
            <w:r>
              <w:rPr>
                <w:rFonts w:hint="eastAsia" w:ascii="华文楷体" w:hAnsi="华文楷体" w:eastAsia="华文楷体" w:cs="华文楷体"/>
                <w:color w:val="0000FF"/>
                <w:szCs w:val="22"/>
              </w:rPr>
              <w:t>可不采取措施</w:t>
            </w:r>
          </w:p>
        </w:tc>
        <w:tc>
          <w:tcPr>
            <w:tcW w:w="2720" w:type="dxa"/>
          </w:tcPr>
          <w:p>
            <w:pPr>
              <w:adjustRightInd/>
              <w:spacing w:line="240" w:lineRule="auto"/>
              <w:jc w:val="left"/>
              <w:rPr>
                <w:rFonts w:ascii="华文楷体" w:hAnsi="华文楷体" w:eastAsia="华文楷体" w:cs="华文楷体"/>
                <w:color w:val="0000FF"/>
                <w:szCs w:val="22"/>
              </w:rPr>
            </w:pPr>
            <w:r>
              <w:rPr>
                <w:rFonts w:hint="eastAsia" w:ascii="华文楷体" w:hAnsi="华文楷体" w:eastAsia="华文楷体" w:cs="华文楷体"/>
                <w:color w:val="0000FF"/>
                <w:szCs w:val="22"/>
              </w:rPr>
              <w:t>可不采取措施</w:t>
            </w:r>
          </w:p>
        </w:tc>
        <w:tc>
          <w:tcPr>
            <w:tcW w:w="2265" w:type="dxa"/>
          </w:tcPr>
          <w:p>
            <w:pPr>
              <w:adjustRightInd/>
              <w:spacing w:line="240" w:lineRule="auto"/>
              <w:jc w:val="left"/>
              <w:rPr>
                <w:rFonts w:ascii="华文楷体" w:hAnsi="华文楷体" w:eastAsia="华文楷体" w:cs="华文楷体"/>
                <w:color w:val="0000FF"/>
                <w:szCs w:val="22"/>
              </w:rPr>
            </w:pPr>
            <w:r>
              <w:rPr>
                <w:rFonts w:hint="eastAsia" w:ascii="华文楷体" w:hAnsi="华文楷体" w:eastAsia="华文楷体" w:cs="华文楷体"/>
                <w:color w:val="0000FF"/>
                <w:szCs w:val="22"/>
              </w:rPr>
              <w:t>宜部分消除液化或基础和上部结构处理</w:t>
            </w:r>
          </w:p>
        </w:tc>
      </w:tr>
    </w:tbl>
    <w:p>
      <w:pPr>
        <w:pStyle w:val="167"/>
      </w:pPr>
      <w:r>
        <w:rPr>
          <w:rFonts w:hint="eastAsia"/>
        </w:rPr>
        <w:t>消能减震加固除应满足本章节的要求外，尚应满足现行标准《建筑抗震加固技术规程》JGJ116相关要求。</w:t>
      </w:r>
    </w:p>
    <w:p>
      <w:pPr>
        <w:pStyle w:val="107"/>
        <w:spacing w:before="156" w:after="156"/>
        <w:jc w:val="center"/>
      </w:pPr>
      <w:r>
        <w:rPr>
          <w:rFonts w:hint="eastAsia"/>
        </w:rPr>
        <w:t>加固设计</w:t>
      </w:r>
    </w:p>
    <w:p>
      <w:pPr>
        <w:pStyle w:val="167"/>
      </w:pPr>
      <w:r>
        <w:rPr>
          <w:rFonts w:hint="eastAsia"/>
        </w:rPr>
        <w:t>采用消能减震加固的既有建筑适用高度可按《建筑消能减震加固技术规程》T/CECS 547相关规范采用。</w:t>
      </w:r>
    </w:p>
    <w:p>
      <w:pPr>
        <w:pStyle w:val="167"/>
      </w:pPr>
      <w:r>
        <w:rPr>
          <w:rFonts w:hint="eastAsia"/>
        </w:rPr>
        <w:t>结构构件的抗震验算时，结构构件内力的设计值的地震作用分项系数和承载力抗震调整系数应按本规程规定采用。A类和B类建筑的构件内力设计值按《建筑抗震鉴定标准》GB50023调整，C类建筑的构件内力设计值按《建筑抗震设计规范》GB50011调整。</w:t>
      </w:r>
    </w:p>
    <w:p>
      <w:pPr>
        <w:adjustRightInd/>
        <w:spacing w:line="240" w:lineRule="auto"/>
        <w:rPr>
          <w:rFonts w:ascii="Times New Roman" w:hAnsi="Times New Roman"/>
          <w:color w:val="000000" w:themeColor="text1"/>
          <w14:textFill>
            <w14:solidFill>
              <w14:schemeClr w14:val="tx1"/>
            </w14:solidFill>
          </w14:textFill>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9.2.2</w:t>
      </w:r>
      <w:r>
        <w:rPr>
          <w:rFonts w:hint="eastAsia" w:ascii="华文楷体" w:hAnsi="华文楷体" w:eastAsia="华文楷体" w:cs="华文楷体"/>
          <w:color w:val="0000FF"/>
          <w:szCs w:val="22"/>
        </w:rPr>
        <w:t>针对不同后续使用年限的加固结构类别，本条给出了主体结构构件强度和承载力截面验算时一般规定和方法。验算时，地震作用按本标准给定的针对不同后续使用年限的结构取值；地震作用效应与其他荷载效应的组合按现行国家标准《建筑抗震设计规范》</w:t>
      </w:r>
      <w:r>
        <w:rPr>
          <w:rFonts w:ascii="华文楷体" w:hAnsi="华文楷体" w:eastAsia="华文楷体" w:cs="华文楷体"/>
          <w:color w:val="0000FF"/>
          <w:szCs w:val="22"/>
        </w:rPr>
        <w:t>GB 50011</w:t>
      </w:r>
      <w:r>
        <w:rPr>
          <w:rFonts w:hint="eastAsia" w:ascii="华文楷体" w:hAnsi="华文楷体" w:eastAsia="华文楷体" w:cs="华文楷体"/>
          <w:color w:val="0000FF"/>
          <w:szCs w:val="22"/>
        </w:rPr>
        <w:t>方法取值；结构构件截面、材料强度和配筋可按实际检测值取用，材料性能指标按现行国家标准《建筑抗震设计规范》</w:t>
      </w:r>
      <w:r>
        <w:rPr>
          <w:rFonts w:ascii="华文楷体" w:hAnsi="华文楷体" w:eastAsia="华文楷体" w:cs="华文楷体"/>
          <w:color w:val="0000FF"/>
          <w:szCs w:val="22"/>
        </w:rPr>
        <w:t>GB50011</w:t>
      </w:r>
      <w:r>
        <w:rPr>
          <w:rFonts w:hint="eastAsia" w:ascii="华文楷体" w:hAnsi="华文楷体" w:eastAsia="华文楷体" w:cs="华文楷体"/>
          <w:color w:val="0000FF"/>
          <w:szCs w:val="22"/>
        </w:rPr>
        <w:t>规定取值，抗震规范中未规定的材料可根据相关现行规范或规程的规定取值；内力调整系数按本标准规定取值；承载力验算公式按现行国家标准《建筑抗震设计规范》</w:t>
      </w:r>
      <w:r>
        <w:rPr>
          <w:rFonts w:ascii="华文楷体" w:hAnsi="华文楷体" w:eastAsia="华文楷体" w:cs="华文楷体"/>
          <w:color w:val="0000FF"/>
          <w:szCs w:val="22"/>
        </w:rPr>
        <w:t>GB50011</w:t>
      </w:r>
      <w:r>
        <w:rPr>
          <w:rFonts w:hint="eastAsia" w:ascii="华文楷体" w:hAnsi="华文楷体" w:eastAsia="华文楷体" w:cs="华文楷体"/>
          <w:color w:val="0000FF"/>
          <w:szCs w:val="22"/>
        </w:rPr>
        <w:t>或相关规范、规程的规定采用。</w:t>
      </w:r>
    </w:p>
    <w:p>
      <w:pPr>
        <w:pStyle w:val="167"/>
      </w:pPr>
      <w:r>
        <w:rPr>
          <w:rFonts w:hint="eastAsia"/>
        </w:rPr>
        <w:t>既有建筑经消能减震加固后，应符合现行国家标准《建筑抗震鉴定标准》GB 50023或《建筑消能减震加固技术规程》T/547的承载能力、变形及抗震措施规定。</w:t>
      </w:r>
    </w:p>
    <w:p>
      <w:pPr>
        <w:pStyle w:val="167"/>
      </w:pPr>
      <w:r>
        <w:rPr>
          <w:rFonts w:hint="eastAsia"/>
        </w:rPr>
        <w:t>现有A、B、C类钢筋混凝土房屋的抗震构造措施不符合本规范相关规定时，可采用楼层综合抗震能力指数法按下式进行验算：</w:t>
      </w:r>
    </w:p>
    <w:p>
      <w:pPr>
        <w:pStyle w:val="115"/>
      </w:pPr>
      <w:r>
        <w:tab/>
      </w:r>
      <w:r>
        <w:rPr>
          <w:rFonts w:hint="eastAsia"/>
          <w:position w:val="-14"/>
          <w:sz w:val="32"/>
          <w:szCs w:val="24"/>
          <w:vertAlign w:val="subscript"/>
        </w:rPr>
        <w:object>
          <v:shape id="_x0000_i1219" o:spt="75" type="#_x0000_t75" style="height:18.35pt;width:59.5pt;" o:ole="t" filled="f" o:preferrelative="t" stroked="f" coordsize="21600,21600">
            <v:path/>
            <v:fill on="f" focussize="0,0"/>
            <v:stroke on="f" joinstyle="miter"/>
            <v:imagedata r:id="rId389" o:title=""/>
            <o:lock v:ext="edit" aspectratio="t"/>
            <w10:wrap type="none"/>
            <w10:anchorlock/>
          </v:shape>
          <o:OLEObject Type="Embed" ProgID="Equation.DSMT4" ShapeID="_x0000_i1219" DrawAspect="Content" ObjectID="_1468075919" r:id="rId388">
            <o:LockedField>false</o:LockedField>
          </o:OLEObject>
        </w:object>
      </w:r>
      <w:r>
        <w:rPr>
          <w:rFonts w:ascii="微软雅黑" w:hAnsi="微软雅黑" w:eastAsia="微软雅黑"/>
        </w:rPr>
        <w:tab/>
      </w:r>
      <w:r>
        <w:t>(9.2.4-1)</w:t>
      </w:r>
    </w:p>
    <w:p>
      <w:pPr>
        <w:pStyle w:val="115"/>
      </w:pPr>
      <w:r>
        <w:tab/>
      </w:r>
      <w:r>
        <w:rPr>
          <w:rFonts w:hint="eastAsia"/>
          <w:position w:val="-14"/>
          <w:sz w:val="28"/>
          <w:szCs w:val="24"/>
        </w:rPr>
        <w:object>
          <v:shape id="_x0000_i1220" o:spt="75" type="#_x0000_t75" style="height:18.35pt;width:55.85pt;" o:ole="t" filled="f" o:preferrelative="t" stroked="f" coordsize="21600,21600">
            <v:path/>
            <v:fill on="f" focussize="0,0"/>
            <v:stroke on="f" joinstyle="miter"/>
            <v:imagedata r:id="rId391" o:title=""/>
            <o:lock v:ext="edit" aspectratio="t"/>
            <w10:wrap type="none"/>
            <w10:anchorlock/>
          </v:shape>
          <o:OLEObject Type="Embed" ProgID="Equation.DSMT4" ShapeID="_x0000_i1220" DrawAspect="Content" ObjectID="_1468075920" r:id="rId390">
            <o:LockedField>false</o:LockedField>
          </o:OLEObject>
        </w:object>
      </w:r>
      <w:r>
        <w:rPr>
          <w:rFonts w:ascii="微软雅黑" w:hAnsi="微软雅黑" w:eastAsia="微软雅黑"/>
        </w:rPr>
        <w:tab/>
      </w:r>
      <w:r>
        <w:t>(9.2.4-2)</w:t>
      </w:r>
    </w:p>
    <w:p>
      <w:pPr>
        <w:pStyle w:val="58"/>
        <w:ind w:left="1470" w:leftChars="200" w:hanging="1050" w:hangingChars="500"/>
      </w:pPr>
      <w:r>
        <w:rPr>
          <w:rFonts w:hint="eastAsia"/>
        </w:rPr>
        <w:t>式中：</w:t>
      </w:r>
      <w:r>
        <w:object>
          <v:shape id="_x0000_i1221" o:spt="75" type="#_x0000_t75" style="height:16.15pt;width:11.75pt;" o:ole="t" filled="f" o:preferrelative="t" stroked="f" coordsize="21600,21600">
            <v:path/>
            <v:fill on="f" focussize="0,0"/>
            <v:stroke on="f" joinstyle="miter"/>
            <v:imagedata r:id="rId393" o:title=""/>
            <o:lock v:ext="edit" aspectratio="t"/>
            <w10:wrap type="none"/>
            <w10:anchorlock/>
          </v:shape>
          <o:OLEObject Type="Embed" ProgID="Equation.DSMT4" ShapeID="_x0000_i1221" DrawAspect="Content" ObjectID="_1468075921" r:id="rId392">
            <o:LockedField>false</o:LockedField>
          </o:OLEObject>
        </w:object>
      </w:r>
      <w:r>
        <w:t>—</w:t>
      </w:r>
      <w:r>
        <w:rPr>
          <w:rFonts w:hint="eastAsia"/>
        </w:rPr>
        <w:t>平面结构楼层综合抗震能力指数。大于等于</w:t>
      </w:r>
      <w:r>
        <w:t>1.0</w:t>
      </w:r>
      <w:r>
        <w:rPr>
          <w:rFonts w:hint="eastAsia"/>
        </w:rPr>
        <w:t>时，应认为满足要求；当小于</w:t>
      </w:r>
      <w:r>
        <w:t>1.0</w:t>
      </w:r>
      <w:r>
        <w:rPr>
          <w:rFonts w:hint="eastAsia"/>
        </w:rPr>
        <w:t>时，应采取加固或其他相应措施；</w:t>
      </w:r>
    </w:p>
    <w:p>
      <w:pPr>
        <w:pStyle w:val="58"/>
        <w:ind w:left="1470" w:leftChars="500" w:hanging="420" w:hangingChars="200"/>
      </w:pPr>
      <w:r>
        <w:object>
          <v:shape id="_x0000_i1222" o:spt="75" type="#_x0000_t75" style="height:18.35pt;width:12.5pt;" o:ole="t" filled="f" o:preferrelative="t" stroked="f" coordsize="21600,21600">
            <v:path/>
            <v:fill on="f" focussize="0,0"/>
            <v:stroke on="f" joinstyle="miter"/>
            <v:imagedata r:id="rId395" o:title=""/>
            <o:lock v:ext="edit" aspectratio="t"/>
            <w10:wrap type="none"/>
            <w10:anchorlock/>
          </v:shape>
          <o:OLEObject Type="Embed" ProgID="Equation.DSMT4" ShapeID="_x0000_i1222" DrawAspect="Content" ObjectID="_1468075922" r:id="rId394">
            <o:LockedField>false</o:LockedField>
          </o:OLEObject>
        </w:object>
      </w:r>
      <w:r>
        <w:t>—</w:t>
      </w:r>
      <w:r>
        <w:rPr>
          <w:rFonts w:hint="eastAsia"/>
        </w:rPr>
        <w:t>体系影响系数，</w:t>
      </w:r>
      <w:r>
        <w:t>A</w:t>
      </w:r>
      <w:r>
        <w:rPr>
          <w:rFonts w:hint="eastAsia"/>
        </w:rPr>
        <w:t>类建筑可按本标准第</w:t>
      </w:r>
      <w:r>
        <w:t>9.2.5</w:t>
      </w:r>
      <w:r>
        <w:rPr>
          <w:rFonts w:hint="eastAsia"/>
        </w:rPr>
        <w:t>条确定；</w:t>
      </w:r>
      <w:r>
        <w:t>B</w:t>
      </w:r>
      <w:r>
        <w:rPr>
          <w:rFonts w:hint="eastAsia"/>
        </w:rPr>
        <w:t>类建筑可按本标准</w:t>
      </w:r>
      <w:r>
        <w:t>9.2.6</w:t>
      </w:r>
      <w:r>
        <w:rPr>
          <w:rFonts w:hint="eastAsia"/>
        </w:rPr>
        <w:t>条确定；</w:t>
      </w:r>
      <w:r>
        <w:t>C</w:t>
      </w:r>
      <w:r>
        <w:rPr>
          <w:rFonts w:hint="eastAsia"/>
        </w:rPr>
        <w:t>类建筑可按本标准第</w:t>
      </w:r>
      <w:r>
        <w:t>9.2.7</w:t>
      </w:r>
      <w:r>
        <w:rPr>
          <w:rFonts w:hint="eastAsia"/>
        </w:rPr>
        <w:t>条确定；</w:t>
      </w:r>
    </w:p>
    <w:p>
      <w:pPr>
        <w:pStyle w:val="58"/>
        <w:ind w:firstLine="1050" w:firstLineChars="500"/>
      </w:pPr>
      <w:r>
        <w:object>
          <v:shape id="_x0000_i1223" o:spt="75" type="#_x0000_t75" style="height:18.35pt;width:15.45pt;" o:ole="t" filled="f" o:preferrelative="t" stroked="f" coordsize="21600,21600">
            <v:path/>
            <v:fill on="f" focussize="0,0"/>
            <v:stroke on="f" joinstyle="miter"/>
            <v:imagedata r:id="rId397" o:title=""/>
            <o:lock v:ext="edit" aspectratio="t"/>
            <w10:wrap type="none"/>
            <w10:anchorlock/>
          </v:shape>
          <o:OLEObject Type="Embed" ProgID="Equation.DSMT4" ShapeID="_x0000_i1223" DrawAspect="Content" ObjectID="_1468075923" r:id="rId396">
            <o:LockedField>false</o:LockedField>
          </o:OLEObject>
        </w:object>
      </w:r>
      <w:r>
        <w:t>—</w:t>
      </w:r>
      <w:r>
        <w:rPr>
          <w:rFonts w:hint="eastAsia"/>
        </w:rPr>
        <w:t>局部影响系数，按现行国家标准《建筑抗震鉴定标准》</w:t>
      </w:r>
      <w:r>
        <w:t>GB50023</w:t>
      </w:r>
      <w:r>
        <w:rPr>
          <w:rFonts w:hint="eastAsia"/>
        </w:rPr>
        <w:t>的有关规定取值；</w:t>
      </w:r>
    </w:p>
    <w:p>
      <w:pPr>
        <w:pStyle w:val="58"/>
        <w:ind w:firstLine="1050" w:firstLineChars="500"/>
      </w:pPr>
      <w:r>
        <w:object>
          <v:shape id="_x0000_i1224" o:spt="75" type="#_x0000_t75" style="height:18.35pt;width:12.5pt;" o:ole="t" filled="f" o:preferrelative="t" stroked="f" coordsize="21600,21600">
            <v:path/>
            <v:fill on="f" focussize="0,0"/>
            <v:stroke on="f" joinstyle="miter"/>
            <v:imagedata r:id="rId399" o:title=""/>
            <o:lock v:ext="edit" aspectratio="t"/>
            <w10:wrap type="none"/>
            <w10:anchorlock/>
          </v:shape>
          <o:OLEObject Type="Embed" ProgID="Equation.DSMT4" ShapeID="_x0000_i1224" DrawAspect="Content" ObjectID="_1468075924" r:id="rId398">
            <o:LockedField>false</o:LockedField>
          </o:OLEObject>
        </w:object>
      </w:r>
      <w:r>
        <w:t>—</w:t>
      </w:r>
      <w:r>
        <w:rPr>
          <w:rFonts w:hint="eastAsia"/>
        </w:rPr>
        <w:t>楼层屈服强度系数；</w:t>
      </w:r>
    </w:p>
    <w:p>
      <w:pPr>
        <w:pStyle w:val="58"/>
        <w:ind w:left="1680" w:leftChars="500" w:hanging="630" w:hangingChars="300"/>
      </w:pPr>
      <w:r>
        <w:object>
          <v:shape id="_x0000_i1225" o:spt="75" type="#_x0000_t75" style="height:18.35pt;width:12.5pt;" o:ole="t" filled="f" o:preferrelative="t" stroked="f" coordsize="21600,21600">
            <v:path/>
            <v:fill on="f" focussize="0,0"/>
            <v:stroke on="f" joinstyle="miter"/>
            <v:imagedata r:id="rId401" o:title=""/>
            <o:lock v:ext="edit" aspectratio="t"/>
            <w10:wrap type="none"/>
            <w10:anchorlock/>
          </v:shape>
          <o:OLEObject Type="Embed" ProgID="Equation.DSMT4" ShapeID="_x0000_i1225" DrawAspect="Content" ObjectID="_1468075925" r:id="rId400">
            <o:LockedField>false</o:LockedField>
          </o:OLEObject>
        </w:object>
      </w:r>
      <w:r>
        <w:t>—</w:t>
      </w:r>
      <w:r>
        <w:rPr>
          <w:rFonts w:hint="eastAsia"/>
        </w:rPr>
        <w:t>楼层现有受剪承载力，可按现行国家标准《建筑抗震鉴定标准》</w:t>
      </w:r>
      <w:r>
        <w:t>GB50023</w:t>
      </w:r>
      <w:r>
        <w:rPr>
          <w:rFonts w:hint="eastAsia"/>
        </w:rPr>
        <w:t>附录</w:t>
      </w:r>
      <w:r>
        <w:t>C</w:t>
      </w:r>
      <w:r>
        <w:rPr>
          <w:rFonts w:hint="eastAsia"/>
        </w:rPr>
        <w:t>计算，同时计入消能部件的承载力；</w:t>
      </w:r>
    </w:p>
    <w:p>
      <w:pPr>
        <w:pStyle w:val="58"/>
        <w:ind w:firstLine="1050" w:firstLineChars="500"/>
      </w:pPr>
      <w:r>
        <w:object>
          <v:shape id="_x0000_i1226" o:spt="75" type="#_x0000_t75" style="height:18.35pt;width:12.5pt;" o:ole="t" filled="f" o:preferrelative="t" stroked="f" coordsize="21600,21600">
            <v:path/>
            <v:fill on="f" focussize="0,0"/>
            <v:stroke on="f" joinstyle="miter"/>
            <v:imagedata r:id="rId403" o:title=""/>
            <o:lock v:ext="edit" aspectratio="t"/>
            <w10:wrap type="none"/>
            <w10:anchorlock/>
          </v:shape>
          <o:OLEObject Type="Embed" ProgID="Equation.DSMT4" ShapeID="_x0000_i1226" DrawAspect="Content" ObjectID="_1468075926" r:id="rId402">
            <o:LockedField>false</o:LockedField>
          </o:OLEObject>
        </w:object>
      </w:r>
      <w:r>
        <w:t>—</w:t>
      </w:r>
      <w:r>
        <w:rPr>
          <w:rFonts w:hint="eastAsia"/>
        </w:rPr>
        <w:t>多遇地震下楼层弹性地震剪力设计值。</w:t>
      </w:r>
    </w:p>
    <w:p>
      <w:pPr>
        <w:pStyle w:val="167"/>
      </w:pPr>
      <w:r>
        <w:rPr>
          <w:rFonts w:hint="eastAsia"/>
        </w:rPr>
        <w:t>类钢筋混凝土房屋的体系影响系数</w:t>
      </w:r>
      <w:r>
        <w:rPr>
          <w:rFonts w:ascii="Times New Roman"/>
          <w:color w:val="000000" w:themeColor="text1"/>
          <w:szCs w:val="21"/>
          <w14:textFill>
            <w14:solidFill>
              <w14:schemeClr w14:val="tx1"/>
            </w14:solidFill>
          </w14:textFill>
        </w:rPr>
        <w:object>
          <v:shape id="_x0000_i1227" o:spt="75" type="#_x0000_t75" style="height:18.35pt;width:12.5pt;" o:ole="t" filled="f" o:preferrelative="t" stroked="f" coordsize="21600,21600">
            <v:path/>
            <v:fill on="f" focussize="0,0"/>
            <v:stroke on="f" joinstyle="miter"/>
            <v:imagedata r:id="rId395" o:title=""/>
            <o:lock v:ext="edit" aspectratio="t"/>
            <w10:wrap type="none"/>
            <w10:anchorlock/>
          </v:shape>
          <o:OLEObject Type="Embed" ProgID="Equation.DSMT4" ShapeID="_x0000_i1227" DrawAspect="Content" ObjectID="_1468075927" r:id="rId404">
            <o:LockedField>false</o:LockedField>
          </o:OLEObject>
        </w:object>
      </w:r>
      <w:r>
        <w:rPr>
          <w:rFonts w:hint="eastAsia"/>
        </w:rPr>
        <w:t>可根据结构体系、梁柱箍筋、轴压比等符合规定的程度和部位，按下列情况确定：</w:t>
      </w:r>
    </w:p>
    <w:p>
      <w:pPr>
        <w:pStyle w:val="58"/>
        <w:ind w:firstLine="420"/>
      </w:pPr>
      <w:r>
        <w:rPr>
          <w:rFonts w:hint="eastAsia"/>
        </w:rPr>
        <w:t>1  当各项构造均符合现行国家标准《建筑抗震鉴定标准》GB50023的有关规定时，可取1.0；</w:t>
      </w:r>
    </w:p>
    <w:p>
      <w:pPr>
        <w:pStyle w:val="58"/>
        <w:ind w:firstLine="420"/>
      </w:pPr>
      <w:r>
        <w:rPr>
          <w:rFonts w:hint="eastAsia"/>
        </w:rPr>
        <w:t>2  当各项构造均符合非抗震设计规定时，可取0.8；</w:t>
      </w:r>
    </w:p>
    <w:p>
      <w:pPr>
        <w:pStyle w:val="58"/>
        <w:ind w:firstLine="420"/>
      </w:pPr>
      <w:r>
        <w:rPr>
          <w:rFonts w:hint="eastAsia"/>
        </w:rPr>
        <w:t>3  结构受损伤或发生倾斜但已修复纠正的，体系影响系数在第1、2款基础上再乘以0.8~1.0。</w:t>
      </w:r>
    </w:p>
    <w:p>
      <w:pPr>
        <w:pStyle w:val="167"/>
      </w:pPr>
      <w:r>
        <w:rPr>
          <w:rFonts w:hint="eastAsia"/>
        </w:rPr>
        <w:t>B类钢筋混凝土房屋的体系影响系数</w:t>
      </w:r>
      <w:r>
        <w:rPr>
          <w:rFonts w:ascii="Times New Roman"/>
          <w:color w:val="000000" w:themeColor="text1"/>
          <w:szCs w:val="21"/>
          <w14:textFill>
            <w14:solidFill>
              <w14:schemeClr w14:val="tx1"/>
            </w14:solidFill>
          </w14:textFill>
        </w:rPr>
        <w:object>
          <v:shape id="_x0000_i1228" o:spt="75" type="#_x0000_t75" style="height:18.35pt;width:12.5pt;" o:ole="t" filled="f" o:preferrelative="t" stroked="f" coordsize="21600,21600">
            <v:path/>
            <v:fill on="f" focussize="0,0"/>
            <v:stroke on="f" joinstyle="miter"/>
            <v:imagedata r:id="rId395" o:title=""/>
            <o:lock v:ext="edit" aspectratio="t"/>
            <w10:wrap type="none"/>
            <w10:anchorlock/>
          </v:shape>
          <o:OLEObject Type="Embed" ProgID="Equation.DSMT4" ShapeID="_x0000_i1228" DrawAspect="Content" ObjectID="_1468075928" r:id="rId405">
            <o:LockedField>false</o:LockedField>
          </o:OLEObject>
        </w:object>
      </w:r>
      <w:r>
        <w:rPr>
          <w:rFonts w:hint="eastAsia"/>
        </w:rPr>
        <w:t>可根据结构体系、梁柱箍筋、轴压比、墙体边缘构件等符合规定的程度和部位，按下列情况确定：</w:t>
      </w:r>
    </w:p>
    <w:p>
      <w:pPr>
        <w:pStyle w:val="58"/>
        <w:ind w:firstLine="420"/>
      </w:pPr>
      <w:r>
        <w:rPr>
          <w:rFonts w:hint="eastAsia"/>
        </w:rPr>
        <w:t>1  当各项构造均符合现行国家标准《建筑抗震鉴定标准》GB50023 B类房屋鉴定规定时，可取1.0。</w:t>
      </w:r>
    </w:p>
    <w:p>
      <w:pPr>
        <w:pStyle w:val="58"/>
        <w:ind w:firstLine="420"/>
      </w:pPr>
      <w:r>
        <w:rPr>
          <w:rFonts w:hint="eastAsia"/>
        </w:rPr>
        <w:t>2  当各项构造均符合现行国家标准《建筑抗震鉴定标准》GB50023 A类房屋鉴定规定时，可取0.8。</w:t>
      </w:r>
    </w:p>
    <w:p>
      <w:pPr>
        <w:pStyle w:val="58"/>
        <w:ind w:firstLine="420"/>
      </w:pPr>
      <w:r>
        <w:rPr>
          <w:rFonts w:hint="eastAsia"/>
        </w:rPr>
        <w:t>3  结构受损伤或发生倾斜但已修复纠正的，体系影响系数在第1、2款基础上再乘以0.8~1.0。</w:t>
      </w:r>
    </w:p>
    <w:p>
      <w:pPr>
        <w:pStyle w:val="167"/>
      </w:pPr>
      <w:r>
        <w:rPr>
          <w:rFonts w:hint="eastAsia"/>
        </w:rPr>
        <w:t>C类钢筋混凝土房屋的体系影响系数</w:t>
      </w:r>
      <w:r>
        <w:rPr>
          <w:rFonts w:ascii="Times New Roman"/>
          <w:color w:val="000000" w:themeColor="text1"/>
          <w:szCs w:val="21"/>
          <w14:textFill>
            <w14:solidFill>
              <w14:schemeClr w14:val="tx1"/>
            </w14:solidFill>
          </w14:textFill>
        </w:rPr>
        <w:object>
          <v:shape id="_x0000_i1229" o:spt="75" type="#_x0000_t75" style="height:18.35pt;width:12.5pt;" o:ole="t" filled="f" o:preferrelative="t" stroked="f" coordsize="21600,21600">
            <v:path/>
            <v:fill on="f" focussize="0,0"/>
            <v:stroke on="f" joinstyle="miter"/>
            <v:imagedata r:id="rId395" o:title=""/>
            <o:lock v:ext="edit" aspectratio="t"/>
            <w10:wrap type="none"/>
            <w10:anchorlock/>
          </v:shape>
          <o:OLEObject Type="Embed" ProgID="Equation.DSMT4" ShapeID="_x0000_i1229" DrawAspect="Content" ObjectID="_1468075929" r:id="rId406">
            <o:LockedField>false</o:LockedField>
          </o:OLEObject>
        </w:object>
      </w:r>
      <w:r>
        <w:rPr>
          <w:rFonts w:hint="eastAsia"/>
        </w:rPr>
        <w:t>可根据结构体系、梁柱箍筋、轴压比、墙体边缘构件等符合规定的程度和部位，按下列情况确定：</w:t>
      </w:r>
    </w:p>
    <w:p>
      <w:pPr>
        <w:pStyle w:val="58"/>
        <w:ind w:firstLine="420"/>
      </w:pPr>
      <w:r>
        <w:rPr>
          <w:rFonts w:hint="eastAsia"/>
        </w:rPr>
        <w:t>1  当各项构造均符合现行国家标准《建筑抗震设计规范》GB50011的有关规定时，可取1.0。</w:t>
      </w:r>
    </w:p>
    <w:p>
      <w:pPr>
        <w:pStyle w:val="58"/>
        <w:ind w:firstLine="420"/>
      </w:pPr>
      <w:r>
        <w:rPr>
          <w:rFonts w:hint="eastAsia"/>
        </w:rPr>
        <w:t>2  当各项构造均符合现行国家标准《建筑抗震鉴定标准》GB50023 B类房屋鉴定规定时，可取0.7。</w:t>
      </w:r>
    </w:p>
    <w:p>
      <w:pPr>
        <w:pStyle w:val="58"/>
        <w:ind w:firstLine="420"/>
      </w:pPr>
      <w:r>
        <w:rPr>
          <w:rFonts w:hint="eastAsia"/>
        </w:rPr>
        <w:t>3  当各项构造均符合国家标准《建筑抗震设计规范》GB50011-2001 的有关规定时，框架结构可取0.8；其他结构可取0.9。</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9.2.4</w:t>
      </w:r>
      <w:r>
        <w:rPr>
          <w:rFonts w:hint="eastAsia" w:ascii="华文楷体" w:hAnsi="华文楷体" w:eastAsia="华文楷体" w:cs="华文楷体"/>
          <w:color w:val="0000FF"/>
          <w:szCs w:val="20"/>
        </w:rPr>
        <w:t>、</w:t>
      </w:r>
      <w:r>
        <w:rPr>
          <w:rFonts w:ascii="华文楷体" w:hAnsi="华文楷体" w:eastAsia="华文楷体" w:cs="华文楷体"/>
          <w:color w:val="0000FF"/>
          <w:szCs w:val="20"/>
        </w:rPr>
        <w:t>9.2.5</w:t>
      </w:r>
      <w:r>
        <w:rPr>
          <w:rFonts w:hint="eastAsia" w:ascii="华文楷体" w:hAnsi="华文楷体" w:eastAsia="华文楷体" w:cs="华文楷体"/>
          <w:color w:val="0000FF"/>
          <w:szCs w:val="20"/>
        </w:rPr>
        <w:t>、</w:t>
      </w:r>
      <w:r>
        <w:rPr>
          <w:rFonts w:ascii="华文楷体" w:hAnsi="华文楷体" w:eastAsia="华文楷体" w:cs="华文楷体"/>
          <w:color w:val="0000FF"/>
          <w:szCs w:val="20"/>
        </w:rPr>
        <w:t>9.2.6</w:t>
      </w:r>
      <w:r>
        <w:rPr>
          <w:rFonts w:hint="eastAsia" w:ascii="华文楷体" w:hAnsi="华文楷体" w:eastAsia="华文楷体" w:cs="华文楷体"/>
          <w:color w:val="0000FF"/>
          <w:szCs w:val="20"/>
        </w:rPr>
        <w:t>、</w:t>
      </w:r>
      <w:r>
        <w:rPr>
          <w:rFonts w:ascii="华文楷体" w:hAnsi="华文楷体" w:eastAsia="华文楷体" w:cs="华文楷体"/>
          <w:color w:val="0000FF"/>
          <w:szCs w:val="20"/>
        </w:rPr>
        <w:t>9.2.7</w:t>
      </w:r>
      <w:r>
        <w:rPr>
          <w:rFonts w:hint="eastAsia" w:ascii="华文楷体" w:hAnsi="华文楷体" w:eastAsia="华文楷体" w:cs="华文楷体"/>
          <w:color w:val="0000FF"/>
          <w:szCs w:val="20"/>
        </w:rPr>
        <w:t>钢筋混凝土结构构造措施不满足时，可采用综合抗震能力指数法验算，具体为楼层屈服强度系数与构造影响系数的乘积。</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楼层屈服强度系数是根据楼层实配钢筋计算出的楼层屈服剪力与楼层多遇地震下弹性楼层剪力设计值的比值，再与构造影响系数的乘积。构造影响系数的取值要求根据具体情况确定：</w:t>
      </w:r>
    </w:p>
    <w:p>
      <w:pPr>
        <w:adjustRightInd/>
        <w:spacing w:line="240" w:lineRule="auto"/>
        <w:rPr>
          <w:rFonts w:ascii="华文楷体" w:hAnsi="华文楷体" w:eastAsia="华文楷体" w:cs="华文楷体"/>
          <w:color w:val="0000FF"/>
          <w:szCs w:val="20"/>
        </w:rPr>
      </w:pPr>
      <w:r>
        <w:rPr>
          <w:rFonts w:ascii="华文楷体" w:hAnsi="华文楷体" w:eastAsia="华文楷体" w:cs="华文楷体"/>
          <w:color w:val="0000FF"/>
          <w:szCs w:val="20"/>
        </w:rPr>
        <w:t xml:space="preserve">1 </w:t>
      </w:r>
      <w:r>
        <w:rPr>
          <w:rFonts w:hint="eastAsia" w:ascii="华文楷体" w:hAnsi="华文楷体" w:eastAsia="华文楷体" w:cs="华文楷体"/>
          <w:color w:val="0000FF"/>
          <w:szCs w:val="20"/>
        </w:rPr>
        <w:t>体系影响系数只与规则性、箍筋构造和轴压比等有关；当部分构造符合要求，部分不符合，可取插值；不符合的程度大或有若干项不符合时取较小值；对不同烈度鉴定要求相同的项目，烈度高者，该体系影响系数取小值。</w:t>
      </w:r>
    </w:p>
    <w:p>
      <w:pPr>
        <w:adjustRightInd/>
        <w:spacing w:line="240" w:lineRule="auto"/>
        <w:rPr>
          <w:rFonts w:ascii="华文楷体" w:hAnsi="华文楷体" w:eastAsia="华文楷体" w:cs="华文楷体"/>
          <w:color w:val="0000FF"/>
          <w:szCs w:val="20"/>
        </w:rPr>
      </w:pPr>
      <w:r>
        <w:rPr>
          <w:rFonts w:ascii="华文楷体" w:hAnsi="华文楷体" w:eastAsia="华文楷体" w:cs="华文楷体"/>
          <w:color w:val="0000FF"/>
          <w:szCs w:val="20"/>
        </w:rPr>
        <w:t xml:space="preserve">2 </w:t>
      </w:r>
      <w:r>
        <w:rPr>
          <w:rFonts w:hint="eastAsia" w:ascii="华文楷体" w:hAnsi="华文楷体" w:eastAsia="华文楷体" w:cs="华文楷体"/>
          <w:color w:val="0000FF"/>
          <w:szCs w:val="20"/>
        </w:rPr>
        <w:t>结构损伤包括因建造年代甚早、混凝土碳化而造成的钢筋锈蚀；损伤和倾斜的修复，通常宜考虑新旧部分不能完全共同发挥效果而取小于</w:t>
      </w:r>
      <w:r>
        <w:rPr>
          <w:rFonts w:ascii="华文楷体" w:hAnsi="华文楷体" w:eastAsia="华文楷体" w:cs="华文楷体"/>
          <w:color w:val="0000FF"/>
          <w:szCs w:val="20"/>
        </w:rPr>
        <w:t>1.0</w:t>
      </w:r>
      <w:r>
        <w:rPr>
          <w:rFonts w:hint="eastAsia" w:ascii="华文楷体" w:hAnsi="华文楷体" w:eastAsia="华文楷体" w:cs="华文楷体"/>
          <w:color w:val="0000FF"/>
          <w:szCs w:val="20"/>
        </w:rPr>
        <w:t>的影响数值，对体系影响系数进一步折减。</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消能子结构构件应按本标准</w:t>
      </w:r>
      <w:r>
        <w:rPr>
          <w:rFonts w:ascii="华文楷体" w:hAnsi="华文楷体" w:eastAsia="华文楷体" w:cs="华文楷体"/>
          <w:color w:val="0000FF"/>
          <w:szCs w:val="20"/>
        </w:rPr>
        <w:t>8.4.2</w:t>
      </w:r>
      <w:r>
        <w:rPr>
          <w:rFonts w:hint="eastAsia" w:ascii="华文楷体" w:hAnsi="华文楷体" w:eastAsia="华文楷体" w:cs="华文楷体"/>
          <w:color w:val="0000FF"/>
          <w:szCs w:val="20"/>
        </w:rPr>
        <w:t>条进行验算。</w:t>
      </w:r>
    </w:p>
    <w:p>
      <w:pPr>
        <w:pStyle w:val="167"/>
      </w:pPr>
      <w:r>
        <w:rPr>
          <w:rFonts w:hint="eastAsia"/>
        </w:rPr>
        <w:t>采用消能减震性能化加固设计的结构抗震措施，可根据不同的性能目标，按《建筑消能减震加固技术规程》T/CECS 547 的相关规定采用。</w:t>
      </w:r>
    </w:p>
    <w:p>
      <w:pPr>
        <w:pStyle w:val="167"/>
      </w:pPr>
      <w:r>
        <w:rPr>
          <w:rFonts w:hint="eastAsia"/>
        </w:rPr>
        <w:t>需要进行加固的消能子结构可按现行标准《建筑消能减震加固技术规程》T/CECS 547的方法进行加固。</w:t>
      </w:r>
    </w:p>
    <w:p>
      <w:pPr>
        <w:pStyle w:val="167"/>
      </w:pPr>
      <w:r>
        <w:rPr>
          <w:rFonts w:hint="eastAsia"/>
        </w:rPr>
        <w:t>采用消能减震加固的后仍需要加固的构件可按现行标准《建筑抗震加固技术规程》JGJ 116的方法进行加固。</w:t>
      </w:r>
    </w:p>
    <w:p>
      <w:pPr>
        <w:widowControl/>
        <w:adjustRightInd/>
        <w:spacing w:line="240" w:lineRule="auto"/>
        <w:jc w:val="left"/>
        <w:rPr>
          <w:rFonts w:ascii="宋体" w:hAnsi="Times New Roman"/>
          <w:kern w:val="0"/>
          <w:szCs w:val="20"/>
        </w:rPr>
      </w:pPr>
      <w:r>
        <w:br w:type="page"/>
      </w:r>
    </w:p>
    <w:p>
      <w:pPr>
        <w:pStyle w:val="106"/>
        <w:spacing w:before="312" w:after="312"/>
        <w:jc w:val="center"/>
      </w:pPr>
      <w:bookmarkStart w:id="56" w:name="_Toc92414100"/>
      <w:r>
        <w:rPr>
          <w:rFonts w:hint="eastAsia"/>
        </w:rPr>
        <w:t>消能部件的连接与构造</w:t>
      </w:r>
      <w:bookmarkEnd w:id="56"/>
    </w:p>
    <w:p>
      <w:pPr>
        <w:pStyle w:val="107"/>
        <w:spacing w:before="156" w:after="156"/>
        <w:jc w:val="center"/>
      </w:pPr>
      <w:r>
        <w:rPr>
          <w:rFonts w:hint="eastAsia"/>
        </w:rPr>
        <w:t>一般规定</w:t>
      </w:r>
    </w:p>
    <w:p>
      <w:pPr>
        <w:pStyle w:val="167"/>
      </w:pPr>
      <w:r>
        <w:rPr>
          <w:rFonts w:hint="eastAsia"/>
        </w:rPr>
        <w:t>消能器与主体结构的连接一般分为：支撑型、墙型、柱型、门架式和腋撑型等，设计时应根据工程具体情况和消能器的类型合理选择连接形式。</w:t>
      </w:r>
    </w:p>
    <w:p>
      <w:pPr>
        <w:pStyle w:val="167"/>
      </w:pPr>
      <w:r>
        <w:rPr>
          <w:rFonts w:hint="eastAsia"/>
        </w:rPr>
        <w:t>当消能器采用支撑型连接时，可采用单斜支撑布置、“V”字型和人字型等布置，不宜采用“K”字形布置。支撑宜采用双轴对称截面，宽厚比或径厚比应满足现行标准《高层民用建筑钢结构技术规程》JGJ 99的要求。</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10.1.1~10.1.2</w:t>
      </w:r>
      <w:r>
        <w:rPr>
          <w:rFonts w:hint="eastAsia" w:ascii="华文楷体" w:hAnsi="华文楷体" w:eastAsia="华文楷体" w:cs="华文楷体"/>
          <w:color w:val="0000FF"/>
          <w:szCs w:val="20"/>
        </w:rPr>
        <w:t>消能器与主体结构的连接，根据消能器的不同，可采用不同的连接形式（附图</w:t>
      </w:r>
      <w:r>
        <w:rPr>
          <w:rFonts w:ascii="华文楷体" w:hAnsi="华文楷体" w:eastAsia="华文楷体" w:cs="华文楷体"/>
          <w:color w:val="0000FF"/>
          <w:szCs w:val="20"/>
        </w:rPr>
        <w:t>10.1.2</w:t>
      </w:r>
      <w:r>
        <w:rPr>
          <w:rFonts w:hint="eastAsia" w:ascii="华文楷体" w:hAnsi="华文楷体" w:eastAsia="华文楷体" w:cs="华文楷体"/>
          <w:color w:val="0000FF"/>
          <w:szCs w:val="20"/>
        </w:rPr>
        <w:t>）。</w:t>
      </w:r>
      <w:r>
        <w:rPr>
          <w:rFonts w:ascii="华文楷体" w:hAnsi="华文楷体" w:eastAsia="华文楷体" w:cs="华文楷体"/>
          <w:color w:val="0000FF"/>
          <w:szCs w:val="20"/>
        </w:rPr>
        <w:t>K</w:t>
      </w:r>
      <w:r>
        <w:rPr>
          <w:rFonts w:hint="eastAsia" w:ascii="华文楷体" w:hAnsi="华文楷体" w:eastAsia="华文楷体" w:cs="华文楷体"/>
          <w:color w:val="0000FF"/>
          <w:szCs w:val="20"/>
        </w:rPr>
        <w:t>形支撑布置时会在框架柱中部交点处给柱带来侧向集中力的不利作用，在地震作用下，可能因受压斜杆屈曲或受拉斜杆屈服，引起较大的侧向变形，使柱发生屈曲甚至造成倒塌，故不宜采用“</w:t>
      </w:r>
      <w:r>
        <w:rPr>
          <w:rFonts w:ascii="华文楷体" w:hAnsi="华文楷体" w:eastAsia="华文楷体" w:cs="华文楷体"/>
          <w:color w:val="0000FF"/>
          <w:szCs w:val="20"/>
        </w:rPr>
        <w:t>K</w:t>
      </w:r>
      <w:r>
        <w:rPr>
          <w:rFonts w:hint="eastAsia" w:ascii="华文楷体" w:hAnsi="华文楷体" w:eastAsia="华文楷体" w:cs="华文楷体"/>
          <w:color w:val="0000FF"/>
          <w:szCs w:val="20"/>
        </w:rPr>
        <w:t>”字形布置。</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支撑斜杆宜采用双轴对称截面。当采用单轴对称截面（双角钢组合</w:t>
      </w:r>
      <w:r>
        <w:rPr>
          <w:rFonts w:ascii="华文楷体" w:hAnsi="华文楷体" w:eastAsia="华文楷体" w:cs="华文楷体"/>
          <w:color w:val="0000FF"/>
          <w:szCs w:val="20"/>
        </w:rPr>
        <w:t>T</w:t>
      </w:r>
      <w:r>
        <w:rPr>
          <w:rFonts w:hint="eastAsia" w:ascii="华文楷体" w:hAnsi="华文楷体" w:eastAsia="华文楷体" w:cs="华文楷体"/>
          <w:color w:val="0000FF"/>
          <w:szCs w:val="20"/>
        </w:rPr>
        <w:t>形截面），应采取防止绕对称轴屈曲的构造措施。板件局部失稳影响支撑斜杆的承载力和消能能力，其宽厚比需要加以限制。</w:t>
      </w:r>
    </w:p>
    <w:p>
      <w:pPr>
        <w:adjustRightInd/>
        <w:spacing w:line="240" w:lineRule="auto"/>
        <w:ind w:right="-334" w:rightChars="-159"/>
        <w:jc w:val="center"/>
        <w:rPr>
          <w:rFonts w:ascii="楷体" w:hAnsi="楷体" w:eastAsia="楷体" w:cs="宋体"/>
          <w:bCs/>
          <w:sz w:val="18"/>
          <w:szCs w:val="18"/>
        </w:rPr>
      </w:pPr>
      <w:r>
        <w:rPr>
          <w:rFonts w:ascii="楷体" w:hAnsi="楷体" w:eastAsia="楷体" w:cs="宋体"/>
          <w:sz w:val="18"/>
          <w:szCs w:val="18"/>
        </w:rPr>
        <w:drawing>
          <wp:inline distT="0" distB="0" distL="0" distR="0">
            <wp:extent cx="2220595" cy="1717040"/>
            <wp:effectExtent l="0" t="0" r="8255" b="0"/>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a:xfrm>
                      <a:off x="0" y="0"/>
                      <a:ext cx="2220595" cy="1717040"/>
                    </a:xfrm>
                    <a:prstGeom prst="rect">
                      <a:avLst/>
                    </a:prstGeom>
                    <a:noFill/>
                    <a:ln>
                      <a:noFill/>
                    </a:ln>
                  </pic:spPr>
                </pic:pic>
              </a:graphicData>
            </a:graphic>
          </wp:inline>
        </w:drawing>
      </w:r>
      <w:r>
        <w:rPr>
          <w:rFonts w:ascii="楷体" w:hAnsi="楷体" w:eastAsia="楷体" w:cs="宋体"/>
          <w:sz w:val="18"/>
          <w:szCs w:val="18"/>
        </w:rPr>
        <w:drawing>
          <wp:inline distT="0" distB="0" distL="0" distR="0">
            <wp:extent cx="2538095" cy="1717040"/>
            <wp:effectExtent l="0" t="0" r="0" b="0"/>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a:xfrm>
                      <a:off x="0" y="0"/>
                      <a:ext cx="2538095" cy="1717040"/>
                    </a:xfrm>
                    <a:prstGeom prst="rect">
                      <a:avLst/>
                    </a:prstGeom>
                    <a:noFill/>
                    <a:ln>
                      <a:noFill/>
                    </a:ln>
                  </pic:spPr>
                </pic:pic>
              </a:graphicData>
            </a:graphic>
          </wp:inline>
        </w:drawing>
      </w:r>
      <w:r>
        <w:rPr>
          <w:rFonts w:ascii="楷体" w:hAnsi="楷体" w:eastAsia="楷体" w:cs="宋体"/>
          <w:sz w:val="18"/>
          <w:szCs w:val="18"/>
        </w:rPr>
        <w:drawing>
          <wp:inline distT="0" distB="0" distL="0" distR="0">
            <wp:extent cx="2538095" cy="1763395"/>
            <wp:effectExtent l="0" t="0" r="0" b="8255"/>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a:xfrm>
                      <a:off x="0" y="0"/>
                      <a:ext cx="2538095" cy="1763395"/>
                    </a:xfrm>
                    <a:prstGeom prst="rect">
                      <a:avLst/>
                    </a:prstGeom>
                    <a:noFill/>
                    <a:ln>
                      <a:noFill/>
                    </a:ln>
                  </pic:spPr>
                </pic:pic>
              </a:graphicData>
            </a:graphic>
          </wp:inline>
        </w:drawing>
      </w:r>
    </w:p>
    <w:p>
      <w:pPr>
        <w:adjustRightInd/>
        <w:spacing w:line="240" w:lineRule="auto"/>
        <w:ind w:right="-334" w:rightChars="-159"/>
        <w:jc w:val="center"/>
        <w:rPr>
          <w:rFonts w:ascii="楷体" w:hAnsi="楷体" w:eastAsia="楷体" w:cs="宋体"/>
          <w:bCs/>
          <w:color w:val="0000FF"/>
          <w:sz w:val="18"/>
          <w:szCs w:val="18"/>
        </w:rPr>
      </w:pPr>
      <w:r>
        <w:rPr>
          <w:rFonts w:hint="eastAsia" w:ascii="楷体" w:hAnsi="楷体" w:eastAsia="楷体" w:cs="宋体"/>
          <w:bCs/>
          <w:color w:val="0000FF"/>
          <w:sz w:val="18"/>
          <w:szCs w:val="18"/>
        </w:rPr>
        <w:t>（</w:t>
      </w:r>
      <w:r>
        <w:rPr>
          <w:rFonts w:ascii="楷体" w:hAnsi="楷体" w:eastAsia="楷体" w:cs="宋体"/>
          <w:bCs/>
          <w:color w:val="0000FF"/>
          <w:sz w:val="18"/>
          <w:szCs w:val="18"/>
        </w:rPr>
        <w:t>a</w:t>
      </w:r>
      <w:r>
        <w:rPr>
          <w:rFonts w:hint="eastAsia" w:ascii="楷体" w:hAnsi="楷体" w:eastAsia="楷体" w:cs="宋体"/>
          <w:bCs/>
          <w:color w:val="0000FF"/>
          <w:sz w:val="18"/>
          <w:szCs w:val="18"/>
        </w:rPr>
        <w:t>）</w:t>
      </w:r>
      <w:r>
        <w:rPr>
          <w:rFonts w:ascii="楷体" w:hAnsi="楷体" w:eastAsia="楷体" w:cs="宋体"/>
          <w:bCs/>
          <w:color w:val="0000FF"/>
          <w:sz w:val="18"/>
          <w:szCs w:val="18"/>
        </w:rPr>
        <w:t xml:space="preserve"> </w:t>
      </w:r>
      <w:r>
        <w:rPr>
          <w:rFonts w:hint="eastAsia" w:ascii="楷体" w:hAnsi="楷体" w:eastAsia="楷体" w:cs="宋体"/>
          <w:bCs/>
          <w:color w:val="0000FF"/>
          <w:sz w:val="18"/>
          <w:szCs w:val="18"/>
        </w:rPr>
        <w:t>斜撑型</w:t>
      </w:r>
    </w:p>
    <w:p>
      <w:pPr>
        <w:adjustRightInd/>
        <w:spacing w:line="240" w:lineRule="auto"/>
        <w:ind w:right="-512" w:rightChars="-244"/>
        <w:jc w:val="center"/>
        <w:rPr>
          <w:rFonts w:ascii="楷体" w:hAnsi="楷体" w:eastAsia="楷体" w:cs="宋体"/>
          <w:bCs/>
          <w:sz w:val="18"/>
          <w:szCs w:val="18"/>
        </w:rPr>
      </w:pPr>
      <w:r>
        <w:rPr>
          <w:rFonts w:ascii="楷体" w:hAnsi="楷体" w:eastAsia="楷体" w:cs="宋体"/>
          <w:sz w:val="18"/>
          <w:szCs w:val="18"/>
        </w:rPr>
        <w:drawing>
          <wp:inline distT="0" distB="0" distL="0" distR="0">
            <wp:extent cx="2780665" cy="1800860"/>
            <wp:effectExtent l="0" t="0" r="635" b="889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a:xfrm>
                      <a:off x="0" y="0"/>
                      <a:ext cx="2780665" cy="1800860"/>
                    </a:xfrm>
                    <a:prstGeom prst="rect">
                      <a:avLst/>
                    </a:prstGeom>
                    <a:noFill/>
                    <a:ln>
                      <a:noFill/>
                    </a:ln>
                  </pic:spPr>
                </pic:pic>
              </a:graphicData>
            </a:graphic>
          </wp:inline>
        </w:drawing>
      </w:r>
      <w:r>
        <w:rPr>
          <w:rFonts w:ascii="楷体" w:hAnsi="楷体" w:eastAsia="楷体" w:cs="宋体"/>
          <w:sz w:val="18"/>
          <w:szCs w:val="18"/>
        </w:rPr>
        <w:drawing>
          <wp:inline distT="0" distB="0" distL="0" distR="0">
            <wp:extent cx="2649855" cy="1763395"/>
            <wp:effectExtent l="0" t="0" r="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a:xfrm>
                      <a:off x="0" y="0"/>
                      <a:ext cx="2649855" cy="1763395"/>
                    </a:xfrm>
                    <a:prstGeom prst="rect">
                      <a:avLst/>
                    </a:prstGeom>
                    <a:noFill/>
                    <a:ln>
                      <a:noFill/>
                    </a:ln>
                  </pic:spPr>
                </pic:pic>
              </a:graphicData>
            </a:graphic>
          </wp:inline>
        </w:drawing>
      </w:r>
    </w:p>
    <w:p>
      <w:pPr>
        <w:adjustRightInd/>
        <w:spacing w:line="240" w:lineRule="auto"/>
        <w:ind w:right="-512" w:rightChars="-244"/>
        <w:jc w:val="center"/>
        <w:rPr>
          <w:rFonts w:ascii="楷体" w:hAnsi="楷体" w:eastAsia="楷体" w:cs="宋体"/>
          <w:bCs/>
          <w:color w:val="0000FF"/>
          <w:sz w:val="18"/>
          <w:szCs w:val="18"/>
        </w:rPr>
      </w:pPr>
      <w:r>
        <w:rPr>
          <w:rFonts w:ascii="楷体" w:hAnsi="楷体" w:eastAsia="楷体" w:cs="宋体"/>
          <w:bCs/>
          <w:color w:val="0000FF"/>
          <w:sz w:val="18"/>
          <w:szCs w:val="18"/>
        </w:rPr>
        <w:t xml:space="preserve">(b)  </w:t>
      </w:r>
      <w:r>
        <w:rPr>
          <w:rFonts w:hint="eastAsia" w:ascii="楷体" w:hAnsi="楷体" w:eastAsia="楷体" w:cs="宋体"/>
          <w:bCs/>
          <w:color w:val="0000FF"/>
          <w:sz w:val="18"/>
          <w:szCs w:val="18"/>
        </w:rPr>
        <w:t>门架型</w:t>
      </w:r>
    </w:p>
    <w:p>
      <w:pPr>
        <w:adjustRightInd/>
        <w:spacing w:line="240" w:lineRule="auto"/>
        <w:ind w:right="-512" w:rightChars="-244"/>
        <w:jc w:val="center"/>
        <w:rPr>
          <w:rFonts w:ascii="楷体" w:hAnsi="楷体" w:eastAsia="楷体" w:cs="宋体"/>
          <w:bCs/>
          <w:sz w:val="18"/>
          <w:szCs w:val="18"/>
        </w:rPr>
      </w:pPr>
      <w:r>
        <w:rPr>
          <w:rFonts w:ascii="楷体" w:hAnsi="楷体" w:eastAsia="楷体" w:cs="宋体"/>
          <w:sz w:val="18"/>
          <w:szCs w:val="18"/>
        </w:rPr>
        <w:drawing>
          <wp:inline distT="0" distB="0" distL="0" distR="0">
            <wp:extent cx="2416810" cy="158623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a:xfrm>
                      <a:off x="0" y="0"/>
                      <a:ext cx="2416810" cy="1586230"/>
                    </a:xfrm>
                    <a:prstGeom prst="rect">
                      <a:avLst/>
                    </a:prstGeom>
                    <a:noFill/>
                    <a:ln>
                      <a:noFill/>
                    </a:ln>
                  </pic:spPr>
                </pic:pic>
              </a:graphicData>
            </a:graphic>
          </wp:inline>
        </w:drawing>
      </w:r>
      <w:r>
        <w:rPr>
          <w:rFonts w:ascii="楷体" w:hAnsi="楷体" w:eastAsia="楷体" w:cs="宋体"/>
          <w:sz w:val="18"/>
          <w:szCs w:val="18"/>
        </w:rPr>
        <w:drawing>
          <wp:inline distT="0" distB="0" distL="0" distR="0">
            <wp:extent cx="2771140" cy="17538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a:xfrm>
                      <a:off x="0" y="0"/>
                      <a:ext cx="2771140" cy="1753870"/>
                    </a:xfrm>
                    <a:prstGeom prst="rect">
                      <a:avLst/>
                    </a:prstGeom>
                    <a:noFill/>
                    <a:ln>
                      <a:noFill/>
                    </a:ln>
                  </pic:spPr>
                </pic:pic>
              </a:graphicData>
            </a:graphic>
          </wp:inline>
        </w:drawing>
      </w:r>
    </w:p>
    <w:p>
      <w:pPr>
        <w:adjustRightInd/>
        <w:spacing w:line="240" w:lineRule="auto"/>
        <w:ind w:right="-512" w:rightChars="-244"/>
        <w:jc w:val="center"/>
        <w:rPr>
          <w:rFonts w:ascii="楷体" w:hAnsi="楷体" w:eastAsia="楷体" w:cs="宋体"/>
          <w:bCs/>
          <w:color w:val="0000FF"/>
          <w:sz w:val="18"/>
          <w:szCs w:val="18"/>
        </w:rPr>
      </w:pPr>
      <w:r>
        <w:rPr>
          <w:rFonts w:ascii="楷体" w:hAnsi="楷体" w:eastAsia="楷体" w:cs="宋体"/>
          <w:bCs/>
          <w:color w:val="0000FF"/>
          <w:sz w:val="18"/>
          <w:szCs w:val="18"/>
        </w:rPr>
        <w:t xml:space="preserve">(c) </w:t>
      </w:r>
      <w:r>
        <w:rPr>
          <w:rFonts w:hint="eastAsia" w:ascii="楷体" w:hAnsi="楷体" w:eastAsia="楷体" w:cs="宋体"/>
          <w:bCs/>
          <w:color w:val="0000FF"/>
          <w:sz w:val="18"/>
          <w:szCs w:val="18"/>
        </w:rPr>
        <w:t>墙柱型</w:t>
      </w:r>
    </w:p>
    <w:p>
      <w:pPr>
        <w:adjustRightInd/>
        <w:spacing w:line="240" w:lineRule="auto"/>
        <w:ind w:right="-512" w:rightChars="-244"/>
        <w:jc w:val="center"/>
        <w:rPr>
          <w:rFonts w:ascii="楷体" w:hAnsi="楷体" w:eastAsia="楷体" w:cs="宋体"/>
          <w:bCs/>
          <w:color w:val="0000FF"/>
          <w:sz w:val="18"/>
          <w:szCs w:val="18"/>
        </w:rPr>
      </w:pPr>
      <w:r>
        <w:rPr>
          <w:rFonts w:hint="eastAsia" w:ascii="楷体" w:hAnsi="楷体" w:eastAsia="楷体" w:cs="宋体"/>
          <w:bCs/>
          <w:color w:val="0000FF"/>
          <w:sz w:val="18"/>
          <w:szCs w:val="18"/>
        </w:rPr>
        <w:t>附图</w:t>
      </w:r>
      <w:r>
        <w:rPr>
          <w:rFonts w:ascii="楷体" w:hAnsi="楷体" w:eastAsia="楷体" w:cs="宋体"/>
          <w:bCs/>
          <w:color w:val="0000FF"/>
          <w:sz w:val="18"/>
          <w:szCs w:val="18"/>
        </w:rPr>
        <w:t xml:space="preserve">10.1.2  </w:t>
      </w:r>
      <w:r>
        <w:rPr>
          <w:rFonts w:hint="eastAsia" w:ascii="楷体" w:hAnsi="楷体" w:eastAsia="楷体" w:cs="宋体"/>
          <w:bCs/>
          <w:color w:val="0000FF"/>
          <w:sz w:val="18"/>
          <w:szCs w:val="18"/>
        </w:rPr>
        <w:t>消能器布置形式</w:t>
      </w:r>
    </w:p>
    <w:p>
      <w:pPr>
        <w:adjustRightInd/>
        <w:spacing w:line="240" w:lineRule="auto"/>
        <w:ind w:right="25" w:rightChars="12"/>
        <w:jc w:val="center"/>
        <w:rPr>
          <w:rFonts w:ascii="楷体" w:hAnsi="楷体" w:eastAsia="楷体" w:cs="宋体"/>
          <w:bCs/>
          <w:color w:val="0000FF"/>
          <w:sz w:val="18"/>
          <w:szCs w:val="18"/>
        </w:rPr>
      </w:pPr>
      <w:r>
        <w:rPr>
          <w:rFonts w:ascii="楷体" w:hAnsi="楷体" w:eastAsia="楷体" w:cs="宋体"/>
          <w:bCs/>
          <w:color w:val="0000FF"/>
          <w:sz w:val="18"/>
          <w:szCs w:val="18"/>
        </w:rPr>
        <w:t>1-</w:t>
      </w:r>
      <w:r>
        <w:rPr>
          <w:rFonts w:hint="eastAsia" w:ascii="楷体" w:hAnsi="楷体" w:eastAsia="楷体" w:cs="宋体"/>
          <w:bCs/>
          <w:color w:val="0000FF"/>
          <w:sz w:val="18"/>
          <w:szCs w:val="18"/>
        </w:rPr>
        <w:t>梁；</w:t>
      </w:r>
      <w:r>
        <w:rPr>
          <w:rFonts w:ascii="楷体" w:hAnsi="楷体" w:eastAsia="楷体" w:cs="宋体"/>
          <w:bCs/>
          <w:color w:val="0000FF"/>
          <w:sz w:val="18"/>
          <w:szCs w:val="18"/>
        </w:rPr>
        <w:t>2-</w:t>
      </w:r>
      <w:r>
        <w:rPr>
          <w:rFonts w:hint="eastAsia" w:ascii="楷体" w:hAnsi="楷体" w:eastAsia="楷体" w:cs="宋体"/>
          <w:bCs/>
          <w:color w:val="0000FF"/>
          <w:sz w:val="18"/>
          <w:szCs w:val="18"/>
        </w:rPr>
        <w:t>柱；</w:t>
      </w:r>
      <w:r>
        <w:rPr>
          <w:rFonts w:ascii="楷体" w:hAnsi="楷体" w:eastAsia="楷体" w:cs="宋体"/>
          <w:bCs/>
          <w:color w:val="0000FF"/>
          <w:sz w:val="18"/>
          <w:szCs w:val="18"/>
        </w:rPr>
        <w:t>3-</w:t>
      </w:r>
      <w:r>
        <w:rPr>
          <w:rFonts w:hint="eastAsia" w:ascii="楷体" w:hAnsi="楷体" w:eastAsia="楷体" w:cs="宋体"/>
          <w:bCs/>
          <w:color w:val="0000FF"/>
          <w:sz w:val="18"/>
          <w:szCs w:val="18"/>
        </w:rPr>
        <w:t>消能器；</w:t>
      </w:r>
      <w:r>
        <w:rPr>
          <w:rFonts w:ascii="楷体" w:hAnsi="楷体" w:eastAsia="楷体" w:cs="宋体"/>
          <w:bCs/>
          <w:color w:val="0000FF"/>
          <w:sz w:val="18"/>
          <w:szCs w:val="18"/>
        </w:rPr>
        <w:t>4-</w:t>
      </w:r>
      <w:r>
        <w:rPr>
          <w:rFonts w:hint="eastAsia" w:ascii="楷体" w:hAnsi="楷体" w:eastAsia="楷体" w:cs="宋体"/>
          <w:bCs/>
          <w:color w:val="0000FF"/>
          <w:sz w:val="18"/>
          <w:szCs w:val="18"/>
        </w:rPr>
        <w:t>支撑；</w:t>
      </w:r>
      <w:r>
        <w:rPr>
          <w:rFonts w:ascii="楷体" w:hAnsi="楷体" w:eastAsia="楷体" w:cs="宋体"/>
          <w:bCs/>
          <w:color w:val="0000FF"/>
          <w:sz w:val="18"/>
          <w:szCs w:val="18"/>
        </w:rPr>
        <w:t>5-</w:t>
      </w:r>
      <w:r>
        <w:rPr>
          <w:rFonts w:hint="eastAsia" w:ascii="楷体" w:hAnsi="楷体" w:eastAsia="楷体" w:cs="宋体"/>
          <w:bCs/>
          <w:color w:val="0000FF"/>
          <w:sz w:val="18"/>
          <w:szCs w:val="18"/>
        </w:rPr>
        <w:t>节点板；</w:t>
      </w:r>
      <w:r>
        <w:rPr>
          <w:rFonts w:ascii="楷体" w:hAnsi="楷体" w:eastAsia="楷体" w:cs="宋体"/>
          <w:bCs/>
          <w:color w:val="0000FF"/>
          <w:sz w:val="18"/>
          <w:szCs w:val="18"/>
        </w:rPr>
        <w:t>6-</w:t>
      </w:r>
      <w:r>
        <w:rPr>
          <w:rFonts w:hint="eastAsia" w:ascii="楷体" w:hAnsi="楷体" w:eastAsia="楷体" w:cs="宋体"/>
          <w:bCs/>
          <w:color w:val="0000FF"/>
          <w:sz w:val="18"/>
          <w:szCs w:val="18"/>
        </w:rPr>
        <w:t>预制板；</w:t>
      </w:r>
    </w:p>
    <w:p>
      <w:pPr>
        <w:adjustRightInd/>
        <w:spacing w:line="240" w:lineRule="auto"/>
        <w:jc w:val="center"/>
        <w:rPr>
          <w:rFonts w:ascii="楷体" w:hAnsi="楷体" w:eastAsia="楷体" w:cs="宋体"/>
          <w:bCs/>
          <w:color w:val="0000FF"/>
          <w:sz w:val="18"/>
          <w:szCs w:val="18"/>
        </w:rPr>
      </w:pPr>
      <w:r>
        <w:rPr>
          <w:rFonts w:ascii="楷体" w:hAnsi="楷体" w:eastAsia="楷体" w:cs="宋体"/>
          <w:bCs/>
          <w:color w:val="0000FF"/>
          <w:sz w:val="18"/>
          <w:szCs w:val="18"/>
        </w:rPr>
        <w:t>7-</w:t>
      </w:r>
      <w:r>
        <w:rPr>
          <w:rFonts w:hint="eastAsia" w:ascii="楷体" w:hAnsi="楷体" w:eastAsia="楷体" w:cs="宋体"/>
          <w:bCs/>
          <w:color w:val="0000FF"/>
          <w:sz w:val="18"/>
          <w:szCs w:val="18"/>
        </w:rPr>
        <w:t>支墩或剪力墙；</w:t>
      </w:r>
      <w:r>
        <w:rPr>
          <w:rFonts w:ascii="楷体" w:hAnsi="楷体" w:eastAsia="楷体" w:cs="宋体"/>
          <w:bCs/>
          <w:color w:val="0000FF"/>
          <w:sz w:val="18"/>
          <w:szCs w:val="18"/>
        </w:rPr>
        <w:t>8-</w:t>
      </w:r>
      <w:r>
        <w:rPr>
          <w:rFonts w:hint="eastAsia" w:ascii="楷体" w:hAnsi="楷体" w:eastAsia="楷体" w:cs="宋体"/>
          <w:bCs/>
          <w:color w:val="0000FF"/>
          <w:sz w:val="18"/>
          <w:szCs w:val="18"/>
        </w:rPr>
        <w:t>水平平台；</w:t>
      </w:r>
      <w:r>
        <w:rPr>
          <w:rFonts w:ascii="楷体" w:hAnsi="楷体" w:eastAsia="楷体" w:cs="宋体"/>
          <w:bCs/>
          <w:color w:val="0000FF"/>
          <w:sz w:val="18"/>
          <w:szCs w:val="18"/>
        </w:rPr>
        <w:t>9-</w:t>
      </w:r>
      <w:r>
        <w:rPr>
          <w:rFonts w:hint="eastAsia" w:ascii="楷体" w:hAnsi="楷体" w:eastAsia="楷体" w:cs="宋体"/>
          <w:bCs/>
          <w:color w:val="0000FF"/>
          <w:sz w:val="18"/>
          <w:szCs w:val="18"/>
        </w:rPr>
        <w:t>平面外限位装置</w:t>
      </w:r>
    </w:p>
    <w:p>
      <w:pPr>
        <w:pStyle w:val="167"/>
      </w:pPr>
      <w:r>
        <w:rPr>
          <w:rFonts w:hint="eastAsia"/>
        </w:rPr>
        <w:t>消能器与支撑、节点板、预埋件的连接可采用高强度螺栓连接、焊接或销轴，高强螺栓及焊接的计算、构造要求应符合现行国家标准《钢结构设计标准》GB50017的规定。</w:t>
      </w:r>
    </w:p>
    <w:p>
      <w:pPr>
        <w:adjustRightInd/>
        <w:spacing w:line="240" w:lineRule="auto"/>
        <w:rPr>
          <w:rFonts w:ascii="Times New Roman" w:hAnsi="Times New Roman"/>
          <w:color w:val="000000" w:themeColor="text1"/>
          <w14:textFill>
            <w14:solidFill>
              <w14:schemeClr w14:val="tx1"/>
            </w14:solidFill>
          </w14:textFill>
        </w:rPr>
      </w:pPr>
      <w:r>
        <w:rPr>
          <w:rFonts w:hint="eastAsia" w:ascii="华文楷体" w:hAnsi="华文楷体" w:eastAsia="华文楷体" w:cs="华文楷体"/>
          <w:color w:val="0000FF"/>
          <w:szCs w:val="22"/>
        </w:rPr>
        <w:t>条文说明</w:t>
      </w:r>
      <w:r>
        <w:rPr>
          <w:rFonts w:ascii="华文楷体" w:hAnsi="华文楷体" w:eastAsia="华文楷体" w:cs="华文楷体"/>
          <w:color w:val="0000FF"/>
          <w:szCs w:val="22"/>
        </w:rPr>
        <w:t>10.1.3</w:t>
      </w:r>
      <w:r>
        <w:rPr>
          <w:rFonts w:hint="eastAsia" w:ascii="华文楷体" w:hAnsi="华文楷体" w:eastAsia="华文楷体" w:cs="华文楷体"/>
          <w:color w:val="0000FF"/>
          <w:szCs w:val="22"/>
        </w:rPr>
        <w:t>本条内容同现行国家标准《钢结构设计规范》</w:t>
      </w:r>
      <w:r>
        <w:rPr>
          <w:rFonts w:ascii="华文楷体" w:hAnsi="华文楷体" w:eastAsia="华文楷体" w:cs="华文楷体"/>
          <w:color w:val="0000FF"/>
          <w:szCs w:val="22"/>
        </w:rPr>
        <w:t xml:space="preserve"> GB 50017</w:t>
      </w:r>
      <w:r>
        <w:rPr>
          <w:rFonts w:hint="eastAsia" w:ascii="华文楷体" w:hAnsi="华文楷体" w:eastAsia="华文楷体" w:cs="华文楷体"/>
          <w:color w:val="0000FF"/>
          <w:szCs w:val="22"/>
        </w:rPr>
        <w:t>有关条文。连接板（或连接件）和结构构件间的连接采用高强螺栓连接或焊接，当采用螺栓连接时，应保证相连节点在罕遇地震下不发生滑移；当消能器的阻尼力较大时，宜采用刚接；与消能器相连的支撑应保证在消能器最大输出阻尼力作用下处于弹性状态，不发生平面内、外整体失稳，同时与主体相连的预埋件、节点板等也应处于弹性状态，不得发生滑移、拔出和局部失稳等破坏。与支撑相连接的节点承载力应大于支撑的极限承载力，以保证节点足以承受罕遇地震下可能产生的最大内力。消能器与连接支撑、主体结构之间的连接节点，应符合钢构件连接、或钢与混凝土构件连接、或钢与钢</w:t>
      </w:r>
      <w:r>
        <w:rPr>
          <w:rFonts w:ascii="华文楷体" w:hAnsi="华文楷体" w:eastAsia="华文楷体" w:cs="华文楷体"/>
          <w:color w:val="0000FF"/>
          <w:szCs w:val="22"/>
        </w:rPr>
        <w:t>-</w:t>
      </w:r>
      <w:r>
        <w:rPr>
          <w:rFonts w:hint="eastAsia" w:ascii="华文楷体" w:hAnsi="华文楷体" w:eastAsia="华文楷体" w:cs="华文楷体"/>
          <w:color w:val="0000FF"/>
          <w:szCs w:val="22"/>
        </w:rPr>
        <w:t>混凝土组合构件连接的构造要求。</w:t>
      </w:r>
    </w:p>
    <w:p>
      <w:pPr>
        <w:pStyle w:val="167"/>
      </w:pPr>
      <w:r>
        <w:rPr>
          <w:rFonts w:hint="eastAsia"/>
        </w:rPr>
        <w:t>支墩可采用钢筋混凝土墙、钢板墙等形式。</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10.1.4</w:t>
      </w:r>
      <w:r>
        <w:rPr>
          <w:rFonts w:hint="eastAsia" w:ascii="华文楷体" w:hAnsi="华文楷体" w:eastAsia="华文楷体" w:cs="华文楷体"/>
          <w:color w:val="0000FF"/>
          <w:szCs w:val="20"/>
        </w:rPr>
        <w:t>支撑、墙墩可根据使用需求采用钢筋混凝土构件和钢构件，相关材质和构造要求应符合现行国家标准《混凝土结构设计规范》</w:t>
      </w:r>
      <w:r>
        <w:rPr>
          <w:rFonts w:ascii="华文楷体" w:hAnsi="华文楷体" w:eastAsia="华文楷体" w:cs="华文楷体"/>
          <w:color w:val="0000FF"/>
          <w:szCs w:val="20"/>
        </w:rPr>
        <w:t>GB 50010</w:t>
      </w:r>
      <w:r>
        <w:rPr>
          <w:rFonts w:hint="eastAsia" w:ascii="华文楷体" w:hAnsi="华文楷体" w:eastAsia="华文楷体" w:cs="华文楷体"/>
          <w:color w:val="0000FF"/>
          <w:szCs w:val="20"/>
        </w:rPr>
        <w:t>、《钢结构设计标准》</w:t>
      </w:r>
      <w:r>
        <w:rPr>
          <w:rFonts w:ascii="华文楷体" w:hAnsi="华文楷体" w:eastAsia="华文楷体" w:cs="华文楷体"/>
          <w:color w:val="0000FF"/>
          <w:szCs w:val="20"/>
        </w:rPr>
        <w:t>GB 50017</w:t>
      </w:r>
      <w:r>
        <w:rPr>
          <w:rFonts w:hint="eastAsia" w:ascii="华文楷体" w:hAnsi="华文楷体" w:eastAsia="华文楷体" w:cs="华文楷体"/>
          <w:color w:val="0000FF"/>
          <w:szCs w:val="20"/>
        </w:rPr>
        <w:t>等的相关规定。</w:t>
      </w:r>
    </w:p>
    <w:p>
      <w:pPr>
        <w:pStyle w:val="167"/>
      </w:pPr>
      <w:r>
        <w:rPr>
          <w:rFonts w:hint="eastAsia"/>
        </w:rPr>
        <w:t>预埋件、支撑和支墩、剪力墙及节点板应具有足够的刚度、强度和稳定性。</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10.1.5</w:t>
      </w:r>
      <w:r>
        <w:rPr>
          <w:rFonts w:hint="eastAsia" w:ascii="华文楷体" w:hAnsi="华文楷体" w:eastAsia="华文楷体" w:cs="华文楷体"/>
          <w:color w:val="0000FF"/>
          <w:szCs w:val="20"/>
        </w:rPr>
        <w:t>消能部件一般情况下属非承重构件，其功能仅在结构变形过程中发挥耗能作用，而不承担结构的竖向承载作用，即增设消能器不改变主体结构的竖向受力体系，为此，无论是新建消能减震结构还是既有建筑的抗震加固主体结构都必须满足竖向承载力的要求。与消能器相连的支撑应具有足够刚度，以保证消能部件中的变形绝大部分发生在消能器上，消能器支撑的刚度应根据计算确定。节点板在支撑力（考虑附加弯矩）作用下，除具有足够的承载力和刚度外，还应防止其发生面外失稳破坏，一般可采用增加节点板厚度或设置加劲肋的措施。</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以前对于消能减震结构分析时，一般将消能器视为单方向的消能，亦即沿着框架的平面方向消能，所以，一些相关研究皆是以平面框架（二维构架）装设消能器来探讨消能减震结构在地震作用下的反应，由于应用平面框架的概念，对于消能器出平面的方向皆视为不受地震力作用而忽视消能器出平面的力学特性。然而，由于建筑结构体系的复杂及不规则以及应用平面框架理论有其条件的限制，建筑结构大部分已经不再适用平面框架的理论，加上近年来结构分析技术的进步，目前皆是以三维空间构架来做结构分析设计。所以，在三维空间结构分析时，消能器不仅需考虑框架平面内的力学特性，亦需考虑消能器在框架平面外的力学特性。并且由于附加支撑在消能器的阻尼力作用下，常产生轴压变形，在设计附加支撑时经常只考虑到附加支撑平面内的刚度，来保证消能器的大变形而忽略了附加支撑的平面外刚度，导致附加支撑在地震作用时平面外屈曲支撑破坏，使消能器不能发挥其应有的耗能效果。为此，需要保证附加支撑在轴力作用下的平面外刚度。</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当使用无刚度黏滞消能器，且采用人字型支撑时，可同时考虑与橡胶支座的合理组合，通过橡胶支座或其它提供平面刚度装置给支撑提供一定的平面外刚度，以保持支撑平面外的稳定，如附图</w:t>
      </w:r>
      <w:bookmarkStart w:id="57" w:name="_Hlk90141510"/>
      <w:r>
        <w:rPr>
          <w:rFonts w:ascii="华文楷体" w:hAnsi="华文楷体" w:eastAsia="华文楷体" w:cs="华文楷体"/>
          <w:color w:val="0000FF"/>
          <w:szCs w:val="20"/>
        </w:rPr>
        <w:t>10.1.5</w:t>
      </w:r>
      <w:r>
        <w:rPr>
          <w:rFonts w:hint="eastAsia" w:ascii="华文楷体" w:hAnsi="华文楷体" w:eastAsia="华文楷体" w:cs="华文楷体"/>
          <w:color w:val="0000FF"/>
          <w:szCs w:val="20"/>
        </w:rPr>
        <w:t>所示。而位移相关型消能器都能提供二个方面的水平刚度，为此，可利用消能器自身的性能使其满足支撑平面外稳定性要求。</w:t>
      </w:r>
    </w:p>
    <w:bookmarkEnd w:id="57"/>
    <w:p>
      <w:pPr>
        <w:adjustRightInd/>
        <w:spacing w:line="240" w:lineRule="auto"/>
        <w:jc w:val="center"/>
        <w:rPr>
          <w:rFonts w:ascii="楷体" w:hAnsi="楷体" w:eastAsia="楷体" w:cs="宋体"/>
          <w:bCs/>
          <w:sz w:val="18"/>
          <w:szCs w:val="18"/>
        </w:rPr>
      </w:pPr>
      <w:r>
        <w:rPr>
          <w:rFonts w:ascii="楷体" w:hAnsi="楷体" w:eastAsia="楷体" w:cs="宋体"/>
          <w:sz w:val="18"/>
          <w:szCs w:val="18"/>
        </w:rPr>
        <w:drawing>
          <wp:inline distT="0" distB="0" distL="0" distR="0">
            <wp:extent cx="5160010" cy="1922145"/>
            <wp:effectExtent l="0" t="0" r="254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a:xfrm>
                      <a:off x="0" y="0"/>
                      <a:ext cx="5160010" cy="1922145"/>
                    </a:xfrm>
                    <a:prstGeom prst="rect">
                      <a:avLst/>
                    </a:prstGeom>
                    <a:noFill/>
                    <a:ln>
                      <a:noFill/>
                    </a:ln>
                  </pic:spPr>
                </pic:pic>
              </a:graphicData>
            </a:graphic>
          </wp:inline>
        </w:drawing>
      </w:r>
    </w:p>
    <w:p>
      <w:pPr>
        <w:adjustRightInd/>
        <w:spacing w:line="240" w:lineRule="auto"/>
        <w:jc w:val="center"/>
        <w:rPr>
          <w:rFonts w:ascii="楷体" w:hAnsi="楷体" w:eastAsia="楷体" w:cs="宋体"/>
          <w:bCs/>
          <w:color w:val="0000FF"/>
          <w:sz w:val="18"/>
          <w:szCs w:val="18"/>
        </w:rPr>
      </w:pPr>
      <w:r>
        <w:rPr>
          <w:rFonts w:hint="eastAsia" w:ascii="楷体" w:hAnsi="楷体" w:eastAsia="楷体" w:cs="宋体"/>
          <w:bCs/>
          <w:color w:val="0000FF"/>
          <w:sz w:val="18"/>
          <w:szCs w:val="18"/>
        </w:rPr>
        <w:t>附图</w:t>
      </w:r>
      <w:r>
        <w:rPr>
          <w:rFonts w:ascii="楷体" w:hAnsi="楷体" w:eastAsia="楷体" w:cs="宋体"/>
          <w:bCs/>
          <w:color w:val="0000FF"/>
          <w:sz w:val="18"/>
          <w:szCs w:val="18"/>
        </w:rPr>
        <w:t xml:space="preserve">10.1.5 </w:t>
      </w:r>
      <w:r>
        <w:rPr>
          <w:rFonts w:hint="eastAsia" w:ascii="楷体" w:hAnsi="楷体" w:eastAsia="楷体" w:cs="宋体"/>
          <w:bCs/>
          <w:color w:val="0000FF"/>
          <w:sz w:val="18"/>
          <w:szCs w:val="18"/>
        </w:rPr>
        <w:t>消能器安装立面图</w:t>
      </w:r>
    </w:p>
    <w:p>
      <w:pPr>
        <w:adjustRightInd/>
        <w:spacing w:line="360" w:lineRule="auto"/>
        <w:ind w:firstLine="360" w:firstLineChars="200"/>
        <w:jc w:val="center"/>
        <w:rPr>
          <w:rFonts w:ascii="Times New Roman" w:hAnsi="Times New Roman"/>
          <w:color w:val="0000FF"/>
        </w:rPr>
      </w:pPr>
      <w:r>
        <w:rPr>
          <w:rFonts w:ascii="楷体" w:hAnsi="楷体" w:eastAsia="楷体" w:cs="宋体"/>
          <w:bCs/>
          <w:color w:val="0000FF"/>
          <w:sz w:val="18"/>
          <w:szCs w:val="18"/>
        </w:rPr>
        <w:t>1—</w:t>
      </w:r>
      <w:r>
        <w:rPr>
          <w:rFonts w:hint="eastAsia" w:ascii="楷体" w:hAnsi="楷体" w:eastAsia="楷体" w:cs="宋体"/>
          <w:bCs/>
          <w:color w:val="0000FF"/>
          <w:sz w:val="18"/>
          <w:szCs w:val="18"/>
        </w:rPr>
        <w:t>平面外限位支撑；</w:t>
      </w:r>
      <w:r>
        <w:rPr>
          <w:rFonts w:ascii="楷体" w:hAnsi="楷体" w:eastAsia="楷体" w:cs="宋体"/>
          <w:bCs/>
          <w:color w:val="0000FF"/>
          <w:sz w:val="18"/>
          <w:szCs w:val="18"/>
        </w:rPr>
        <w:t>2—</w:t>
      </w:r>
      <w:r>
        <w:rPr>
          <w:rFonts w:hint="eastAsia" w:ascii="楷体" w:hAnsi="楷体" w:eastAsia="楷体" w:cs="宋体"/>
          <w:bCs/>
          <w:color w:val="0000FF"/>
          <w:sz w:val="18"/>
          <w:szCs w:val="18"/>
        </w:rPr>
        <w:t>消能器；</w:t>
      </w:r>
      <w:r>
        <w:rPr>
          <w:rFonts w:ascii="楷体" w:hAnsi="楷体" w:eastAsia="楷体" w:cs="宋体"/>
          <w:bCs/>
          <w:color w:val="0000FF"/>
          <w:sz w:val="18"/>
          <w:szCs w:val="18"/>
        </w:rPr>
        <w:t>3—</w:t>
      </w:r>
      <w:r>
        <w:rPr>
          <w:rFonts w:hint="eastAsia" w:ascii="楷体" w:hAnsi="楷体" w:eastAsia="楷体" w:cs="宋体"/>
          <w:bCs/>
          <w:color w:val="0000FF"/>
          <w:sz w:val="18"/>
          <w:szCs w:val="18"/>
        </w:rPr>
        <w:t>支撑</w:t>
      </w:r>
    </w:p>
    <w:p>
      <w:pPr>
        <w:pStyle w:val="167"/>
      </w:pPr>
      <w:r>
        <w:rPr>
          <w:rFonts w:hint="eastAsia"/>
        </w:rPr>
        <w:t>消能器的支撑、连接元件、及连接板在任何状态下均应保持弹性。</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10.1.6</w:t>
      </w:r>
      <w:r>
        <w:rPr>
          <w:rFonts w:hint="eastAsia" w:ascii="华文楷体" w:hAnsi="华文楷体" w:eastAsia="华文楷体" w:cs="华文楷体"/>
          <w:color w:val="0000FF"/>
          <w:szCs w:val="20"/>
        </w:rPr>
        <w:t>由于消能支撑常采用连接板与主体结构相连，从现有的混凝土钢支撑结构和钢结构的支撑破坏情况发现，在地震中常出现连接钢板部分发生互不相同平面外的失稳，由此导致梁发生大的扭转变形并使钢筋混凝土剥落，使消能器不能产生相对位移，从而不能发挥响应的耗能效果。</w:t>
      </w:r>
    </w:p>
    <w:p>
      <w:pPr>
        <w:pStyle w:val="167"/>
      </w:pPr>
      <w:r>
        <w:rPr>
          <w:rFonts w:hint="eastAsia"/>
        </w:rPr>
        <w:t>与位移相关型或速度相关型消能器相连的预埋件、支撑、支墩、剪力墙及节点板的作用力取值应为消能器设计位移或设计速度下对应阻尼力的1.2倍。</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10.1.7</w:t>
      </w:r>
      <w:r>
        <w:rPr>
          <w:rFonts w:hint="eastAsia" w:ascii="华文楷体" w:hAnsi="华文楷体" w:eastAsia="华文楷体" w:cs="华文楷体"/>
          <w:color w:val="0000FF"/>
          <w:szCs w:val="20"/>
        </w:rPr>
        <w:t>与消能部件相连接的主体结构构件与节点应满足消能器在最大输出阻尼力作用下仍处于不屈服状态，从而保证消能器在罕遇地震作用下能发挥最大的消能功能。</w:t>
      </w:r>
    </w:p>
    <w:p>
      <w:pPr>
        <w:pStyle w:val="107"/>
        <w:spacing w:before="156" w:after="156"/>
        <w:jc w:val="center"/>
      </w:pPr>
      <w:r>
        <w:rPr>
          <w:rFonts w:hint="eastAsia"/>
        </w:rPr>
        <w:t>预埋件计算</w:t>
      </w:r>
    </w:p>
    <w:p>
      <w:pPr>
        <w:pStyle w:val="167"/>
      </w:pPr>
      <w:r>
        <w:rPr>
          <w:rFonts w:hint="eastAsia"/>
        </w:rPr>
        <w:t>预埋件的锚筋和锚板设计应符合国家现行标准《混凝土结构设计规范》GB 50010和《混凝土结构后锚固技术规程》JGJ 145的规定。</w:t>
      </w:r>
    </w:p>
    <w:p>
      <w:pPr>
        <w:pStyle w:val="107"/>
        <w:spacing w:before="156" w:after="156"/>
        <w:jc w:val="center"/>
      </w:pPr>
      <w:r>
        <w:rPr>
          <w:rFonts w:hint="eastAsia"/>
        </w:rPr>
        <w:t>支撑和支墩、剪力墙计算</w:t>
      </w:r>
    </w:p>
    <w:p>
      <w:pPr>
        <w:pStyle w:val="167"/>
      </w:pPr>
      <w:r>
        <w:rPr>
          <w:rFonts w:hint="eastAsia"/>
        </w:rPr>
        <w:t>支墩、剪力墙应按本规程第10.1.6条消能器附加的水平剪力进行截面验算。</w:t>
      </w:r>
    </w:p>
    <w:p>
      <w:pPr>
        <w:pStyle w:val="167"/>
      </w:pPr>
      <w:r>
        <w:rPr>
          <w:rFonts w:hint="eastAsia"/>
        </w:rPr>
        <w:t>支撑和支墩、剪力墙的计算长度应符合下列规定：</w:t>
      </w:r>
    </w:p>
    <w:p>
      <w:pPr>
        <w:pStyle w:val="58"/>
        <w:ind w:firstLine="420"/>
      </w:pPr>
      <w:r>
        <w:rPr>
          <w:rFonts w:hint="eastAsia"/>
        </w:rPr>
        <w:t>1 采用单斜消能部件时，支撑计算长度应取支撑与消能器连接处到主体结构预埋连接板连接中心处的距离。</w:t>
      </w:r>
    </w:p>
    <w:p>
      <w:pPr>
        <w:pStyle w:val="58"/>
        <w:ind w:firstLine="420"/>
      </w:pPr>
      <w:r>
        <w:rPr>
          <w:rFonts w:hint="eastAsia"/>
        </w:rPr>
        <w:t>2 采用人字形支撑时，支撑计算长度应取布置消能器水平梁平台底部到主体结构预埋连接板连接中心处的距离。</w:t>
      </w:r>
    </w:p>
    <w:p>
      <w:pPr>
        <w:pStyle w:val="58"/>
        <w:ind w:firstLine="420"/>
      </w:pPr>
      <w:r>
        <w:rPr>
          <w:rFonts w:hint="eastAsia"/>
        </w:rPr>
        <w:t>3 采用柱型支撑时，支撑计算长度应取消能器上连接板或下连接板到主体结构梁底或顶面的距离。</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10.3.2</w:t>
      </w:r>
      <w:r>
        <w:rPr>
          <w:rFonts w:hint="eastAsia" w:ascii="华文楷体" w:hAnsi="华文楷体" w:eastAsia="华文楷体" w:cs="华文楷体"/>
          <w:color w:val="0000FF"/>
          <w:szCs w:val="20"/>
        </w:rPr>
        <w:t>支撑的计算长度取值遵循如下原则：计算支撑的轴向刚度时，计算长度取其静长。计算平面内、外失稳时，计算长度应取支撑与消能器的长度总和。</w:t>
      </w:r>
    </w:p>
    <w:p>
      <w:pPr>
        <w:pStyle w:val="167"/>
      </w:pPr>
      <w:r>
        <w:rPr>
          <w:rFonts w:hint="eastAsia"/>
        </w:rPr>
        <w:t>与速度相关型消能器连接的支撑、支墩、剪力墙的刚度应满足本规程第7. 3. 1 条的要求。</w:t>
      </w:r>
    </w:p>
    <w:p>
      <w:pPr>
        <w:pStyle w:val="107"/>
        <w:spacing w:before="156" w:after="156"/>
        <w:jc w:val="center"/>
      </w:pPr>
      <w:r>
        <w:rPr>
          <w:rFonts w:hint="eastAsia"/>
        </w:rPr>
        <w:t>节点板计算</w:t>
      </w:r>
    </w:p>
    <w:p>
      <w:pPr>
        <w:pStyle w:val="167"/>
      </w:pPr>
      <w:r>
        <w:rPr>
          <w:rFonts w:hint="eastAsia"/>
        </w:rPr>
        <w:t>节点板设计时应验算节点板构件的截面、节点板与预埋板间高强螺栓或焊缝的强度。</w:t>
      </w:r>
    </w:p>
    <w:p>
      <w:pPr>
        <w:pStyle w:val="167"/>
      </w:pPr>
      <w:r>
        <w:rPr>
          <w:rFonts w:hint="eastAsia"/>
        </w:rPr>
        <w:t>节点板在抗拉、抗剪作用下的强度应按下列公式计算：</w:t>
      </w:r>
    </w:p>
    <w:p>
      <w:pPr>
        <w:pStyle w:val="115"/>
      </w:pPr>
      <w:r>
        <w:tab/>
      </w:r>
      <w:r>
        <w:rPr>
          <w:rFonts w:ascii="Times New Roman" w:hAnsi="Times New Roman"/>
          <w:b/>
          <w:position w:val="-32"/>
        </w:rPr>
        <w:object>
          <v:shape id="_x0000_i1230" o:spt="75" type="#_x0000_t75" style="height:36.75pt;width:90.35pt;" o:ole="t" filled="f" o:preferrelative="t" stroked="f" coordsize="21600,21600">
            <v:path/>
            <v:fill on="f" focussize="0,0"/>
            <v:stroke on="f" joinstyle="miter"/>
            <v:imagedata r:id="rId416" o:title=""/>
            <o:lock v:ext="edit" aspectratio="t"/>
            <w10:wrap type="none"/>
            <w10:anchorlock/>
          </v:shape>
          <o:OLEObject Type="Embed" ProgID="Equation.DSMT4" ShapeID="_x0000_i1230" DrawAspect="Content" ObjectID="_1468075930" r:id="rId415">
            <o:LockedField>false</o:LockedField>
          </o:OLEObject>
        </w:object>
      </w:r>
      <w:r>
        <w:rPr>
          <w:rFonts w:ascii="微软雅黑" w:hAnsi="微软雅黑" w:eastAsia="微软雅黑"/>
        </w:rPr>
        <w:tab/>
      </w:r>
      <w:r>
        <w:t>(10.4.2-1)</w:t>
      </w:r>
    </w:p>
    <w:p>
      <w:pPr>
        <w:pStyle w:val="115"/>
      </w:pPr>
      <w:r>
        <w:tab/>
      </w:r>
      <w:r>
        <w:rPr>
          <w:rFonts w:ascii="Times New Roman" w:hAnsi="Times New Roman"/>
          <w:b/>
          <w:position w:val="-36"/>
        </w:rPr>
        <w:object>
          <v:shape id="_x0000_i1231" o:spt="75" type="#_x0000_t75" style="height:36.75pt;width:91.85pt;" o:ole="t" filled="f" o:preferrelative="t" stroked="f" coordsize="21600,21600">
            <v:path/>
            <v:fill on="f" focussize="0,0"/>
            <v:stroke on="f" joinstyle="miter"/>
            <v:imagedata r:id="rId418" o:title=""/>
            <o:lock v:ext="edit" aspectratio="t"/>
            <w10:wrap type="none"/>
            <w10:anchorlock/>
          </v:shape>
          <o:OLEObject Type="Embed" ProgID="Equation.DSMT4" ShapeID="_x0000_i1231" DrawAspect="Content" ObjectID="_1468075931" r:id="rId417">
            <o:LockedField>false</o:LockedField>
          </o:OLEObject>
        </w:object>
      </w:r>
      <w:r>
        <w:rPr>
          <w:rFonts w:ascii="微软雅黑" w:hAnsi="微软雅黑" w:eastAsia="微软雅黑"/>
        </w:rPr>
        <w:tab/>
      </w:r>
      <w:r>
        <w:t>(10.4.2-2)</w:t>
      </w:r>
    </w:p>
    <w:p>
      <w:pPr>
        <w:pStyle w:val="58"/>
        <w:ind w:firstLine="420"/>
      </w:pPr>
      <w:r>
        <w:rPr>
          <w:rFonts w:hint="eastAsia"/>
        </w:rPr>
        <w:t>式中：</w:t>
      </w:r>
      <w:r>
        <w:rPr>
          <w:szCs w:val="21"/>
        </w:rPr>
        <w:t>N</w:t>
      </w:r>
      <w:r>
        <w:rPr>
          <w:rFonts w:hint="eastAsia"/>
        </w:rPr>
        <w:t>—作用于节点板上消能器作用力，按本规程7.1.6条的规定取值（kN）；</w:t>
      </w:r>
    </w:p>
    <w:p>
      <w:pPr>
        <w:pStyle w:val="58"/>
        <w:ind w:firstLine="840" w:firstLineChars="400"/>
      </w:pPr>
      <w:r>
        <w:rPr>
          <w:szCs w:val="21"/>
        </w:rPr>
        <w:object>
          <v:shape id="_x0000_i1232" o:spt="75" type="#_x0000_t75" style="height:18.35pt;width:12.5pt;" o:ole="t" filled="f" o:preferrelative="t" stroked="f" coordsize="21600,21600">
            <v:path/>
            <v:fill on="f" focussize="0,0"/>
            <v:stroke on="f" joinstyle="miter"/>
            <v:imagedata r:id="rId420" o:title=""/>
            <o:lock v:ext="edit" aspectratio="t"/>
            <w10:wrap type="none"/>
            <w10:anchorlock/>
          </v:shape>
          <o:OLEObject Type="Embed" ProgID="Equation.DSMT4" ShapeID="_x0000_i1232" DrawAspect="Content" ObjectID="_1468075932" r:id="rId419">
            <o:LockedField>false</o:LockedField>
          </o:OLEObject>
        </w:object>
      </w:r>
      <w:r>
        <w:rPr>
          <w:rFonts w:hint="eastAsia"/>
        </w:rPr>
        <w:t>—</w:t>
      </w:r>
      <w:r>
        <w:rPr>
          <w:rFonts w:hint="eastAsia"/>
          <w:szCs w:val="21"/>
        </w:rPr>
        <w:t>第i段破坏面的截面积，</w:t>
      </w:r>
      <w:r>
        <w:drawing>
          <wp:inline distT="0" distB="0" distL="0" distR="0">
            <wp:extent cx="390525" cy="209550"/>
            <wp:effectExtent l="0" t="0" r="0" b="0"/>
            <wp:docPr id="61" name="图片 61"/>
            <wp:cNvGraphicFramePr/>
            <a:graphic xmlns:a="http://schemas.openxmlformats.org/drawingml/2006/main">
              <a:graphicData uri="http://schemas.openxmlformats.org/drawingml/2006/picture">
                <pic:pic xmlns:pic="http://schemas.openxmlformats.org/drawingml/2006/picture">
                  <pic:nvPicPr>
                    <pic:cNvPr id="61" name="图片 61"/>
                    <pic:cNvPicPr/>
                  </pic:nvPicPr>
                  <pic:blipFill>
                    <a:blip r:embed="rId421" cstate="print">
                      <a:extLst>
                        <a:ext uri="{28A0092B-C50C-407E-A947-70E740481C1C}">
                          <a14:useLocalDpi xmlns:a14="http://schemas.microsoft.com/office/drawing/2010/main" val="0"/>
                        </a:ext>
                      </a:extLst>
                    </a:blip>
                    <a:srcRect/>
                    <a:stretch>
                      <a:fillRect/>
                    </a:stretch>
                  </pic:blipFill>
                  <pic:spPr>
                    <a:xfrm>
                      <a:off x="0" y="0"/>
                      <a:ext cx="390525" cy="209550"/>
                    </a:xfrm>
                    <a:prstGeom prst="rect">
                      <a:avLst/>
                    </a:prstGeom>
                    <a:noFill/>
                    <a:ln>
                      <a:noFill/>
                    </a:ln>
                  </pic:spPr>
                </pic:pic>
              </a:graphicData>
            </a:graphic>
          </wp:inline>
        </w:drawing>
      </w:r>
      <w:r>
        <w:rPr>
          <w:rFonts w:hint="eastAsia"/>
          <w:szCs w:val="21"/>
        </w:rPr>
        <w:t>；当为螺栓连接时，应取净截面面积（m2）；</w:t>
      </w:r>
    </w:p>
    <w:p>
      <w:pPr>
        <w:pStyle w:val="58"/>
        <w:ind w:firstLine="840" w:firstLineChars="400"/>
      </w:pPr>
      <w:r>
        <w:drawing>
          <wp:inline distT="0" distB="0" distL="0" distR="0">
            <wp:extent cx="161925" cy="228600"/>
            <wp:effectExtent l="0" t="0" r="0" b="0"/>
            <wp:docPr id="60" name="图片 60"/>
            <wp:cNvGraphicFramePr/>
            <a:graphic xmlns:a="http://schemas.openxmlformats.org/drawingml/2006/main">
              <a:graphicData uri="http://schemas.openxmlformats.org/drawingml/2006/picture">
                <pic:pic xmlns:pic="http://schemas.openxmlformats.org/drawingml/2006/picture">
                  <pic:nvPicPr>
                    <pic:cNvPr id="60" name="图片 60"/>
                    <pic:cNvPicPr/>
                  </pic:nvPicPr>
                  <pic:blipFill>
                    <a:blip r:embed="rId422" cstate="print">
                      <a:extLst>
                        <a:ext uri="{28A0092B-C50C-407E-A947-70E740481C1C}">
                          <a14:useLocalDpi xmlns:a14="http://schemas.microsoft.com/office/drawing/2010/main" val="0"/>
                        </a:ext>
                      </a:extLst>
                    </a:blip>
                    <a:srcRect/>
                    <a:stretch>
                      <a:fillRect/>
                    </a:stretch>
                  </pic:blipFill>
                  <pic:spPr>
                    <a:xfrm>
                      <a:off x="0" y="0"/>
                      <a:ext cx="161925" cy="228600"/>
                    </a:xfrm>
                    <a:prstGeom prst="rect">
                      <a:avLst/>
                    </a:prstGeom>
                    <a:noFill/>
                    <a:ln>
                      <a:noFill/>
                    </a:ln>
                  </pic:spPr>
                </pic:pic>
              </a:graphicData>
            </a:graphic>
          </wp:inline>
        </w:drawing>
      </w:r>
      <w:r>
        <w:rPr>
          <w:rFonts w:hint="eastAsia"/>
        </w:rPr>
        <w:t>—第i段的拉剪折算系数；</w:t>
      </w:r>
    </w:p>
    <w:p>
      <w:pPr>
        <w:pStyle w:val="58"/>
        <w:ind w:firstLine="840" w:firstLineChars="400"/>
      </w:pPr>
      <w:r>
        <w:drawing>
          <wp:inline distT="0" distB="0" distL="0" distR="0">
            <wp:extent cx="161925" cy="180975"/>
            <wp:effectExtent l="0" t="0" r="0" b="0"/>
            <wp:docPr id="59" name="图片 59"/>
            <wp:cNvGraphicFramePr/>
            <a:graphic xmlns:a="http://schemas.openxmlformats.org/drawingml/2006/main">
              <a:graphicData uri="http://schemas.openxmlformats.org/drawingml/2006/picture">
                <pic:pic xmlns:pic="http://schemas.openxmlformats.org/drawingml/2006/picture">
                  <pic:nvPicPr>
                    <pic:cNvPr id="59" name="图片 59"/>
                    <pic:cNvPicPr/>
                  </pic:nvPicPr>
                  <pic:blipFill>
                    <a:blip r:embed="rId423" cstate="print">
                      <a:extLst>
                        <a:ext uri="{28A0092B-C50C-407E-A947-70E740481C1C}">
                          <a14:useLocalDpi xmlns:a14="http://schemas.microsoft.com/office/drawing/2010/main" val="0"/>
                        </a:ext>
                      </a:extLst>
                    </a:blip>
                    <a:srcRect/>
                    <a:stretch>
                      <a:fillRect/>
                    </a:stretch>
                  </pic:blipFill>
                  <pic:spPr>
                    <a:xfrm>
                      <a:off x="0" y="0"/>
                      <a:ext cx="161925" cy="180975"/>
                    </a:xfrm>
                    <a:prstGeom prst="rect">
                      <a:avLst/>
                    </a:prstGeom>
                    <a:noFill/>
                    <a:ln>
                      <a:noFill/>
                    </a:ln>
                  </pic:spPr>
                </pic:pic>
              </a:graphicData>
            </a:graphic>
          </wp:inline>
        </w:drawing>
      </w:r>
      <w:r>
        <w:rPr>
          <w:rFonts w:hint="eastAsia"/>
        </w:rPr>
        <w:t>—钢材的抗拉和抗剪强度设计值（N/mm2）；</w:t>
      </w:r>
    </w:p>
    <w:p>
      <w:pPr>
        <w:pStyle w:val="58"/>
        <w:ind w:firstLine="840" w:firstLineChars="400"/>
      </w:pPr>
      <w:r>
        <w:drawing>
          <wp:inline distT="0" distB="0" distL="0" distR="0">
            <wp:extent cx="161925" cy="238125"/>
            <wp:effectExtent l="0" t="0" r="0" b="0"/>
            <wp:docPr id="479" name="图片 479"/>
            <wp:cNvGraphicFramePr/>
            <a:graphic xmlns:a="http://schemas.openxmlformats.org/drawingml/2006/main">
              <a:graphicData uri="http://schemas.openxmlformats.org/drawingml/2006/picture">
                <pic:pic xmlns:pic="http://schemas.openxmlformats.org/drawingml/2006/picture">
                  <pic:nvPicPr>
                    <pic:cNvPr id="479" name="图片 479"/>
                    <pic:cNvPicPr/>
                  </pic:nvPicPr>
                  <pic:blipFill>
                    <a:blip r:embed="rId424" cstate="print">
                      <a:extLst>
                        <a:ext uri="{28A0092B-C50C-407E-A947-70E740481C1C}">
                          <a14:useLocalDpi xmlns:a14="http://schemas.microsoft.com/office/drawing/2010/main" val="0"/>
                        </a:ext>
                      </a:extLst>
                    </a:blip>
                    <a:srcRect/>
                    <a:stretch>
                      <a:fillRect/>
                    </a:stretch>
                  </pic:blipFill>
                  <pic:spPr>
                    <a:xfrm>
                      <a:off x="0" y="0"/>
                      <a:ext cx="161925" cy="238125"/>
                    </a:xfrm>
                    <a:prstGeom prst="rect">
                      <a:avLst/>
                    </a:prstGeom>
                    <a:noFill/>
                    <a:ln>
                      <a:noFill/>
                    </a:ln>
                  </pic:spPr>
                </pic:pic>
              </a:graphicData>
            </a:graphic>
          </wp:inline>
        </w:drawing>
      </w:r>
      <w:r>
        <w:rPr>
          <w:rFonts w:hint="eastAsia"/>
        </w:rPr>
        <w:t>—第i段破坏线与拉力轴线的夹角；</w:t>
      </w:r>
    </w:p>
    <w:p>
      <w:pPr>
        <w:pStyle w:val="58"/>
        <w:ind w:firstLine="1050" w:firstLineChars="500"/>
      </w:pPr>
      <w:r>
        <w:drawing>
          <wp:inline distT="0" distB="0" distL="0" distR="0">
            <wp:extent cx="57150" cy="161925"/>
            <wp:effectExtent l="0" t="0" r="0" b="0"/>
            <wp:docPr id="478" name="图片 478"/>
            <wp:cNvGraphicFramePr/>
            <a:graphic xmlns:a="http://schemas.openxmlformats.org/drawingml/2006/main">
              <a:graphicData uri="http://schemas.openxmlformats.org/drawingml/2006/picture">
                <pic:pic xmlns:pic="http://schemas.openxmlformats.org/drawingml/2006/picture">
                  <pic:nvPicPr>
                    <pic:cNvPr id="478" name="图片 478"/>
                    <pic:cNvPicPr/>
                  </pic:nvPicPr>
                  <pic:blipFill>
                    <a:blip r:embed="rId425" cstate="print">
                      <a:extLst>
                        <a:ext uri="{28A0092B-C50C-407E-A947-70E740481C1C}">
                          <a14:useLocalDpi xmlns:a14="http://schemas.microsoft.com/office/drawing/2010/main" val="0"/>
                        </a:ext>
                      </a:extLst>
                    </a:blip>
                    <a:srcRect/>
                    <a:stretch>
                      <a:fillRect/>
                    </a:stretch>
                  </pic:blipFill>
                  <pic:spPr>
                    <a:xfrm>
                      <a:off x="0" y="0"/>
                      <a:ext cx="57150" cy="161925"/>
                    </a:xfrm>
                    <a:prstGeom prst="rect">
                      <a:avLst/>
                    </a:prstGeom>
                    <a:noFill/>
                    <a:ln>
                      <a:noFill/>
                    </a:ln>
                  </pic:spPr>
                </pic:pic>
              </a:graphicData>
            </a:graphic>
          </wp:inline>
        </w:drawing>
      </w:r>
      <w:r>
        <w:rPr>
          <w:rFonts w:hint="eastAsia"/>
        </w:rPr>
        <w:t>—板件厚度（mm）；</w:t>
      </w:r>
    </w:p>
    <w:p>
      <w:pPr>
        <w:pStyle w:val="58"/>
        <w:ind w:firstLine="1050" w:firstLineChars="500"/>
      </w:pPr>
      <w:r>
        <w:drawing>
          <wp:inline distT="0" distB="0" distL="0" distR="0">
            <wp:extent cx="123825" cy="228600"/>
            <wp:effectExtent l="0" t="0" r="0" b="0"/>
            <wp:docPr id="477" name="图片 477"/>
            <wp:cNvGraphicFramePr/>
            <a:graphic xmlns:a="http://schemas.openxmlformats.org/drawingml/2006/main">
              <a:graphicData uri="http://schemas.openxmlformats.org/drawingml/2006/picture">
                <pic:pic xmlns:pic="http://schemas.openxmlformats.org/drawingml/2006/picture">
                  <pic:nvPicPr>
                    <pic:cNvPr id="477" name="图片 477"/>
                    <pic:cNvPicPr/>
                  </pic:nvPicPr>
                  <pic:blipFill>
                    <a:blip r:embed="rId426" cstate="print">
                      <a:extLst>
                        <a:ext uri="{28A0092B-C50C-407E-A947-70E740481C1C}">
                          <a14:useLocalDpi xmlns:a14="http://schemas.microsoft.com/office/drawing/2010/main" val="0"/>
                        </a:ext>
                      </a:extLst>
                    </a:blip>
                    <a:srcRect/>
                    <a:stretch>
                      <a:fillRect/>
                    </a:stretch>
                  </pic:blipFill>
                  <pic:spPr>
                    <a:xfrm>
                      <a:off x="0" y="0"/>
                      <a:ext cx="123825" cy="228600"/>
                    </a:xfrm>
                    <a:prstGeom prst="rect">
                      <a:avLst/>
                    </a:prstGeom>
                    <a:noFill/>
                    <a:ln>
                      <a:noFill/>
                    </a:ln>
                  </pic:spPr>
                </pic:pic>
              </a:graphicData>
            </a:graphic>
          </wp:inline>
        </w:drawing>
      </w:r>
      <w:r>
        <w:rPr>
          <w:rFonts w:hint="eastAsia"/>
        </w:rPr>
        <w:t>—第i段破坏段的长度（mm），应取板件中最危险的破坏线的长度（图</w:t>
      </w:r>
      <w:r>
        <w:t>10</w:t>
      </w:r>
      <w:r>
        <w:rPr>
          <w:rFonts w:hint="eastAsia"/>
        </w:rPr>
        <w:t>.4.2）。</w:t>
      </w: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4669"/>
        <w:gridCol w:w="46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4669" w:type="dxa"/>
            <w:shd w:val="clear" w:color="auto" w:fill="auto"/>
            <w:vAlign w:val="center"/>
          </w:tcPr>
          <w:p>
            <w:pPr>
              <w:pStyle w:val="180"/>
            </w:pPr>
            <w:r>
              <w:drawing>
                <wp:inline distT="0" distB="0" distL="0" distR="0">
                  <wp:extent cx="2243455" cy="1854200"/>
                  <wp:effectExtent l="0" t="0" r="4445" b="0"/>
                  <wp:docPr id="476" name="图片 476"/>
                  <wp:cNvGraphicFramePr/>
                  <a:graphic xmlns:a="http://schemas.openxmlformats.org/drawingml/2006/main">
                    <a:graphicData uri="http://schemas.openxmlformats.org/drawingml/2006/picture">
                      <pic:pic xmlns:pic="http://schemas.openxmlformats.org/drawingml/2006/picture">
                        <pic:nvPicPr>
                          <pic:cNvPr id="476" name="图片 476"/>
                          <pic:cNvPicPr/>
                        </pic:nvPicPr>
                        <pic:blipFill>
                          <a:blip r:embed="rId427">
                            <a:extLst>
                              <a:ext uri="{28A0092B-C50C-407E-A947-70E740481C1C}">
                                <a14:useLocalDpi xmlns:a14="http://schemas.microsoft.com/office/drawing/2010/main" val="0"/>
                              </a:ext>
                            </a:extLst>
                          </a:blip>
                          <a:srcRect/>
                          <a:stretch>
                            <a:fillRect/>
                          </a:stretch>
                        </pic:blipFill>
                        <pic:spPr>
                          <a:xfrm>
                            <a:off x="0" y="0"/>
                            <a:ext cx="2245101" cy="1855386"/>
                          </a:xfrm>
                          <a:prstGeom prst="rect">
                            <a:avLst/>
                          </a:prstGeom>
                          <a:noFill/>
                          <a:ln>
                            <a:noFill/>
                          </a:ln>
                        </pic:spPr>
                      </pic:pic>
                    </a:graphicData>
                  </a:graphic>
                </wp:inline>
              </w:drawing>
            </w:r>
          </w:p>
        </w:tc>
        <w:tc>
          <w:tcPr>
            <w:tcW w:w="4665" w:type="dxa"/>
            <w:shd w:val="clear" w:color="auto" w:fill="auto"/>
            <w:vAlign w:val="center"/>
          </w:tcPr>
          <w:p>
            <w:pPr>
              <w:pStyle w:val="180"/>
            </w:pPr>
            <w:r>
              <w:drawing>
                <wp:inline distT="0" distB="0" distL="0" distR="0">
                  <wp:extent cx="880110" cy="2463800"/>
                  <wp:effectExtent l="0" t="0" r="0" b="0"/>
                  <wp:docPr id="475" name="图片 475"/>
                  <wp:cNvGraphicFramePr/>
                  <a:graphic xmlns:a="http://schemas.openxmlformats.org/drawingml/2006/main">
                    <a:graphicData uri="http://schemas.openxmlformats.org/drawingml/2006/picture">
                      <pic:pic xmlns:pic="http://schemas.openxmlformats.org/drawingml/2006/picture">
                        <pic:nvPicPr>
                          <pic:cNvPr id="475" name="图片 475"/>
                          <pic:cNvPicPr/>
                        </pic:nvPicPr>
                        <pic:blipFill>
                          <a:blip r:embed="rId428">
                            <a:extLst>
                              <a:ext uri="{28A0092B-C50C-407E-A947-70E740481C1C}">
                                <a14:useLocalDpi xmlns:a14="http://schemas.microsoft.com/office/drawing/2010/main" val="0"/>
                              </a:ext>
                            </a:extLst>
                          </a:blip>
                          <a:srcRect/>
                          <a:stretch>
                            <a:fillRect/>
                          </a:stretch>
                        </pic:blipFill>
                        <pic:spPr>
                          <a:xfrm>
                            <a:off x="0" y="0"/>
                            <a:ext cx="884118" cy="24738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4669" w:type="dxa"/>
            <w:shd w:val="clear" w:color="auto" w:fill="auto"/>
            <w:vAlign w:val="center"/>
          </w:tcPr>
          <w:p>
            <w:pPr>
              <w:pStyle w:val="180"/>
            </w:pPr>
            <w:r>
              <w:rPr>
                <w:rFonts w:hint="eastAsia"/>
              </w:rPr>
              <w:t>（a）焊接</w:t>
            </w:r>
          </w:p>
        </w:tc>
        <w:tc>
          <w:tcPr>
            <w:tcW w:w="4665" w:type="dxa"/>
            <w:shd w:val="clear" w:color="auto" w:fill="auto"/>
            <w:vAlign w:val="center"/>
          </w:tcPr>
          <w:p>
            <w:pPr>
              <w:pStyle w:val="180"/>
            </w:pPr>
            <w:r>
              <w:rPr>
                <w:rFonts w:hint="eastAsia"/>
              </w:rPr>
              <w:t>（b）螺栓连接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334" w:type="dxa"/>
            <w:gridSpan w:val="2"/>
            <w:shd w:val="clear" w:color="auto" w:fill="auto"/>
            <w:vAlign w:val="center"/>
          </w:tcPr>
          <w:p>
            <w:pPr>
              <w:pStyle w:val="116"/>
              <w:numPr>
                <w:ilvl w:val="0"/>
                <w:numId w:val="0"/>
              </w:numPr>
              <w:spacing w:before="156" w:after="156"/>
            </w:pPr>
            <w:r>
              <w:rPr>
                <w:rFonts w:hint="eastAsia"/>
              </w:rPr>
              <w:t>图10.4.2  节点板的拉、剪撕裂</w:t>
            </w:r>
          </w:p>
        </w:tc>
      </w:tr>
    </w:tbl>
    <w:p>
      <w:pPr>
        <w:pStyle w:val="167"/>
      </w:pPr>
      <w:r>
        <w:rPr>
          <w:rFonts w:hint="eastAsia"/>
        </w:rPr>
        <w:t>节点板在压力作用下的稳定性，应符合下列规定：</w:t>
      </w:r>
    </w:p>
    <w:p>
      <w:pPr>
        <w:pStyle w:val="58"/>
        <w:ind w:firstLine="420"/>
      </w:pPr>
      <w:r>
        <w:rPr>
          <w:rFonts w:hint="eastAsia"/>
        </w:rPr>
        <w:t>1  对梁柱相交处有斜向支撑或消能器的节点，其节点板</w:t>
      </w:r>
      <w:r>
        <w:rPr>
          <w:position w:val="-10"/>
        </w:rPr>
        <w:object>
          <v:shape id="_x0000_i1233" o:spt="75" type="#_x0000_t75" style="height:16.15pt;width:18.35pt;" o:ole="t" filled="f" o:preferrelative="t" stroked="f" coordsize="21600,21600">
            <v:path/>
            <v:fill on="f" focussize="0,0"/>
            <v:stroke on="f" joinstyle="miter"/>
            <v:imagedata r:id="rId430" o:title=""/>
            <o:lock v:ext="edit" aspectratio="t"/>
            <w10:wrap type="none"/>
            <w10:anchorlock/>
          </v:shape>
          <o:OLEObject Type="Embed" ProgID="Equation.3" ShapeID="_x0000_i1233" DrawAspect="Content" ObjectID="_1468075933" r:id="rId429">
            <o:LockedField>false</o:LockedField>
          </o:OLEObject>
        </w:object>
      </w:r>
      <w:r>
        <w:rPr>
          <w:rFonts w:hint="eastAsia"/>
        </w:rPr>
        <w:t>不得大于</w:t>
      </w:r>
      <w:r>
        <w:rPr>
          <w:position w:val="-16"/>
        </w:rPr>
        <w:object>
          <v:shape id="_x0000_i1234" o:spt="75" type="#_x0000_t75" style="height:22.05pt;width:61pt;" o:ole="t" filled="f" o:preferrelative="t" stroked="f" coordsize="21600,21600">
            <v:path/>
            <v:fill on="f" focussize="0,0"/>
            <v:stroke on="f" joinstyle="miter"/>
            <v:imagedata r:id="rId432" o:title=""/>
            <o:lock v:ext="edit" aspectratio="t"/>
            <w10:wrap type="none"/>
            <w10:anchorlock/>
          </v:shape>
          <o:OLEObject Type="Embed" ProgID="Equation.3" ShapeID="_x0000_i1234" DrawAspect="Content" ObjectID="_1468075934" r:id="rId431">
            <o:LockedField>false</o:LockedField>
          </o:OLEObject>
        </w:object>
      </w:r>
      <w:r>
        <w:rPr>
          <w:rFonts w:hint="eastAsia"/>
        </w:rPr>
        <w:t>。当</w:t>
      </w:r>
      <w:r>
        <w:rPr>
          <w:position w:val="-10"/>
        </w:rPr>
        <w:object>
          <v:shape id="_x0000_i1235" o:spt="75" type="#_x0000_t75" style="height:16.15pt;width:18.35pt;" o:ole="t" filled="f" o:preferrelative="t" stroked="f" coordsize="21600,21600">
            <v:path/>
            <v:fill on="f" focussize="0,0"/>
            <v:stroke on="f" joinstyle="miter"/>
            <v:imagedata r:id="rId430" o:title=""/>
            <o:lock v:ext="edit" aspectratio="t"/>
            <w10:wrap type="none"/>
            <w10:anchorlock/>
          </v:shape>
          <o:OLEObject Type="Embed" ProgID="Equation.3" ShapeID="_x0000_i1235" DrawAspect="Content" ObjectID="_1468075935" r:id="rId433">
            <o:LockedField>false</o:LockedField>
          </o:OLEObject>
        </w:object>
      </w:r>
      <w:r>
        <w:rPr>
          <w:rFonts w:hint="eastAsia"/>
        </w:rPr>
        <w:t xml:space="preserve">不大于 </w:t>
      </w:r>
      <w:r>
        <w:rPr>
          <w:position w:val="-16"/>
        </w:rPr>
        <w:object>
          <v:shape id="_x0000_i1236" o:spt="75" type="#_x0000_t75" style="height:22.05pt;width:61pt;" o:ole="t" filled="f" o:preferrelative="t" stroked="f" coordsize="21600,21600">
            <v:path/>
            <v:fill on="f" focussize="0,0"/>
            <v:stroke on="f" joinstyle="miter"/>
            <v:imagedata r:id="rId432" o:title=""/>
            <o:lock v:ext="edit" aspectratio="t"/>
            <w10:wrap type="none"/>
            <w10:anchorlock/>
          </v:shape>
          <o:OLEObject Type="Embed" ProgID="Equation.3" ShapeID="_x0000_i1236" DrawAspect="Content" ObjectID="_1468075936" r:id="rId434">
            <o:LockedField>false</o:LockedField>
          </o:OLEObject>
        </w:object>
      </w:r>
      <w:r>
        <w:rPr>
          <w:rFonts w:hint="eastAsia"/>
        </w:rPr>
        <w:t>时，可不进行稳定验算。否则，按本条第3 款进行计算。</w:t>
      </w:r>
    </w:p>
    <w:p>
      <w:pPr>
        <w:pStyle w:val="58"/>
        <w:ind w:firstLine="420"/>
      </w:pPr>
      <w:r>
        <w:rPr>
          <w:rFonts w:hint="eastAsia"/>
        </w:rPr>
        <w:t xml:space="preserve">2 </w:t>
      </w:r>
      <w:r>
        <w:t xml:space="preserve"> </w:t>
      </w:r>
      <w:r>
        <w:rPr>
          <w:rFonts w:hint="eastAsia"/>
        </w:rPr>
        <w:t>对框架梁上的节点，其节点板</w:t>
      </w:r>
      <w:r>
        <w:rPr>
          <w:position w:val="-10"/>
        </w:rPr>
        <w:object>
          <v:shape id="_x0000_i1237" o:spt="75" type="#_x0000_t75" style="height:16.15pt;width:18.35pt;" o:ole="t" filled="f" o:preferrelative="t" stroked="f" coordsize="21600,21600">
            <v:path/>
            <v:fill on="f" focussize="0,0"/>
            <v:stroke on="f" joinstyle="miter"/>
            <v:imagedata r:id="rId430" o:title=""/>
            <o:lock v:ext="edit" aspectratio="t"/>
            <w10:wrap type="none"/>
            <w10:anchorlock/>
          </v:shape>
          <o:OLEObject Type="Embed" ProgID="Equation.3" ShapeID="_x0000_i1237" DrawAspect="Content" ObjectID="_1468075937" r:id="rId435">
            <o:LockedField>false</o:LockedField>
          </o:OLEObject>
        </w:object>
      </w:r>
      <w:r>
        <w:rPr>
          <w:rFonts w:hint="eastAsia"/>
        </w:rPr>
        <w:t>不得大于</w:t>
      </w:r>
      <w:r>
        <w:rPr>
          <w:rFonts w:ascii="Times New Roman"/>
          <w:position w:val="-16"/>
          <w:szCs w:val="21"/>
        </w:rPr>
        <w:object>
          <v:shape id="_x0000_i1238" o:spt="75" type="#_x0000_t75" style="height:22.05pt;width:69.05pt;" o:ole="t" filled="f" o:preferrelative="t" stroked="f" coordsize="21600,21600">
            <v:path/>
            <v:fill on="f" focussize="0,0"/>
            <v:stroke on="f" joinstyle="miter"/>
            <v:imagedata r:id="rId437" o:title=""/>
            <o:lock v:ext="edit" aspectratio="t"/>
            <w10:wrap type="none"/>
            <w10:anchorlock/>
          </v:shape>
          <o:OLEObject Type="Embed" ProgID="Equation.KSEE3" ShapeID="_x0000_i1238" DrawAspect="Content" ObjectID="_1468075938" r:id="rId436">
            <o:LockedField>false</o:LockedField>
          </o:OLEObject>
        </w:object>
      </w:r>
      <w:r>
        <w:rPr>
          <w:rFonts w:hint="eastAsia"/>
        </w:rPr>
        <w:t>。当</w:t>
      </w:r>
      <w:r>
        <w:rPr>
          <w:position w:val="-10"/>
        </w:rPr>
        <w:object>
          <v:shape id="_x0000_i1239" o:spt="75" type="#_x0000_t75" style="height:16.15pt;width:18.35pt;" o:ole="t" filled="f" o:preferrelative="t" stroked="f" coordsize="21600,21600">
            <v:path/>
            <v:fill on="f" focussize="0,0"/>
            <v:stroke on="f" joinstyle="miter"/>
            <v:imagedata r:id="rId430" o:title=""/>
            <o:lock v:ext="edit" aspectratio="t"/>
            <w10:wrap type="none"/>
            <w10:anchorlock/>
          </v:shape>
          <o:OLEObject Type="Embed" ProgID="Equation.3" ShapeID="_x0000_i1239" DrawAspect="Content" ObjectID="_1468075939" r:id="rId438">
            <o:LockedField>false</o:LockedField>
          </o:OLEObject>
        </w:object>
      </w:r>
      <w:r>
        <w:rPr>
          <w:rFonts w:hint="eastAsia"/>
        </w:rPr>
        <w:t>不大于时</w:t>
      </w:r>
      <w:r>
        <w:rPr>
          <w:rFonts w:ascii="Times New Roman"/>
          <w:position w:val="-16"/>
          <w:szCs w:val="21"/>
        </w:rPr>
        <w:object>
          <v:shape id="_x0000_i1240" o:spt="75" type="#_x0000_t75" style="height:22.05pt;width:60.25pt;" o:ole="t" filled="f" o:preferrelative="t" stroked="f" coordsize="21600,21600">
            <v:path/>
            <v:fill on="f" focussize="0,0"/>
            <v:stroke on="f" joinstyle="miter"/>
            <v:imagedata r:id="rId440" o:title=""/>
            <o:lock v:ext="edit" aspectratio="t"/>
            <w10:wrap type="none"/>
            <w10:anchorlock/>
          </v:shape>
          <o:OLEObject Type="Embed" ProgID="Equation.KSEE3" ShapeID="_x0000_i1240" DrawAspect="Content" ObjectID="_1468075940" r:id="rId439">
            <o:LockedField>false</o:LockedField>
          </o:OLEObject>
        </w:object>
      </w:r>
      <w:r>
        <w:rPr>
          <w:rFonts w:hint="eastAsia"/>
        </w:rPr>
        <w:t>，节点板的稳定承载力可取为</w:t>
      </w:r>
      <w:r>
        <w:rPr>
          <w:rFonts w:ascii="Times New Roman"/>
          <w:position w:val="-12"/>
          <w:szCs w:val="21"/>
        </w:rPr>
        <w:object>
          <v:shape id="_x0000_i1241" o:spt="75" type="#_x0000_t75" style="height:18.35pt;width:36.75pt;" o:ole="t" filled="f" o:preferrelative="t" stroked="f" coordsize="21600,21600">
            <v:path/>
            <v:fill on="f" focussize="0,0"/>
            <v:stroke on="f" joinstyle="miter"/>
            <v:imagedata r:id="rId442" o:title=""/>
            <o:lock v:ext="edit" aspectratio="t"/>
            <w10:wrap type="none"/>
            <w10:anchorlock/>
          </v:shape>
          <o:OLEObject Type="Embed" ProgID="Equation.3" ShapeID="_x0000_i1241" DrawAspect="Content" ObjectID="_1468075941" r:id="rId441">
            <o:LockedField>false</o:LockedField>
          </o:OLEObject>
        </w:object>
      </w:r>
      <w:r>
        <w:rPr>
          <w:rFonts w:hint="eastAsia"/>
        </w:rPr>
        <w:t>；当</w:t>
      </w:r>
      <w:r>
        <w:rPr>
          <w:position w:val="-10"/>
        </w:rPr>
        <w:object>
          <v:shape id="_x0000_i1242" o:spt="75" type="#_x0000_t75" style="height:16.15pt;width:18.35pt;" o:ole="t" filled="f" o:preferrelative="t" stroked="f" coordsize="21600,21600">
            <v:path/>
            <v:fill on="f" focussize="0,0"/>
            <v:stroke on="f" joinstyle="miter"/>
            <v:imagedata r:id="rId430" o:title=""/>
            <o:lock v:ext="edit" aspectratio="t"/>
            <w10:wrap type="none"/>
            <w10:anchorlock/>
          </v:shape>
          <o:OLEObject Type="Embed" ProgID="Equation.3" ShapeID="_x0000_i1242" DrawAspect="Content" ObjectID="_1468075942" r:id="rId443">
            <o:LockedField>false</o:LockedField>
          </o:OLEObject>
        </w:object>
      </w:r>
      <w:r>
        <w:rPr>
          <w:rFonts w:hint="eastAsia"/>
        </w:rPr>
        <w:t>大于</w:t>
      </w:r>
      <w:r>
        <w:rPr>
          <w:rFonts w:ascii="Times New Roman"/>
          <w:position w:val="-16"/>
          <w:szCs w:val="21"/>
        </w:rPr>
        <w:object>
          <v:shape id="_x0000_i1243" o:spt="75" type="#_x0000_t75" style="height:22.05pt;width:60.25pt;" o:ole="t" filled="f" o:preferrelative="t" stroked="f" coordsize="21600,21600">
            <v:path/>
            <v:fill on="f" focussize="0,0"/>
            <v:stroke on="f" joinstyle="miter"/>
            <v:imagedata r:id="rId440" o:title=""/>
            <o:lock v:ext="edit" aspectratio="t"/>
            <w10:wrap type="none"/>
            <w10:anchorlock/>
          </v:shape>
          <o:OLEObject Type="Embed" ProgID="Equation.KSEE3" ShapeID="_x0000_i1243" DrawAspect="Content" ObjectID="_1468075943" r:id="rId444">
            <o:LockedField>false</o:LockedField>
          </o:OLEObject>
        </w:object>
      </w:r>
      <w:r>
        <w:rPr>
          <w:rFonts w:hint="eastAsia"/>
        </w:rPr>
        <w:t>时，按本条第3款进行计算。</w:t>
      </w:r>
    </w:p>
    <w:p>
      <w:pPr>
        <w:pStyle w:val="58"/>
        <w:ind w:firstLine="420"/>
      </w:pPr>
      <w:r>
        <w:rPr>
          <w:rFonts w:hint="eastAsia"/>
        </w:rPr>
        <w:t>3  设有斜向支撑或消能器的节点板，在其轴向压力作用下，节点板</w:t>
      </w:r>
      <w:r>
        <w:drawing>
          <wp:inline distT="0" distB="0" distL="0" distR="0">
            <wp:extent cx="219075" cy="209550"/>
            <wp:effectExtent l="0" t="0" r="0" b="0"/>
            <wp:docPr id="466" name="图片 466"/>
            <wp:cNvGraphicFramePr/>
            <a:graphic xmlns:a="http://schemas.openxmlformats.org/drawingml/2006/main">
              <a:graphicData uri="http://schemas.openxmlformats.org/drawingml/2006/picture">
                <pic:pic xmlns:pic="http://schemas.openxmlformats.org/drawingml/2006/picture">
                  <pic:nvPicPr>
                    <pic:cNvPr id="466" name="图片 466"/>
                    <pic:cNvPicPr/>
                  </pic:nvPicPr>
                  <pic:blipFill>
                    <a:blip r:embed="rId445" cstate="print">
                      <a:extLst>
                        <a:ext uri="{28A0092B-C50C-407E-A947-70E740481C1C}">
                          <a14:useLocalDpi xmlns:a14="http://schemas.microsoft.com/office/drawing/2010/main" val="0"/>
                        </a:ext>
                      </a:extLst>
                    </a:blip>
                    <a:srcRect/>
                    <a:stretch>
                      <a:fillRect/>
                    </a:stretch>
                  </pic:blipFill>
                  <pic:spPr>
                    <a:xfrm>
                      <a:off x="0" y="0"/>
                      <a:ext cx="219075" cy="209550"/>
                    </a:xfrm>
                    <a:prstGeom prst="rect">
                      <a:avLst/>
                    </a:prstGeom>
                    <a:noFill/>
                    <a:ln>
                      <a:noFill/>
                    </a:ln>
                  </pic:spPr>
                </pic:pic>
              </a:graphicData>
            </a:graphic>
          </wp:inline>
        </w:drawing>
      </w:r>
      <w:r>
        <w:rPr>
          <w:rFonts w:hint="eastAsia"/>
        </w:rPr>
        <w:t>、</w:t>
      </w:r>
      <w:r>
        <w:drawing>
          <wp:inline distT="0" distB="0" distL="0" distR="0">
            <wp:extent cx="247650" cy="209550"/>
            <wp:effectExtent l="0" t="0" r="0" b="0"/>
            <wp:docPr id="465" name="图片 465"/>
            <wp:cNvGraphicFramePr/>
            <a:graphic xmlns:a="http://schemas.openxmlformats.org/drawingml/2006/main">
              <a:graphicData uri="http://schemas.openxmlformats.org/drawingml/2006/picture">
                <pic:pic xmlns:pic="http://schemas.openxmlformats.org/drawingml/2006/picture">
                  <pic:nvPicPr>
                    <pic:cNvPr id="465" name="图片 465"/>
                    <pic:cNvPicPr/>
                  </pic:nvPicPr>
                  <pic:blipFill>
                    <a:blip r:embed="rId446" cstate="print">
                      <a:extLst>
                        <a:ext uri="{28A0092B-C50C-407E-A947-70E740481C1C}">
                          <a14:useLocalDpi xmlns:a14="http://schemas.microsoft.com/office/drawing/2010/main" val="0"/>
                        </a:ext>
                      </a:extLst>
                    </a:blip>
                    <a:srcRect/>
                    <a:stretch>
                      <a:fillRect/>
                    </a:stretch>
                  </pic:blipFill>
                  <pic:spPr>
                    <a:xfrm>
                      <a:off x="0" y="0"/>
                      <a:ext cx="247650" cy="209550"/>
                    </a:xfrm>
                    <a:prstGeom prst="rect">
                      <a:avLst/>
                    </a:prstGeom>
                    <a:noFill/>
                    <a:ln>
                      <a:noFill/>
                    </a:ln>
                  </pic:spPr>
                </pic:pic>
              </a:graphicData>
            </a:graphic>
          </wp:inline>
        </w:drawing>
      </w:r>
      <w:r>
        <w:rPr>
          <w:rFonts w:hint="eastAsia"/>
        </w:rPr>
        <w:t>和</w:t>
      </w:r>
      <w:r>
        <w:drawing>
          <wp:inline distT="0" distB="0" distL="0" distR="0">
            <wp:extent cx="247650" cy="209550"/>
            <wp:effectExtent l="0" t="0" r="0" b="0"/>
            <wp:docPr id="464" name="图片 464"/>
            <wp:cNvGraphicFramePr/>
            <a:graphic xmlns:a="http://schemas.openxmlformats.org/drawingml/2006/main">
              <a:graphicData uri="http://schemas.openxmlformats.org/drawingml/2006/picture">
                <pic:pic xmlns:pic="http://schemas.openxmlformats.org/drawingml/2006/picture">
                  <pic:nvPicPr>
                    <pic:cNvPr id="464" name="图片 464"/>
                    <pic:cNvPicPr/>
                  </pic:nvPicPr>
                  <pic:blipFill>
                    <a:blip r:embed="rId447" cstate="print">
                      <a:extLst>
                        <a:ext uri="{28A0092B-C50C-407E-A947-70E740481C1C}">
                          <a14:useLocalDpi xmlns:a14="http://schemas.microsoft.com/office/drawing/2010/main" val="0"/>
                        </a:ext>
                      </a:extLst>
                    </a:blip>
                    <a:srcRect/>
                    <a:stretch>
                      <a:fillRect/>
                    </a:stretch>
                  </pic:blipFill>
                  <pic:spPr>
                    <a:xfrm>
                      <a:off x="0" y="0"/>
                      <a:ext cx="247650" cy="209550"/>
                    </a:xfrm>
                    <a:prstGeom prst="rect">
                      <a:avLst/>
                    </a:prstGeom>
                    <a:noFill/>
                    <a:ln>
                      <a:noFill/>
                    </a:ln>
                  </pic:spPr>
                </pic:pic>
              </a:graphicData>
            </a:graphic>
          </wp:inline>
        </w:drawing>
      </w:r>
      <w:r>
        <w:rPr>
          <w:rFonts w:hint="eastAsia"/>
        </w:rPr>
        <w:t>的稳定性应满足下列要求（图</w:t>
      </w:r>
      <w:r>
        <w:t>10</w:t>
      </w:r>
      <w:r>
        <w:rPr>
          <w:rFonts w:hint="eastAsia"/>
        </w:rPr>
        <w:t>.4.3-1和图</w:t>
      </w:r>
      <w:r>
        <w:t>10</w:t>
      </w:r>
      <w:r>
        <w:rPr>
          <w:rFonts w:hint="eastAsia"/>
        </w:rPr>
        <w:t>.4.3-2）：</w:t>
      </w:r>
    </w:p>
    <w:p>
      <w:pPr>
        <w:pStyle w:val="58"/>
        <w:ind w:firstLine="420"/>
        <w:jc w:val="center"/>
      </w:pPr>
      <w:r>
        <w:drawing>
          <wp:inline distT="0" distB="0" distL="0" distR="0">
            <wp:extent cx="2336800" cy="2243455"/>
            <wp:effectExtent l="0" t="0" r="6350" b="4445"/>
            <wp:docPr id="463" name="图片 463"/>
            <wp:cNvGraphicFramePr/>
            <a:graphic xmlns:a="http://schemas.openxmlformats.org/drawingml/2006/main">
              <a:graphicData uri="http://schemas.openxmlformats.org/drawingml/2006/picture">
                <pic:pic xmlns:pic="http://schemas.openxmlformats.org/drawingml/2006/picture">
                  <pic:nvPicPr>
                    <pic:cNvPr id="463" name="图片 463"/>
                    <pic:cNvPicPr/>
                  </pic:nvPicPr>
                  <pic:blipFill>
                    <a:blip r:embed="rId448" cstate="print">
                      <a:extLst>
                        <a:ext uri="{28A0092B-C50C-407E-A947-70E740481C1C}">
                          <a14:useLocalDpi xmlns:a14="http://schemas.microsoft.com/office/drawing/2010/main" val="0"/>
                        </a:ext>
                      </a:extLst>
                    </a:blip>
                    <a:srcRect/>
                    <a:stretch>
                      <a:fillRect/>
                    </a:stretch>
                  </pic:blipFill>
                  <pic:spPr>
                    <a:xfrm>
                      <a:off x="0" y="0"/>
                      <a:ext cx="2344379" cy="2250944"/>
                    </a:xfrm>
                    <a:prstGeom prst="rect">
                      <a:avLst/>
                    </a:prstGeom>
                    <a:noFill/>
                    <a:ln>
                      <a:noFill/>
                    </a:ln>
                  </pic:spPr>
                </pic:pic>
              </a:graphicData>
            </a:graphic>
          </wp:inline>
        </w:drawing>
      </w:r>
    </w:p>
    <w:p>
      <w:pPr>
        <w:pStyle w:val="116"/>
        <w:numPr>
          <w:ilvl w:val="0"/>
          <w:numId w:val="0"/>
        </w:numPr>
        <w:spacing w:before="156" w:after="156"/>
      </w:pPr>
      <w:r>
        <w:rPr>
          <w:rFonts w:hint="eastAsia"/>
        </w:rPr>
        <w:t>图</w:t>
      </w:r>
      <w:r>
        <w:t>10</w:t>
      </w:r>
      <w:r>
        <w:rPr>
          <w:rFonts w:hint="eastAsia"/>
        </w:rPr>
        <w:t>.4.3-1  单斜撑节点板</w:t>
      </w:r>
    </w:p>
    <w:p>
      <w:pPr>
        <w:pStyle w:val="58"/>
        <w:ind w:firstLine="420"/>
        <w:jc w:val="center"/>
      </w:pPr>
      <w:r>
        <w:drawing>
          <wp:inline distT="0" distB="0" distL="0" distR="0">
            <wp:extent cx="2446655" cy="2124710"/>
            <wp:effectExtent l="0" t="0" r="0" b="8890"/>
            <wp:docPr id="462" name="图片 462"/>
            <wp:cNvGraphicFramePr/>
            <a:graphic xmlns:a="http://schemas.openxmlformats.org/drawingml/2006/main">
              <a:graphicData uri="http://schemas.openxmlformats.org/drawingml/2006/picture">
                <pic:pic xmlns:pic="http://schemas.openxmlformats.org/drawingml/2006/picture">
                  <pic:nvPicPr>
                    <pic:cNvPr id="462" name="图片 462"/>
                    <pic:cNvPicPr/>
                  </pic:nvPicPr>
                  <pic:blipFill>
                    <a:blip r:embed="rId449" cstate="print">
                      <a:extLst>
                        <a:ext uri="{28A0092B-C50C-407E-A947-70E740481C1C}">
                          <a14:useLocalDpi xmlns:a14="http://schemas.microsoft.com/office/drawing/2010/main" val="0"/>
                        </a:ext>
                      </a:extLst>
                    </a:blip>
                    <a:srcRect/>
                    <a:stretch>
                      <a:fillRect/>
                    </a:stretch>
                  </pic:blipFill>
                  <pic:spPr>
                    <a:xfrm>
                      <a:off x="0" y="0"/>
                      <a:ext cx="2460918" cy="2137337"/>
                    </a:xfrm>
                    <a:prstGeom prst="rect">
                      <a:avLst/>
                    </a:prstGeom>
                    <a:noFill/>
                    <a:ln>
                      <a:noFill/>
                    </a:ln>
                  </pic:spPr>
                </pic:pic>
              </a:graphicData>
            </a:graphic>
          </wp:inline>
        </w:drawing>
      </w:r>
    </w:p>
    <w:p>
      <w:pPr>
        <w:pStyle w:val="116"/>
        <w:numPr>
          <w:ilvl w:val="0"/>
          <w:numId w:val="0"/>
        </w:numPr>
        <w:spacing w:before="156" w:after="156"/>
      </w:pPr>
      <w:r>
        <w:rPr>
          <w:rFonts w:hint="eastAsia"/>
        </w:rPr>
        <w:t>图</w:t>
      </w:r>
      <w:r>
        <w:t>10</w:t>
      </w:r>
      <w:r>
        <w:rPr>
          <w:rFonts w:hint="eastAsia"/>
        </w:rPr>
        <w:t>.4.3-2  双斜撑节点板</w:t>
      </w:r>
    </w:p>
    <w:p>
      <w:pPr>
        <w:pStyle w:val="58"/>
        <w:ind w:firstLine="420"/>
      </w:pPr>
      <w:bookmarkStart w:id="58" w:name="_Hlk89970715"/>
      <w:r>
        <w:rPr>
          <w:position w:val="-4"/>
        </w:rPr>
        <w:drawing>
          <wp:inline distT="0" distB="0" distL="0" distR="0">
            <wp:extent cx="245745" cy="211455"/>
            <wp:effectExtent l="0" t="0" r="1905"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a:xfrm>
                      <a:off x="0" y="0"/>
                      <a:ext cx="245745" cy="211455"/>
                    </a:xfrm>
                    <a:prstGeom prst="rect">
                      <a:avLst/>
                    </a:prstGeom>
                    <a:noFill/>
                    <a:ln>
                      <a:noFill/>
                    </a:ln>
                  </pic:spPr>
                </pic:pic>
              </a:graphicData>
            </a:graphic>
          </wp:inline>
        </w:drawing>
      </w:r>
      <w:r>
        <w:rPr>
          <w:rFonts w:hint="eastAsia"/>
        </w:rPr>
        <w:t>区：</w:t>
      </w:r>
    </w:p>
    <w:bookmarkEnd w:id="58"/>
    <w:p>
      <w:pPr>
        <w:pStyle w:val="115"/>
      </w:pPr>
      <w:r>
        <w:tab/>
      </w:r>
      <w:r>
        <w:drawing>
          <wp:inline distT="0" distB="0" distL="0" distR="0">
            <wp:extent cx="1676400" cy="342900"/>
            <wp:effectExtent l="0" t="0" r="0" b="0"/>
            <wp:docPr id="460" name="图片 460"/>
            <wp:cNvGraphicFramePr/>
            <a:graphic xmlns:a="http://schemas.openxmlformats.org/drawingml/2006/main">
              <a:graphicData uri="http://schemas.openxmlformats.org/drawingml/2006/picture">
                <pic:pic xmlns:pic="http://schemas.openxmlformats.org/drawingml/2006/picture">
                  <pic:nvPicPr>
                    <pic:cNvPr id="460" name="图片 460"/>
                    <pic:cNvPicPr/>
                  </pic:nvPicPr>
                  <pic:blipFill>
                    <a:blip r:embed="rId451" cstate="print">
                      <a:extLst>
                        <a:ext uri="{28A0092B-C50C-407E-A947-70E740481C1C}">
                          <a14:useLocalDpi xmlns:a14="http://schemas.microsoft.com/office/drawing/2010/main" val="0"/>
                        </a:ext>
                      </a:extLst>
                    </a:blip>
                    <a:srcRect/>
                    <a:stretch>
                      <a:fillRect/>
                    </a:stretch>
                  </pic:blipFill>
                  <pic:spPr>
                    <a:xfrm>
                      <a:off x="0" y="0"/>
                      <a:ext cx="1676400" cy="342900"/>
                    </a:xfrm>
                    <a:prstGeom prst="rect">
                      <a:avLst/>
                    </a:prstGeom>
                    <a:noFill/>
                    <a:ln>
                      <a:noFill/>
                    </a:ln>
                  </pic:spPr>
                </pic:pic>
              </a:graphicData>
            </a:graphic>
          </wp:inline>
        </w:drawing>
      </w:r>
      <w:r>
        <w:rPr>
          <w:rFonts w:ascii="微软雅黑" w:hAnsi="微软雅黑" w:eastAsia="微软雅黑"/>
        </w:rPr>
        <w:tab/>
      </w:r>
      <w:r>
        <w:t>(10.4.3-1)</w:t>
      </w:r>
    </w:p>
    <w:p>
      <w:pPr>
        <w:pStyle w:val="58"/>
        <w:ind w:firstLine="420"/>
      </w:pPr>
      <w:r>
        <w:rPr>
          <w:position w:val="-6"/>
        </w:rPr>
        <w:drawing>
          <wp:inline distT="0" distB="0" distL="0" distR="0">
            <wp:extent cx="287655" cy="21145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a:xfrm>
                      <a:off x="0" y="0"/>
                      <a:ext cx="287655" cy="211455"/>
                    </a:xfrm>
                    <a:prstGeom prst="rect">
                      <a:avLst/>
                    </a:prstGeom>
                    <a:noFill/>
                    <a:ln>
                      <a:noFill/>
                    </a:ln>
                  </pic:spPr>
                </pic:pic>
              </a:graphicData>
            </a:graphic>
          </wp:inline>
        </w:drawing>
      </w:r>
      <w:r>
        <w:rPr>
          <w:rFonts w:hint="eastAsia"/>
        </w:rPr>
        <w:t>区：</w:t>
      </w:r>
    </w:p>
    <w:p>
      <w:pPr>
        <w:pStyle w:val="115"/>
      </w:pPr>
      <w:r>
        <w:tab/>
      </w:r>
      <w:r>
        <w:drawing>
          <wp:inline distT="0" distB="0" distL="0" distR="0">
            <wp:extent cx="1352550" cy="361950"/>
            <wp:effectExtent l="0" t="0" r="0" b="0"/>
            <wp:docPr id="458" name="图片 458"/>
            <wp:cNvGraphicFramePr/>
            <a:graphic xmlns:a="http://schemas.openxmlformats.org/drawingml/2006/main">
              <a:graphicData uri="http://schemas.openxmlformats.org/drawingml/2006/picture">
                <pic:pic xmlns:pic="http://schemas.openxmlformats.org/drawingml/2006/picture">
                  <pic:nvPicPr>
                    <pic:cNvPr id="458" name="图片 458"/>
                    <pic:cNvPicPr/>
                  </pic:nvPicPr>
                  <pic:blipFill>
                    <a:blip r:embed="rId453" cstate="print">
                      <a:extLst>
                        <a:ext uri="{28A0092B-C50C-407E-A947-70E740481C1C}">
                          <a14:useLocalDpi xmlns:a14="http://schemas.microsoft.com/office/drawing/2010/main" val="0"/>
                        </a:ext>
                      </a:extLst>
                    </a:blip>
                    <a:srcRect/>
                    <a:stretch>
                      <a:fillRect/>
                    </a:stretch>
                  </pic:blipFill>
                  <pic:spPr>
                    <a:xfrm>
                      <a:off x="0" y="0"/>
                      <a:ext cx="1352550" cy="361950"/>
                    </a:xfrm>
                    <a:prstGeom prst="rect">
                      <a:avLst/>
                    </a:prstGeom>
                    <a:noFill/>
                    <a:ln>
                      <a:noFill/>
                    </a:ln>
                  </pic:spPr>
                </pic:pic>
              </a:graphicData>
            </a:graphic>
          </wp:inline>
        </w:drawing>
      </w:r>
      <w:r>
        <w:rPr>
          <w:rFonts w:ascii="微软雅黑" w:hAnsi="微软雅黑" w:eastAsia="微软雅黑"/>
        </w:rPr>
        <w:tab/>
      </w:r>
      <w:r>
        <w:t>(10.4.3-2)</w:t>
      </w:r>
    </w:p>
    <w:p>
      <w:pPr>
        <w:pStyle w:val="57"/>
        <w:ind w:firstLine="420"/>
      </w:pPr>
      <w:r>
        <w:rPr>
          <w:rFonts w:ascii="宋体" w:hAnsi="Times New Roman"/>
          <w:position w:val="-6"/>
          <w:szCs w:val="20"/>
        </w:rPr>
        <w:object>
          <v:shape id="_x0000_i1244" o:spt="75" type="#_x0000_t75" style="height:16.15pt;width:19.1pt;" o:ole="t" filled="f" o:preferrelative="t" stroked="f" coordsize="21600,21600">
            <v:path/>
            <v:fill on="f" focussize="0,0"/>
            <v:stroke on="f" joinstyle="miter"/>
            <v:imagedata r:id="rId455" o:title=""/>
            <o:lock v:ext="edit" aspectratio="t"/>
            <w10:wrap type="none"/>
            <w10:anchorlock/>
          </v:shape>
          <o:OLEObject Type="Embed" ProgID="Equation.DSMT4" ShapeID="_x0000_i1244" DrawAspect="Content" ObjectID="_1468075944" r:id="rId454">
            <o:LockedField>false</o:LockedField>
          </o:OLEObject>
        </w:object>
      </w:r>
      <w:r>
        <w:rPr>
          <w:rFonts w:hint="eastAsia" w:ascii="宋体" w:hAnsi="Times New Roman"/>
          <w:szCs w:val="20"/>
        </w:rPr>
        <w:t>区</w:t>
      </w:r>
      <w:r>
        <w:rPr>
          <w:rFonts w:hint="eastAsia"/>
        </w:rPr>
        <w:t>：</w:t>
      </w:r>
    </w:p>
    <w:p>
      <w:pPr>
        <w:pStyle w:val="115"/>
      </w:pPr>
      <w:r>
        <w:tab/>
      </w:r>
      <w:r>
        <w:rPr>
          <w:rFonts w:ascii="Times New Roman" w:hAnsi="Times New Roman"/>
          <w:b/>
          <w:position w:val="-32"/>
        </w:rPr>
        <w:object>
          <v:shape id="_x0000_i1245" o:spt="75" type="#_x0000_t75" style="height:30.85pt;width:136.65pt;" o:ole="t" filled="f" o:preferrelative="t" stroked="f" coordsize="21600,21600">
            <v:path/>
            <v:fill on="f" focussize="0,0"/>
            <v:stroke on="f" joinstyle="miter"/>
            <v:imagedata r:id="rId457" o:title=""/>
            <o:lock v:ext="edit" aspectratio="t"/>
            <w10:wrap type="none"/>
            <w10:anchorlock/>
          </v:shape>
          <o:OLEObject Type="Embed" ProgID="Equation.DSMT4" ShapeID="_x0000_i1245" DrawAspect="Content" ObjectID="_1468075945" r:id="rId456">
            <o:LockedField>false</o:LockedField>
          </o:OLEObject>
        </w:object>
      </w:r>
      <w:r>
        <w:rPr>
          <w:rFonts w:ascii="微软雅黑" w:hAnsi="微软雅黑" w:eastAsia="微软雅黑"/>
        </w:rPr>
        <w:tab/>
      </w:r>
      <w:r>
        <w:t>(10.4.3-3)</w:t>
      </w:r>
    </w:p>
    <w:p>
      <w:pPr>
        <w:pStyle w:val="57"/>
        <w:ind w:firstLine="420"/>
      </w:pPr>
      <w:r>
        <w:rPr>
          <w:rFonts w:hint="eastAsia"/>
        </w:rPr>
        <w:t>式中：</w:t>
      </w:r>
      <w:r>
        <w:rPr>
          <w:rFonts w:ascii="Times New Roman" w:hAnsi="Times New Roman"/>
          <w:i/>
        </w:rPr>
        <w:t>N</w:t>
      </w:r>
      <w:r>
        <w:rPr>
          <w:rFonts w:hint="eastAsia" w:ascii="宋体" w:hAnsi="Times New Roman"/>
          <w:szCs w:val="20"/>
        </w:rPr>
        <w:t>—作用于节点板上的轴力（一般为消能器的极限承载力，kN）；</w:t>
      </w:r>
    </w:p>
    <w:p>
      <w:pPr>
        <w:pStyle w:val="58"/>
        <w:ind w:firstLine="840" w:firstLineChars="400"/>
      </w:pPr>
      <w:r>
        <w:rPr>
          <w:rFonts w:ascii="Times New Roman"/>
          <w:position w:val="-12"/>
          <w:szCs w:val="21"/>
        </w:rPr>
        <w:object>
          <v:shape id="_x0000_i1246" o:spt="75" type="#_x0000_t75" style="height:12.5pt;width:19.1pt;" o:ole="t" filled="f" o:preferrelative="t" stroked="f" coordsize="21600,21600">
            <v:path/>
            <v:fill on="f" focussize="0,0"/>
            <v:stroke on="f" joinstyle="miter"/>
            <v:imagedata r:id="rId459" o:title=""/>
            <o:lock v:ext="edit" aspectratio="t"/>
            <w10:wrap type="none"/>
            <w10:anchorlock/>
          </v:shape>
          <o:OLEObject Type="Embed" ProgID="Equation.3" ShapeID="_x0000_i1246" DrawAspect="Content" ObjectID="_1468075946" r:id="rId458">
            <o:LockedField>false</o:LockedField>
          </o:OLEObject>
        </w:object>
      </w:r>
      <w:r>
        <w:rPr>
          <w:rFonts w:hint="eastAsia" w:ascii="Times New Roman"/>
          <w:szCs w:val="21"/>
        </w:rPr>
        <w:t>—节点板厚度（mm）；</w:t>
      </w:r>
    </w:p>
    <w:p>
      <w:pPr>
        <w:pStyle w:val="58"/>
        <w:ind w:firstLine="630" w:firstLineChars="300"/>
      </w:pPr>
      <w:r>
        <w:rPr>
          <w:position w:val="-12"/>
        </w:rPr>
        <w:object>
          <v:shape id="_x0000_i1247" o:spt="75" type="#_x0000_t75" style="height:12.5pt;width:36.75pt;" o:ole="t" filled="f" o:preferrelative="t" stroked="f" coordsize="21600,21600">
            <v:path/>
            <v:fill on="f" focussize="0,0"/>
            <v:stroke on="f" joinstyle="miter"/>
            <v:imagedata r:id="rId461" o:title=""/>
            <o:lock v:ext="edit" aspectratio="t"/>
            <w10:wrap type="none"/>
            <w10:anchorlock/>
          </v:shape>
          <o:OLEObject Type="Embed" ProgID="Equation.3" ShapeID="_x0000_i1247" DrawAspect="Content" ObjectID="_1468075947" r:id="rId460">
            <o:LockedField>false</o:LockedField>
          </o:OLEObject>
        </w:object>
      </w:r>
      <w:r>
        <w:t>—</w:t>
      </w:r>
      <w:r>
        <w:rPr>
          <w:rFonts w:hint="eastAsia"/>
        </w:rPr>
        <w:t>分别为屈折线</w:t>
      </w:r>
      <w:r>
        <w:rPr>
          <w:position w:val="-4"/>
        </w:rPr>
        <w:object>
          <v:shape id="_x0000_i1248" o:spt="75" type="#_x0000_t75" style="height:11pt;width:12.5pt;" o:ole="t" filled="f" o:preferrelative="t" stroked="f" coordsize="21600,21600">
            <v:path/>
            <v:fill on="f" focussize="0,0"/>
            <v:stroke on="f" joinstyle="miter"/>
            <v:imagedata r:id="rId463" o:title=""/>
            <o:lock v:ext="edit" aspectratio="t"/>
            <w10:wrap type="none"/>
            <w10:anchorlock/>
          </v:shape>
          <o:OLEObject Type="Embed" ProgID="Equation.3" ShapeID="_x0000_i1248" DrawAspect="Content" ObjectID="_1468075948" r:id="rId462">
            <o:LockedField>false</o:LockedField>
          </o:OLEObject>
        </w:object>
      </w:r>
      <w:r>
        <w:rPr>
          <w:rFonts w:hint="eastAsia"/>
        </w:rPr>
        <w:t>、</w:t>
      </w:r>
      <w:r>
        <w:rPr>
          <w:position w:val="-6"/>
        </w:rPr>
        <w:object>
          <v:shape id="_x0000_i1249" o:spt="75" type="#_x0000_t75" style="height:11pt;width:12.5pt;" o:ole="t" filled="f" o:preferrelative="t" stroked="f" coordsize="21600,21600">
            <v:path/>
            <v:fill on="f" focussize="0,0"/>
            <v:stroke on="f" joinstyle="miter"/>
            <v:imagedata r:id="rId465" o:title=""/>
            <o:lock v:ext="edit" aspectratio="t"/>
            <w10:wrap type="none"/>
            <w10:anchorlock/>
          </v:shape>
          <o:OLEObject Type="Embed" ProgID="Equation.3" ShapeID="_x0000_i1249" DrawAspect="Content" ObjectID="_1468075949" r:id="rId464">
            <o:LockedField>false</o:LockedField>
          </o:OLEObject>
        </w:object>
      </w:r>
      <w:r>
        <w:rPr>
          <w:rFonts w:hint="eastAsia"/>
        </w:rPr>
        <w:t>、</w:t>
      </w:r>
      <w:r>
        <w:rPr>
          <w:position w:val="-6"/>
        </w:rPr>
        <w:object>
          <v:shape id="_x0000_i1250" o:spt="75" type="#_x0000_t75" style="height:12.5pt;width:16.15pt;" o:ole="t" filled="f" o:preferrelative="t" stroked="f" coordsize="21600,21600">
            <v:path/>
            <v:fill on="f" focussize="0,0"/>
            <v:stroke on="f" joinstyle="miter"/>
            <v:imagedata r:id="rId467" o:title=""/>
            <o:lock v:ext="edit" aspectratio="t"/>
            <w10:wrap type="none"/>
            <w10:anchorlock/>
          </v:shape>
          <o:OLEObject Type="Embed" ProgID="Equation.3" ShapeID="_x0000_i1250" DrawAspect="Content" ObjectID="_1468075950" r:id="rId466">
            <o:LockedField>false</o:LockedField>
          </o:OLEObject>
        </w:object>
      </w:r>
      <w:r>
        <w:rPr>
          <w:rFonts w:hint="eastAsia"/>
        </w:rPr>
        <w:t>的长度（</w:t>
      </w:r>
      <w:r>
        <w:t>mm</w:t>
      </w:r>
      <w:r>
        <w:rPr>
          <w:rFonts w:hint="eastAsia"/>
        </w:rPr>
        <w:t>）；</w:t>
      </w:r>
    </w:p>
    <w:p>
      <w:pPr>
        <w:snapToGrid w:val="0"/>
        <w:spacing w:line="360" w:lineRule="auto"/>
        <w:ind w:left="1680" w:leftChars="200" w:hanging="1260" w:hangingChars="600"/>
        <w:rPr>
          <w:rFonts w:ascii="Times New Roman" w:hAnsi="Times New Roman"/>
        </w:rPr>
      </w:pPr>
      <w:r>
        <w:rPr>
          <w:rFonts w:ascii="Times New Roman" w:hAnsi="Times New Roman"/>
          <w:position w:val="-12"/>
        </w:rPr>
        <w:object>
          <v:shape id="_x0000_i1251" o:spt="75" type="#_x0000_t75" style="height:12.5pt;width:48.5pt;" o:ole="t" filled="f" o:preferrelative="t" stroked="f" coordsize="21600,21600">
            <v:path/>
            <v:fill on="f" focussize="0,0"/>
            <v:stroke on="f" joinstyle="miter"/>
            <v:imagedata r:id="rId469" o:title=""/>
            <o:lock v:ext="edit" aspectratio="t"/>
            <w10:wrap type="none"/>
            <w10:anchorlock/>
          </v:shape>
          <o:OLEObject Type="Embed" ProgID="Equation.3" ShapeID="_x0000_i1251" DrawAspect="Content" ObjectID="_1468075951" r:id="rId468">
            <o:LockedField>false</o:LockedField>
          </o:OLEObject>
        </w:object>
      </w:r>
      <w:r>
        <w:rPr>
          <w:rFonts w:ascii="Times New Roman" w:hAnsi="Times New Roman"/>
        </w:rPr>
        <w:t>—</w:t>
      </w:r>
      <w:r>
        <w:rPr>
          <w:rFonts w:hint="eastAsia" w:ascii="Times New Roman" w:hAnsi="Times New Roman"/>
        </w:rPr>
        <w:t>各受压区板件的轴心受压稳定系数，可按现行国家标准《钢结构设计规范》</w:t>
      </w:r>
      <w:r>
        <w:rPr>
          <w:rFonts w:ascii="Times New Roman" w:hAnsi="Times New Roman"/>
        </w:rPr>
        <w:t>GB 50017</w:t>
      </w:r>
      <w:r>
        <w:rPr>
          <w:rFonts w:hint="eastAsia" w:ascii="Times New Roman" w:hAnsi="Times New Roman"/>
        </w:rPr>
        <w:t>中</w:t>
      </w:r>
      <w:r>
        <w:rPr>
          <w:rFonts w:ascii="Times New Roman" w:hAnsi="Times New Roman"/>
        </w:rPr>
        <w:t>b</w:t>
      </w:r>
      <w:r>
        <w:rPr>
          <w:rFonts w:hint="eastAsia" w:ascii="Times New Roman" w:hAnsi="Times New Roman"/>
        </w:rPr>
        <w:t>类截面查取；其相应的长细比分别为：</w:t>
      </w:r>
      <w:r>
        <w:rPr>
          <w:rFonts w:ascii="Times New Roman"/>
          <w:position w:val="-24"/>
        </w:rPr>
        <w:drawing>
          <wp:inline distT="0" distB="0" distL="0" distR="0">
            <wp:extent cx="897255" cy="304800"/>
            <wp:effectExtent l="0" t="0" r="0" b="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a:xfrm>
                      <a:off x="0" y="0"/>
                      <a:ext cx="897255" cy="304800"/>
                    </a:xfrm>
                    <a:prstGeom prst="rect">
                      <a:avLst/>
                    </a:prstGeom>
                    <a:noFill/>
                    <a:ln>
                      <a:noFill/>
                    </a:ln>
                  </pic:spPr>
                </pic:pic>
              </a:graphicData>
            </a:graphic>
          </wp:inline>
        </w:drawing>
      </w:r>
      <w:r>
        <w:rPr>
          <w:rFonts w:ascii="Times New Roman"/>
        </w:rPr>
        <w:t>,</w:t>
      </w:r>
      <w:r>
        <w:rPr>
          <w:rFonts w:ascii="Times New Roman"/>
          <w:position w:val="-24"/>
        </w:rPr>
        <w:object>
          <v:shape id="_x0000_i1252" o:spt="75" type="#_x0000_t75" style="height:25.7pt;width:59.5pt;" o:ole="t" filled="f" o:preferrelative="t" stroked="f" coordsize="21600,21600">
            <v:path/>
            <v:fill on="f" focussize="0,0"/>
            <v:stroke on="f" joinstyle="miter"/>
            <v:imagedata r:id="rId472" o:title=""/>
            <o:lock v:ext="edit" aspectratio="t"/>
            <w10:wrap type="none"/>
            <w10:anchorlock/>
          </v:shape>
          <o:OLEObject Type="Embed" ProgID="Equation.3" ShapeID="_x0000_i1252" DrawAspect="Content" ObjectID="_1468075952" r:id="rId471">
            <o:LockedField>false</o:LockedField>
          </o:OLEObject>
        </w:object>
      </w:r>
      <w:r>
        <w:rPr>
          <w:rFonts w:ascii="Times New Roman"/>
        </w:rPr>
        <w:t>,</w:t>
      </w:r>
      <w:r>
        <w:rPr>
          <w:rFonts w:ascii="Times New Roman"/>
          <w:position w:val="-24"/>
        </w:rPr>
        <w:object>
          <v:shape id="_x0000_i1253" o:spt="75" type="#_x0000_t75" style="height:23.5pt;width:48.5pt;" o:ole="t" filled="f" o:preferrelative="t" stroked="f" coordsize="21600,21600">
            <v:path/>
            <v:fill on="f" focussize="0,0"/>
            <v:stroke on="f" joinstyle="miter"/>
            <v:imagedata r:id="rId474" o:title=""/>
            <o:lock v:ext="edit" aspectratio="t"/>
            <w10:wrap type="none"/>
            <w10:anchorlock/>
          </v:shape>
          <o:OLEObject Type="Embed" ProgID="Equation.3" ShapeID="_x0000_i1253" DrawAspect="Content" ObjectID="_1468075953" r:id="rId473">
            <o:LockedField>false</o:LockedField>
          </o:OLEObject>
        </w:object>
      </w:r>
      <w:r>
        <w:rPr>
          <w:rFonts w:hint="eastAsia" w:ascii="Times New Roman"/>
        </w:rPr>
        <w:t>；式中</w:t>
      </w:r>
      <w:r>
        <w:rPr>
          <w:rFonts w:ascii="Times New Roman"/>
          <w:position w:val="-10"/>
        </w:rPr>
        <w:object>
          <v:shape id="_x0000_i1254" o:spt="75" type="#_x0000_t75" style="height:11pt;width:12.5pt;" o:ole="t" filled="f" o:preferrelative="t" stroked="f" coordsize="21600,21600">
            <v:path/>
            <v:fill on="f" focussize="0,0"/>
            <v:stroke on="f" joinstyle="miter"/>
            <v:imagedata r:id="rId476" o:title=""/>
            <o:lock v:ext="edit" aspectratio="t"/>
            <w10:wrap type="none"/>
            <w10:anchorlock/>
          </v:shape>
          <o:OLEObject Type="Embed" ProgID="Equation.3" ShapeID="_x0000_i1254" DrawAspect="Content" ObjectID="_1468075954" r:id="rId475">
            <o:LockedField>false</o:LockedField>
          </o:OLEObject>
        </w:object>
      </w:r>
      <w:r>
        <w:rPr>
          <w:rFonts w:hint="eastAsia" w:ascii="Times New Roman"/>
        </w:rPr>
        <w:t>、</w:t>
      </w:r>
      <w:r>
        <w:rPr>
          <w:rFonts w:ascii="Times New Roman"/>
          <w:position w:val="-6"/>
        </w:rPr>
        <w:object>
          <v:shape id="_x0000_i1255" o:spt="75" type="#_x0000_t75" style="height:11pt;width:11pt;" o:ole="t" filled="f" o:preferrelative="t" stroked="f" coordsize="21600,21600">
            <v:path/>
            <v:fill on="f" focussize="0,0"/>
            <v:stroke on="f" joinstyle="miter"/>
            <v:imagedata r:id="rId478" o:title=""/>
            <o:lock v:ext="edit" aspectratio="t"/>
            <w10:wrap type="none"/>
            <w10:anchorlock/>
          </v:shape>
          <o:OLEObject Type="Embed" ProgID="Equation.3" ShapeID="_x0000_i1255" DrawAspect="Content" ObjectID="_1468075955" r:id="rId477">
            <o:LockedField>false</o:LockedField>
          </o:OLEObject>
        </w:object>
      </w:r>
      <w:r>
        <w:rPr>
          <w:rFonts w:hint="eastAsia" w:ascii="Times New Roman"/>
        </w:rPr>
        <w:t>、</w:t>
      </w:r>
      <w:r>
        <w:rPr>
          <w:rFonts w:ascii="Times New Roman"/>
          <w:position w:val="-6"/>
        </w:rPr>
        <w:object>
          <v:shape id="_x0000_i1256" o:spt="75" type="#_x0000_t75" style="height:11pt;width:11pt;" o:ole="t" filled="f" o:preferrelative="t" stroked="f" coordsize="21600,21600">
            <v:path/>
            <v:fill on="f" focussize="0,0"/>
            <v:stroke on="f" joinstyle="miter"/>
            <v:imagedata r:id="rId480" o:title=""/>
            <o:lock v:ext="edit" aspectratio="t"/>
            <w10:wrap type="none"/>
            <w10:anchorlock/>
          </v:shape>
          <o:OLEObject Type="Embed" ProgID="Equation.3" ShapeID="_x0000_i1256" DrawAspect="Content" ObjectID="_1468075956" r:id="rId479">
            <o:LockedField>false</o:LockedField>
          </o:OLEObject>
        </w:object>
      </w:r>
      <w:r>
        <w:rPr>
          <w:rFonts w:hint="eastAsia" w:ascii="Times New Roman"/>
        </w:rPr>
        <w:t>为</w:t>
      </w:r>
      <w:r>
        <w:rPr>
          <w:rFonts w:ascii="Times New Roman"/>
          <w:position w:val="-4"/>
        </w:rPr>
        <w:object>
          <v:shape id="_x0000_i1257" o:spt="75" type="#_x0000_t75" style="height:11pt;width:11pt;" o:ole="t" filled="f" o:preferrelative="t" stroked="f" coordsize="21600,21600">
            <v:path/>
            <v:fill on="f" focussize="0,0"/>
            <v:stroke on="f" joinstyle="miter"/>
            <v:imagedata r:id="rId482" o:title=""/>
            <o:lock v:ext="edit" aspectratio="t"/>
            <w10:wrap type="none"/>
            <w10:anchorlock/>
          </v:shape>
          <o:OLEObject Type="Embed" ProgID="Equation.3" ShapeID="_x0000_i1257" DrawAspect="Content" ObjectID="_1468075957" r:id="rId481">
            <o:LockedField>false</o:LockedField>
          </o:OLEObject>
        </w:object>
      </w:r>
      <w:r>
        <w:rPr>
          <w:rFonts w:hint="eastAsia" w:ascii="Times New Roman"/>
        </w:rPr>
        <w:t>、</w:t>
      </w:r>
      <w:r>
        <w:rPr>
          <w:rFonts w:ascii="Times New Roman"/>
          <w:position w:val="-6"/>
        </w:rPr>
        <w:object>
          <v:shape id="_x0000_i1258" o:spt="75" type="#_x0000_t75" style="height:11pt;width:12.5pt;" o:ole="t" filled="f" o:preferrelative="t" stroked="f" coordsize="21600,21600">
            <v:path/>
            <v:fill on="f" focussize="0,0"/>
            <v:stroke on="f" joinstyle="miter"/>
            <v:imagedata r:id="rId484" o:title=""/>
            <o:lock v:ext="edit" aspectratio="t"/>
            <w10:wrap type="none"/>
            <w10:anchorlock/>
          </v:shape>
          <o:OLEObject Type="Embed" ProgID="Equation.3" ShapeID="_x0000_i1258" DrawAspect="Content" ObjectID="_1468075958" r:id="rId483">
            <o:LockedField>false</o:LockedField>
          </o:OLEObject>
        </w:object>
      </w:r>
      <w:r>
        <w:rPr>
          <w:rFonts w:hint="eastAsia" w:ascii="Times New Roman"/>
        </w:rPr>
        <w:t>、</w:t>
      </w:r>
      <w:r>
        <w:rPr>
          <w:rFonts w:ascii="Times New Roman"/>
          <w:position w:val="-6"/>
        </w:rPr>
        <w:object>
          <v:shape id="_x0000_i1259" o:spt="75" type="#_x0000_t75" style="height:11pt;width:12.5pt;" o:ole="t" filled="f" o:preferrelative="t" stroked="f" coordsize="21600,21600">
            <v:path/>
            <v:fill on="f" focussize="0,0"/>
            <v:stroke on="f" joinstyle="miter"/>
            <v:imagedata r:id="rId486" o:title=""/>
            <o:lock v:ext="edit" aspectratio="t"/>
            <w10:wrap type="none"/>
            <w10:anchorlock/>
          </v:shape>
          <o:OLEObject Type="Embed" ProgID="Equation.3" ShapeID="_x0000_i1259" DrawAspect="Content" ObjectID="_1468075959" r:id="rId485">
            <o:LockedField>false</o:LockedField>
          </o:OLEObject>
        </w:object>
      </w:r>
      <w:r>
        <w:rPr>
          <w:rFonts w:hint="eastAsia" w:ascii="Times New Roman"/>
        </w:rPr>
        <w:t>三区受压板件的中线长度；其中</w:t>
      </w:r>
      <w:r>
        <w:rPr>
          <w:rFonts w:ascii="Times New Roman"/>
          <w:position w:val="-6"/>
        </w:rPr>
        <w:object>
          <v:shape id="_x0000_i1260" o:spt="75" type="#_x0000_t75" style="height:11pt;width:11pt;" o:ole="t" filled="f" o:preferrelative="t" stroked="f" coordsize="21600,21600">
            <v:path/>
            <v:fill on="f" focussize="0,0"/>
            <v:stroke on="f" joinstyle="miter"/>
            <v:imagedata r:id="rId488" o:title=""/>
            <o:lock v:ext="edit" aspectratio="t"/>
            <w10:wrap type="none"/>
            <w10:anchorlock/>
          </v:shape>
          <o:OLEObject Type="Embed" ProgID="Equation.3" ShapeID="_x0000_i1260" DrawAspect="Content" ObjectID="_1468075960" r:id="rId487">
            <o:LockedField>false</o:LockedField>
          </o:OLEObject>
        </w:object>
      </w:r>
      <w:r>
        <w:rPr>
          <w:rFonts w:ascii="Times New Roman"/>
        </w:rPr>
        <w:t>=</w:t>
      </w:r>
      <w:r>
        <w:rPr>
          <w:rFonts w:ascii="Times New Roman"/>
          <w:position w:val="-6"/>
        </w:rPr>
        <w:object>
          <v:shape id="_x0000_i1261" o:spt="75" type="#_x0000_t75" style="height:11pt;width:11pt;" o:ole="t" filled="f" o:preferrelative="t" stroked="f" coordsize="21600,21600">
            <v:path/>
            <v:fill on="f" focussize="0,0"/>
            <v:stroke on="f" joinstyle="miter"/>
            <v:imagedata r:id="rId490" o:title=""/>
            <o:lock v:ext="edit" aspectratio="t"/>
            <w10:wrap type="none"/>
            <w10:anchorlock/>
          </v:shape>
          <o:OLEObject Type="Embed" ProgID="Equation.3" ShapeID="_x0000_i1261" DrawAspect="Content" ObjectID="_1468075961" r:id="rId489">
            <o:LockedField>false</o:LockedField>
          </o:OLEObject>
        </w:object>
      </w:r>
      <w:r>
        <w:rPr>
          <w:rFonts w:hint="eastAsia" w:ascii="Times New Roman"/>
        </w:rPr>
        <w:t>；</w:t>
      </w:r>
      <w:r>
        <w:rPr>
          <w:rFonts w:ascii="Times New Roman"/>
          <w:position w:val="-10"/>
        </w:rPr>
        <w:object>
          <v:shape id="_x0000_i1262" o:spt="75" type="#_x0000_t75" style="height:12.5pt;width:11pt;" o:ole="t" filled="f" o:preferrelative="t" stroked="f" coordsize="21600,21600">
            <v:path/>
            <v:fill on="f" focussize="0,0"/>
            <v:stroke on="f" joinstyle="miter"/>
            <v:imagedata r:id="rId492" o:title=""/>
            <o:lock v:ext="edit" aspectratio="t"/>
            <w10:wrap type="none"/>
            <w10:anchorlock/>
          </v:shape>
          <o:OLEObject Type="Embed" ProgID="Equation.3" ShapeID="_x0000_i1262" DrawAspect="Content" ObjectID="_1468075962" r:id="rId491">
            <o:LockedField>false</o:LockedField>
          </o:OLEObject>
        </w:object>
      </w:r>
      <w:r>
        <w:rPr>
          <w:rFonts w:hint="eastAsia" w:ascii="Times New Roman"/>
        </w:rPr>
        <w:t>、</w:t>
      </w:r>
      <w:r>
        <w:rPr>
          <w:rFonts w:ascii="Times New Roman"/>
          <w:position w:val="-10"/>
        </w:rPr>
        <w:object>
          <v:shape id="_x0000_i1263" o:spt="75" type="#_x0000_t75" style="height:12.5pt;width:11pt;" o:ole="t" filled="f" o:preferrelative="t" stroked="f" coordsize="21600,21600">
            <v:path/>
            <v:fill on="f" focussize="0,0"/>
            <v:stroke on="f" joinstyle="miter"/>
            <v:imagedata r:id="rId494" o:title=""/>
            <o:lock v:ext="edit" aspectratio="t"/>
            <w10:wrap type="none"/>
            <w10:anchorlock/>
          </v:shape>
          <o:OLEObject Type="Embed" ProgID="Equation.3" ShapeID="_x0000_i1263" DrawAspect="Content" ObjectID="_1468075963" r:id="rId493">
            <o:LockedField>false</o:LockedField>
          </o:OLEObject>
        </w:object>
      </w:r>
      <w:r>
        <w:rPr>
          <w:rFonts w:hint="eastAsia" w:ascii="Times New Roman"/>
        </w:rPr>
        <w:t>、</w:t>
      </w:r>
      <w:r>
        <w:rPr>
          <w:rFonts w:ascii="Times New Roman"/>
          <w:position w:val="-12"/>
        </w:rPr>
        <w:object>
          <v:shape id="_x0000_i1264" o:spt="75" type="#_x0000_t75" style="height:12.5pt;width:11pt;" o:ole="t" filled="f" o:preferrelative="t" stroked="f" coordsize="21600,21600">
            <v:path/>
            <v:fill on="f" focussize="0,0"/>
            <v:stroke on="f" joinstyle="miter"/>
            <v:imagedata r:id="rId496" o:title=""/>
            <o:lock v:ext="edit" aspectratio="t"/>
            <w10:wrap type="none"/>
            <w10:anchorlock/>
          </v:shape>
          <o:OLEObject Type="Embed" ProgID="Equation.3" ShapeID="_x0000_i1264" DrawAspect="Content" ObjectID="_1468075964" r:id="rId495">
            <o:LockedField>false</o:LockedField>
          </o:OLEObject>
        </w:object>
      </w:r>
      <w:r>
        <w:rPr>
          <w:rFonts w:hint="eastAsia" w:ascii="Times New Roman"/>
        </w:rPr>
        <w:t>为各屈折线段在有效宽度在线的投影长度，</w:t>
      </w:r>
      <w:r>
        <w:rPr>
          <w:rFonts w:ascii="Times New Roman"/>
          <w:position w:val="-10"/>
        </w:rPr>
        <w:drawing>
          <wp:inline distT="0" distB="0" distL="0" distR="0">
            <wp:extent cx="118745" cy="160655"/>
            <wp:effectExtent l="0" t="0" r="0" b="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a:xfrm>
                      <a:off x="0" y="0"/>
                      <a:ext cx="118745" cy="160655"/>
                    </a:xfrm>
                    <a:prstGeom prst="rect">
                      <a:avLst/>
                    </a:prstGeom>
                    <a:noFill/>
                    <a:ln>
                      <a:noFill/>
                    </a:ln>
                  </pic:spPr>
                </pic:pic>
              </a:graphicData>
            </a:graphic>
          </wp:inline>
        </w:drawing>
      </w:r>
      <w:r>
        <w:rPr>
          <w:rFonts w:hint="eastAsia" w:ascii="Times New Roman"/>
        </w:rPr>
        <w:t>、</w:t>
      </w:r>
      <w:r>
        <w:rPr>
          <w:rFonts w:ascii="Times New Roman"/>
          <w:position w:val="-10"/>
        </w:rPr>
        <w:drawing>
          <wp:inline distT="0" distB="0" distL="0" distR="0">
            <wp:extent cx="127000" cy="160655"/>
            <wp:effectExtent l="0" t="0" r="6350" b="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a:xfrm>
                      <a:off x="0" y="0"/>
                      <a:ext cx="127000" cy="160655"/>
                    </a:xfrm>
                    <a:prstGeom prst="rect">
                      <a:avLst/>
                    </a:prstGeom>
                    <a:noFill/>
                    <a:ln>
                      <a:noFill/>
                    </a:ln>
                  </pic:spPr>
                </pic:pic>
              </a:graphicData>
            </a:graphic>
          </wp:inline>
        </w:drawing>
      </w:r>
      <w:r>
        <w:rPr>
          <w:rFonts w:hint="eastAsia" w:ascii="Times New Roman"/>
        </w:rPr>
        <w:t>、</w:t>
      </w:r>
      <w:r>
        <w:rPr>
          <w:rFonts w:ascii="Times New Roman"/>
          <w:position w:val="-12"/>
        </w:rPr>
        <w:drawing>
          <wp:inline distT="0" distB="0" distL="0" distR="0">
            <wp:extent cx="127000" cy="177800"/>
            <wp:effectExtent l="0" t="0" r="6350" b="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a:xfrm>
                      <a:off x="0" y="0"/>
                      <a:ext cx="127000" cy="177800"/>
                    </a:xfrm>
                    <a:prstGeom prst="rect">
                      <a:avLst/>
                    </a:prstGeom>
                    <a:noFill/>
                    <a:ln>
                      <a:noFill/>
                    </a:ln>
                  </pic:spPr>
                </pic:pic>
              </a:graphicData>
            </a:graphic>
          </wp:inline>
        </w:drawing>
      </w:r>
      <w:r>
        <w:rPr>
          <w:rFonts w:hint="eastAsia" w:ascii="Times New Roman"/>
        </w:rPr>
        <w:t>分别为</w:t>
      </w:r>
      <w:r>
        <w:rPr>
          <w:rFonts w:ascii="Times New Roman"/>
          <w:position w:val="-6"/>
        </w:rPr>
        <w:object>
          <v:shape id="_x0000_i1265" o:spt="75" type="#_x0000_t75" style="height:11pt;width:11pt;" o:ole="t" filled="f" o:preferrelative="t" stroked="f" coordsize="21600,21600">
            <v:path/>
            <v:fill on="f" focussize="0,0"/>
            <v:stroke on="f" joinstyle="miter"/>
            <v:imagedata r:id="rId498" o:title=""/>
            <o:lock v:ext="edit" aspectratio="t"/>
            <w10:wrap type="none"/>
            <w10:anchorlock/>
          </v:shape>
          <o:OLEObject Type="Embed" ProgID="Equation.3" ShapeID="_x0000_i1265" DrawAspect="Content" ObjectID="_1468075965" r:id="rId497">
            <o:LockedField>false</o:LockedField>
          </o:OLEObject>
        </w:object>
      </w:r>
      <w:r>
        <w:rPr>
          <w:rFonts w:hint="eastAsia" w:ascii="Times New Roman"/>
        </w:rPr>
        <w:t>、</w:t>
      </w:r>
      <w:r>
        <w:rPr>
          <w:rFonts w:ascii="Times New Roman"/>
          <w:position w:val="-6"/>
        </w:rPr>
        <w:object>
          <v:shape id="_x0000_i1266" o:spt="75" type="#_x0000_t75" style="height:11pt;width:12.5pt;" o:ole="t" filled="f" o:preferrelative="t" stroked="f" coordsize="21600,21600">
            <v:path/>
            <v:fill on="f" focussize="0,0"/>
            <v:stroke on="f" joinstyle="miter"/>
            <v:imagedata r:id="rId500" o:title=""/>
            <o:lock v:ext="edit" aspectratio="t"/>
            <w10:wrap type="none"/>
            <w10:anchorlock/>
          </v:shape>
          <o:OLEObject Type="Embed" ProgID="Equation.3" ShapeID="_x0000_i1266" DrawAspect="Content" ObjectID="_1468075966" r:id="rId499">
            <o:LockedField>false</o:LockedField>
          </o:OLEObject>
        </w:object>
      </w:r>
      <w:r>
        <w:rPr>
          <w:rFonts w:hint="eastAsia" w:ascii="Times New Roman"/>
        </w:rPr>
        <w:t>、</w:t>
      </w:r>
      <w:r>
        <w:rPr>
          <w:rFonts w:ascii="Times New Roman"/>
          <w:position w:val="-6"/>
        </w:rPr>
        <w:object>
          <v:shape id="_x0000_i1267" o:spt="75" type="#_x0000_t75" style="height:11pt;width:11pt;" o:ole="t" filled="f" o:preferrelative="t" stroked="f" coordsize="21600,21600">
            <v:path/>
            <v:fill on="f" focussize="0,0"/>
            <v:stroke on="f" joinstyle="miter"/>
            <v:imagedata r:id="rId502" o:title=""/>
            <o:lock v:ext="edit" aspectratio="t"/>
            <w10:wrap type="none"/>
            <w10:anchorlock/>
          </v:shape>
          <o:OLEObject Type="Embed" ProgID="Equation.3" ShapeID="_x0000_i1267" DrawAspect="Content" ObjectID="_1468075967" r:id="rId501">
            <o:LockedField>false</o:LockedField>
          </o:OLEObject>
        </w:object>
      </w:r>
      <w:r>
        <w:rPr>
          <w:rFonts w:hint="eastAsia" w:ascii="Times New Roman"/>
        </w:rPr>
        <w:t>的长度。</w:t>
      </w:r>
    </w:p>
    <w:p>
      <w:pPr>
        <w:pStyle w:val="167"/>
      </w:pPr>
      <w:r>
        <w:rPr>
          <w:rFonts w:hint="eastAsia"/>
        </w:rPr>
        <w:t>屈曲约束支撑连接节点应能够承担V型、人字形支撑产生的竖向力差值，</w:t>
      </w:r>
      <w:r>
        <w:rPr>
          <w:rFonts w:hint="eastAsia"/>
          <w:color w:val="FF0000"/>
        </w:rPr>
        <w:t>当屈曲约束支撑承载力较高且端部采用“十”字焊接连接时，应采取避免节点板应力集中的有效措施。</w:t>
      </w:r>
    </w:p>
    <w:p>
      <w:pPr>
        <w:pStyle w:val="167"/>
        <w:numPr>
          <w:ilvl w:val="0"/>
          <w:numId w:val="0"/>
        </w:numPr>
      </w:pPr>
    </w:p>
    <w:p>
      <w:pPr>
        <w:pStyle w:val="107"/>
        <w:spacing w:before="156" w:after="156"/>
        <w:jc w:val="center"/>
      </w:pPr>
      <w:r>
        <w:rPr>
          <w:rFonts w:hint="eastAsia"/>
        </w:rPr>
        <w:t>消能器与结构连接的构造要求</w:t>
      </w:r>
    </w:p>
    <w:p>
      <w:pPr>
        <w:pStyle w:val="167"/>
      </w:pPr>
      <w:r>
        <w:rPr>
          <w:rFonts w:hint="eastAsia"/>
        </w:rPr>
        <w:t>预埋件的锚筋应与钢板牢固连接，锚筋的锚固长度宜大于20倍锚筋直径，且不应小于250mm。当无法满足锚固长度的要求时，应采取其他有效的锚固措施。对于新建消能减震结构，与预埋件相连接的梁、柱（暗柱）等构件在预埋件及自预埋件外侧算起的加密区长度（按相关规范、规程的规定取值）范围内的箍筋均应加密，并满足相关规范、规程对箍筋加密区的有关规定。</w:t>
      </w:r>
    </w:p>
    <w:p>
      <w:pPr>
        <w:adjustRightInd/>
        <w:spacing w:before="156" w:beforeLines="50"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10.5.1</w:t>
      </w:r>
      <w:r>
        <w:rPr>
          <w:rFonts w:hint="eastAsia" w:ascii="华文楷体" w:hAnsi="华文楷体" w:eastAsia="华文楷体" w:cs="华文楷体"/>
          <w:color w:val="0000FF"/>
          <w:szCs w:val="20"/>
        </w:rPr>
        <w:t>连接阻尼器与结构构件的预埋件是保证可靠传力的重要部件，故提出较高的要求。新建消能减震结构预埋件部位的箍筋必须加密，加密范围一般不小于埋件长度加两侧外延各不小于</w:t>
      </w:r>
      <w:r>
        <w:rPr>
          <w:rFonts w:ascii="华文楷体" w:hAnsi="华文楷体" w:eastAsia="华文楷体" w:cs="华文楷体"/>
          <w:color w:val="0000FF"/>
          <w:szCs w:val="20"/>
        </w:rPr>
        <w:t>500mm</w:t>
      </w:r>
      <w:r>
        <w:rPr>
          <w:rFonts w:hint="eastAsia" w:ascii="华文楷体" w:hAnsi="华文楷体" w:eastAsia="华文楷体" w:cs="华文楷体"/>
          <w:color w:val="0000FF"/>
          <w:szCs w:val="20"/>
        </w:rPr>
        <w:t>的范围，加密范围内的箍筋间距不宜小于</w:t>
      </w:r>
      <w:r>
        <w:rPr>
          <w:rFonts w:ascii="华文楷体" w:hAnsi="华文楷体" w:eastAsia="华文楷体" w:cs="华文楷体"/>
          <w:color w:val="0000FF"/>
          <w:szCs w:val="20"/>
        </w:rPr>
        <w:t>100mm</w:t>
      </w:r>
      <w:r>
        <w:rPr>
          <w:rFonts w:hint="eastAsia" w:ascii="华文楷体" w:hAnsi="华文楷体" w:eastAsia="华文楷体" w:cs="华文楷体"/>
          <w:color w:val="0000FF"/>
          <w:szCs w:val="20"/>
        </w:rPr>
        <w:t>；当预埋件位于梁柱节点区域时，梁、柱端加密区的长度应外延至自预埋件外侧算起的规定长度处。</w:t>
      </w:r>
    </w:p>
    <w:p>
      <w:pPr>
        <w:pStyle w:val="167"/>
      </w:pPr>
      <w:r>
        <w:rPr>
          <w:rFonts w:hint="eastAsia"/>
        </w:rPr>
        <w:t>支撑长细比、宽厚比应符合国家现行标准《钢结构设计规范》GB 50017和《高层民用建筑钢结构技术规程》JGJ 99中有关中心支撑的规定。</w:t>
      </w:r>
    </w:p>
    <w:p>
      <w:pPr>
        <w:widowControl/>
        <w:adjustRightInd/>
        <w:spacing w:line="240" w:lineRule="auto"/>
        <w:jc w:val="left"/>
        <w:rPr>
          <w:rFonts w:ascii="宋体" w:hAnsi="Times New Roman"/>
          <w:kern w:val="0"/>
          <w:szCs w:val="20"/>
        </w:rPr>
      </w:pPr>
      <w:r>
        <w:br w:type="page"/>
      </w:r>
    </w:p>
    <w:p>
      <w:pPr>
        <w:pStyle w:val="106"/>
        <w:spacing w:before="312" w:after="312"/>
        <w:jc w:val="center"/>
      </w:pPr>
      <w:bookmarkStart w:id="59" w:name="_Toc92414101"/>
      <w:r>
        <w:rPr>
          <w:rFonts w:hint="eastAsia"/>
        </w:rPr>
        <w:t>消能部件的施工、验收和维护</w:t>
      </w:r>
      <w:bookmarkEnd w:id="59"/>
    </w:p>
    <w:p>
      <w:pPr>
        <w:pStyle w:val="107"/>
        <w:spacing w:before="156" w:after="156"/>
        <w:jc w:val="center"/>
      </w:pPr>
      <w:r>
        <w:rPr>
          <w:rFonts w:hint="eastAsia"/>
        </w:rPr>
        <w:t>一般规定</w:t>
      </w:r>
    </w:p>
    <w:p>
      <w:pPr>
        <w:pStyle w:val="167"/>
      </w:pPr>
      <w:r>
        <w:rPr>
          <w:rFonts w:hint="eastAsia"/>
        </w:rPr>
        <w:t>消能部件工程应作为主体结构分部工程的一个子分部工程进行施工和质量验收。消能减震结构的消能部件工程也可划分若干个子分部工程。</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11.1.1</w:t>
      </w:r>
      <w:r>
        <w:rPr>
          <w:rFonts w:hint="eastAsia" w:ascii="华文楷体" w:hAnsi="华文楷体" w:eastAsia="华文楷体" w:cs="华文楷体"/>
          <w:color w:val="0000FF"/>
          <w:szCs w:val="20"/>
        </w:rPr>
        <w:t>本规程关于消能减震结构的施工、验收和维护的条文规定，是针对国内外消能减震技术工程应用中发展较为成熟且在上海地区使用较多的消能部件，结合混凝土结构、钢结构等类型的新建房屋，总结消能减震结构施工、验收和维护的工程实践经验，吸收日本、美国等国外相关规范和国内有关施工验收标准的先进技术而编制的。</w:t>
      </w:r>
    </w:p>
    <w:p>
      <w:pPr>
        <w:adjustRightInd/>
        <w:spacing w:line="240" w:lineRule="auto"/>
        <w:rPr>
          <w:rFonts w:ascii="Times New Roman" w:hAnsi="Times New Roman"/>
        </w:rPr>
      </w:pPr>
      <w:r>
        <w:rPr>
          <w:rFonts w:hint="eastAsia" w:ascii="华文楷体" w:hAnsi="华文楷体" w:eastAsia="华文楷体" w:cs="华文楷体"/>
          <w:color w:val="0000FF"/>
          <w:szCs w:val="20"/>
        </w:rPr>
        <w:t>消能减震结构中消能部件是关键部件。由于消能器有多种类型，构造多样，制作和施工安装方法各有特点。因此，消能部件及主体结构的施工安装组织设计或施工安装方案编制是组织消能减震结构施工的重要前期工作，应结合消能部件和主体结构的特点以及结构施工安装组织设计的基本要求编制。新建和既有建筑抗震加固采用消能减震技术，均可参照本标准的有关规定进行设计与施工。</w:t>
      </w:r>
    </w:p>
    <w:p>
      <w:pPr>
        <w:pStyle w:val="167"/>
      </w:pPr>
      <w:r>
        <w:rPr>
          <w:rFonts w:hint="eastAsia"/>
        </w:rPr>
        <w:t>消能部件子分部工程项目的施工，宜根据本规程规定，结合主体结构的材料、体系、消能部件及施工条件，编制专项施工方案，确定施工技术。</w:t>
      </w:r>
    </w:p>
    <w:p>
      <w:pPr>
        <w:autoSpaceDE w:val="0"/>
        <w:autoSpaceDN w:val="0"/>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11..1.2</w:t>
      </w:r>
      <w:r>
        <w:rPr>
          <w:rFonts w:hint="eastAsia" w:ascii="华文楷体" w:hAnsi="华文楷体" w:eastAsia="华文楷体" w:cs="华文楷体"/>
          <w:color w:val="0000FF"/>
          <w:szCs w:val="20"/>
        </w:rPr>
        <w:t>结合消能减震结构的特点，根据现行国家标准《建筑工程施工质量验收统一标准》</w:t>
      </w:r>
      <w:r>
        <w:rPr>
          <w:rFonts w:ascii="华文楷体" w:hAnsi="华文楷体" w:eastAsia="华文楷体" w:cs="华文楷体"/>
          <w:color w:val="0000FF"/>
          <w:szCs w:val="20"/>
        </w:rPr>
        <w:t xml:space="preserve">GB 50300 </w:t>
      </w:r>
      <w:r>
        <w:rPr>
          <w:rFonts w:hint="eastAsia" w:ascii="华文楷体" w:hAnsi="华文楷体" w:eastAsia="华文楷体" w:cs="华文楷体"/>
          <w:color w:val="0000FF"/>
          <w:szCs w:val="20"/>
        </w:rPr>
        <w:t>的有关规定，将消能部件作为上部主体结构分部工程的一个子分部工程进行施工质量管理和竣工验收。</w:t>
      </w:r>
    </w:p>
    <w:p>
      <w:pPr>
        <w:autoSpaceDE w:val="0"/>
        <w:autoSpaceDN w:val="0"/>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虽然消能部件工程主要是钢部件的制作安装施工，但采用消能减震技术的结构材料类型除钢结构外，还有混凝土结构等，而且消能器是一种专门技术部件，具有多种类型和不同的构造特点，其设计呈多样化，安装工种和工序较多，施工工艺和施工技术复杂，同时，消能部件又是涉及安全的重要部件。因此，在消能部件的施工质量管理和竣工验收中，若将其视为几个分项工程并分别归结到主体结构的相应分项工程验收批中，是难以适应质量验收要求的。故本规程提出在主体结构分部工程中，不论主体结构为钢结构、混凝土结构还是其它结构，均将消能部件作为主体结构分部工程的一个子分部工程，以利于施工质量管理和验收。</w:t>
      </w:r>
    </w:p>
    <w:p>
      <w:pPr>
        <w:autoSpaceDE w:val="0"/>
        <w:autoSpaceDN w:val="0"/>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消能部件子分部工程，根据结构材料和施工方法可分为：现浇混凝土结构、装配整体式混凝土结构、钢结构等建筑的消能部件子分部工程，以及抗震加固建筑的消能部件子分部工程。</w:t>
      </w:r>
    </w:p>
    <w:p>
      <w:pPr>
        <w:pStyle w:val="167"/>
      </w:pPr>
      <w:r>
        <w:rPr>
          <w:rFonts w:hint="eastAsia"/>
        </w:rPr>
        <w:t>消能部件子分部工程的施工作业，宜划分为二个阶段：消能器部件进场验收和消能部件安装、验收、防护。消能器进场验收应提供下列资料：</w:t>
      </w:r>
    </w:p>
    <w:p>
      <w:pPr>
        <w:pStyle w:val="58"/>
        <w:ind w:firstLine="420"/>
      </w:pPr>
      <w:r>
        <w:rPr>
          <w:rFonts w:hint="eastAsia"/>
        </w:rPr>
        <w:t>1  消能器检验报告；</w:t>
      </w:r>
    </w:p>
    <w:p>
      <w:pPr>
        <w:pStyle w:val="58"/>
        <w:ind w:firstLine="420"/>
      </w:pPr>
      <w:r>
        <w:rPr>
          <w:rFonts w:hint="eastAsia"/>
        </w:rPr>
        <w:t>2  监理单位、建设单位对消能器检验的确认单。</w:t>
      </w:r>
    </w:p>
    <w:p>
      <w:pPr>
        <w:autoSpaceDE w:val="0"/>
        <w:autoSpaceDN w:val="0"/>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11.1.3</w:t>
      </w:r>
      <w:r>
        <w:rPr>
          <w:rFonts w:hint="eastAsia" w:ascii="华文楷体" w:hAnsi="华文楷体" w:eastAsia="华文楷体" w:cs="华文楷体"/>
          <w:color w:val="0000FF"/>
          <w:szCs w:val="20"/>
        </w:rPr>
        <w:t>根据施工方法和主要工序，将消能部件子分部工程的施工作业内容划分为二个阶段。</w:t>
      </w:r>
    </w:p>
    <w:p>
      <w:pPr>
        <w:autoSpaceDE w:val="0"/>
        <w:autoSpaceDN w:val="0"/>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消能部件子分部工程可按不同施工阶段划分相应的分项工程，其中，消能部件原材料和成品的进场验收，是指进入消能部件各分项工程实施现场的主要原材料、标准件、成品件或其它特殊定制成品（如消能器等）的进场及验收。</w:t>
      </w:r>
    </w:p>
    <w:p>
      <w:pPr>
        <w:autoSpaceDE w:val="0"/>
        <w:autoSpaceDN w:val="0"/>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消能部件中附加钢构件的制作，可划分为钢零件及钢组件的加工、钢构件组装、组装的焊接连接、紧固件连接、钢构件预拼装、钢构件防腐涂料涂装等六个分项工程。</w:t>
      </w:r>
    </w:p>
    <w:p>
      <w:pPr>
        <w:autoSpaceDE w:val="0"/>
        <w:autoSpaceDN w:val="0"/>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消能部件的安装和维护，可划分为消能部件安装、安装和焊接连接、紧固件连接、消能部件防腐防火涂装等四个分顶工程。其中，安装分项工程的内容包括制定安装次序、吊装进位、测量校正定位及临时固定等工序，涂装分项工程的内容包括安装连接后普通防腐涂料局部补充涂装、防火涂料涂装等工序。</w:t>
      </w:r>
    </w:p>
    <w:p>
      <w:pPr>
        <w:autoSpaceDE w:val="0"/>
        <w:autoSpaceDN w:val="0"/>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各阶段的施工作业，应根据具体工程设计情况确定其所含的分项工程或工序。</w:t>
      </w:r>
    </w:p>
    <w:p>
      <w:pPr>
        <w:autoSpaceDE w:val="0"/>
        <w:autoSpaceDN w:val="0"/>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检验批次是分项工程施工质量管理和验收的基本单元，可根据与施工方式一致且便于质量控制的原则划分。消能部件分项工程的检验批，可按主体结构检验批的划分方法确定，例如可按楼层或预制柱节高度范围、施工流水段、变形缝或空间刚单元等划分。</w:t>
      </w:r>
    </w:p>
    <w:p>
      <w:pPr>
        <w:pStyle w:val="167"/>
      </w:pPr>
      <w:r>
        <w:rPr>
          <w:rFonts w:hint="eastAsia"/>
        </w:rPr>
        <w:t>消能部件中钢部件的制作安装应符合现行国家标准《钢结构工程施工规范》GB50755的有关规定并满足设计文件的要求。</w:t>
      </w:r>
    </w:p>
    <w:p>
      <w:pPr>
        <w:autoSpaceDE w:val="0"/>
        <w:autoSpaceDN w:val="0"/>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11.1.4</w:t>
      </w:r>
      <w:r>
        <w:rPr>
          <w:rFonts w:hint="eastAsia" w:ascii="华文楷体" w:hAnsi="华文楷体" w:eastAsia="华文楷体" w:cs="华文楷体"/>
          <w:color w:val="0000FF"/>
          <w:szCs w:val="20"/>
        </w:rPr>
        <w:t>消能部件大多为钢材预制部件，消能器虽然不完全是钢材制作，但其外廓或接头为钢制件，因为消能部件在主体结构中的安装精度要求较高，其精度还随主体结构的类型和安装顺序的不同而有所不同。因此，对消能部件的制作尺寸及其它加工质量应严格要求。在消能部件制作过程中或进场前，应对其进行检查，对发现尺寸偏差或其他质量问题应在加工过程中进行修理，不宜在消能部件到现场安装时才进行质量检查，导致因质量问题而影响施工工期。</w:t>
      </w:r>
    </w:p>
    <w:p>
      <w:pPr>
        <w:pStyle w:val="107"/>
        <w:spacing w:before="156" w:after="156"/>
        <w:jc w:val="center"/>
      </w:pPr>
      <w:r>
        <w:rPr>
          <w:rFonts w:hint="eastAsia"/>
        </w:rPr>
        <w:t>消能部件进场验收</w:t>
      </w:r>
    </w:p>
    <w:p>
      <w:pPr>
        <w:pStyle w:val="167"/>
      </w:pPr>
      <w:r>
        <w:rPr>
          <w:rFonts w:hint="eastAsia"/>
        </w:rPr>
        <w:t>消能部件的制作单元，宜根据制作、安装和运输条件及消能部件的特点确定。</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11.2.1</w:t>
      </w:r>
      <w:r>
        <w:rPr>
          <w:rFonts w:hint="eastAsia" w:ascii="华文楷体" w:hAnsi="华文楷体" w:eastAsia="华文楷体" w:cs="华文楷体"/>
          <w:color w:val="0000FF"/>
          <w:szCs w:val="20"/>
        </w:rPr>
        <w:t>消能部件的制作单元一般将现场的安装单元、两个或多个制作单元在工地地面拼装为扩大的安装单元，因此，制作单元除根据生产、运输条件确定外，还要尽量便于安装连接，以保证安装质量。</w:t>
      </w:r>
    </w:p>
    <w:p>
      <w:pPr>
        <w:pStyle w:val="167"/>
      </w:pPr>
      <w:r>
        <w:rPr>
          <w:rFonts w:hint="eastAsia"/>
        </w:rPr>
        <w:t>消能器进场验收时，应具有产品检验报告；消能器类型、规格、尺寸偏差和性能参数，应符合设计文件和现行行业标准《建筑消能阻尼器》JG／T209的规定。</w:t>
      </w:r>
    </w:p>
    <w:p>
      <w:pPr>
        <w:pStyle w:val="167"/>
      </w:pPr>
      <w:r>
        <w:rPr>
          <w:rFonts w:hint="eastAsia"/>
        </w:rPr>
        <w:t>消能器制作中所采用的各类材料的品种、规格和性能指标应符合现行国家有关产品标准要求。</w:t>
      </w:r>
    </w:p>
    <w:p>
      <w:pPr>
        <w:pStyle w:val="167"/>
      </w:pPr>
      <w:r>
        <w:rPr>
          <w:rFonts w:hint="eastAsia"/>
        </w:rPr>
        <w:t>消能部件中钢部件的制作安装中，所用的钢材、焊接材料、紧固件和涂料应具有质量合格证书，并符合设计文件规定。</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11.2.2~11.2.4</w:t>
      </w:r>
      <w:r>
        <w:rPr>
          <w:rFonts w:hint="eastAsia" w:ascii="华文楷体" w:hAnsi="华文楷体" w:eastAsia="华文楷体" w:cs="华文楷体"/>
          <w:color w:val="0000FF"/>
          <w:szCs w:val="20"/>
        </w:rPr>
        <w:t>消能器制造通常为一项专门技术，其采用的材料除钢材、焊接材料和紧固件外，还有油、橡胶及其它黏滞材料，还有涂料等，为此，产品在进场时各类材料应具有质量合格证。进场时还应提供制作偏差，这些材料的品种、规格和性能指标应符合现行国家行业产品标准《建筑消能消能器》</w:t>
      </w:r>
      <w:r>
        <w:rPr>
          <w:rFonts w:ascii="华文楷体" w:hAnsi="华文楷体" w:eastAsia="华文楷体" w:cs="华文楷体"/>
          <w:color w:val="0000FF"/>
          <w:szCs w:val="20"/>
        </w:rPr>
        <w:t xml:space="preserve"> JG/T 209</w:t>
      </w:r>
      <w:r>
        <w:rPr>
          <w:rFonts w:hint="eastAsia" w:ascii="华文楷体" w:hAnsi="华文楷体" w:eastAsia="华文楷体" w:cs="华文楷体"/>
          <w:color w:val="0000FF"/>
          <w:szCs w:val="20"/>
        </w:rPr>
        <w:t>及设计文件中的规定。</w:t>
      </w:r>
    </w:p>
    <w:p>
      <w:pPr>
        <w:pStyle w:val="107"/>
        <w:spacing w:before="156" w:after="156"/>
        <w:jc w:val="center"/>
      </w:pPr>
      <w:r>
        <w:rPr>
          <w:rFonts w:hint="eastAsia"/>
        </w:rPr>
        <w:t>消能部件的施工安装顺序</w:t>
      </w:r>
    </w:p>
    <w:p>
      <w:pPr>
        <w:pStyle w:val="167"/>
      </w:pPr>
      <w:r>
        <w:rPr>
          <w:rFonts w:hint="eastAsia"/>
        </w:rPr>
        <w:t>消能部件的施工安装顺序，应由设计单位、施工单位和消能器生产厂家共同商讨确定，并符合现行国家标准《混凝土结构工程施工规范》GB 50666和《钢结构工程施工规范》GB 50755的规定。</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11.3.1</w:t>
      </w:r>
      <w:r>
        <w:rPr>
          <w:rFonts w:hint="eastAsia" w:ascii="华文楷体" w:hAnsi="华文楷体" w:eastAsia="华文楷体" w:cs="华文楷体"/>
          <w:color w:val="0000FF"/>
          <w:szCs w:val="20"/>
        </w:rPr>
        <w:t>该条既考虑了已有不同类型及构造特点的消能器安装施工，也有利于新型消能器及相关部件的研制、开发和推广应用。消能减震结构施工安装前，应确定结构的各类普通构件和消能部件的总体及局部施工安装顺序，这对施工安装质量有重要影响，应遵循本条规定的要求，以确保施工安装质量。</w:t>
      </w:r>
    </w:p>
    <w:p>
      <w:pPr>
        <w:pStyle w:val="167"/>
      </w:pPr>
      <w:r>
        <w:rPr>
          <w:rFonts w:hint="eastAsia"/>
        </w:rPr>
        <w:t>消能减震结构的施工安装顺序制定，应符合下列规定：</w:t>
      </w:r>
    </w:p>
    <w:p>
      <w:pPr>
        <w:pStyle w:val="58"/>
        <w:ind w:firstLine="420"/>
      </w:pPr>
      <w:r>
        <w:rPr>
          <w:rFonts w:hint="eastAsia"/>
        </w:rPr>
        <w:t>1  划分结构的施工流水段。</w:t>
      </w:r>
    </w:p>
    <w:p>
      <w:pPr>
        <w:pStyle w:val="58"/>
        <w:ind w:firstLine="420"/>
      </w:pPr>
      <w:r>
        <w:rPr>
          <w:rFonts w:hint="eastAsia"/>
        </w:rPr>
        <w:t>2  确定结构的消能部件及主体结构构件的总体施工顺序，并编制总体施工安装顺序表。</w:t>
      </w:r>
    </w:p>
    <w:p>
      <w:pPr>
        <w:pStyle w:val="58"/>
        <w:ind w:firstLine="420"/>
      </w:pPr>
      <w:r>
        <w:rPr>
          <w:rFonts w:hint="eastAsia"/>
        </w:rPr>
        <w:t>3  确定同一部位各消能部件及主体结构构件的局部安装顺序，并编制安装顺序表。</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11.3.2</w:t>
      </w:r>
      <w:r>
        <w:rPr>
          <w:rFonts w:hint="eastAsia" w:ascii="华文楷体" w:hAnsi="华文楷体" w:eastAsia="华文楷体" w:cs="华文楷体"/>
          <w:color w:val="0000FF"/>
          <w:szCs w:val="20"/>
        </w:rPr>
        <w:t>消能减震钢结构的安装顺序，是根据一般钢结构的安装顺序，并结合消能部件的特点，按现行行业标准《高层民用建筑钢结构技术规程》</w:t>
      </w:r>
      <w:r>
        <w:rPr>
          <w:rFonts w:ascii="华文楷体" w:hAnsi="华文楷体" w:eastAsia="华文楷体" w:cs="华文楷体"/>
          <w:color w:val="0000FF"/>
          <w:szCs w:val="20"/>
        </w:rPr>
        <w:t xml:space="preserve"> JGJ 99</w:t>
      </w:r>
      <w:r>
        <w:rPr>
          <w:rFonts w:hint="eastAsia" w:ascii="华文楷体" w:hAnsi="华文楷体" w:eastAsia="华文楷体" w:cs="华文楷体"/>
          <w:color w:val="0000FF"/>
          <w:szCs w:val="20"/>
        </w:rPr>
        <w:t>的规定综合制定的。采用本条的安装顺序，便于构件的安装进度和测量校正。</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消能减震钢结构的安装可采用以下顺序进行：</w:t>
      </w:r>
    </w:p>
    <w:p>
      <w:pPr>
        <w:adjustRightInd/>
        <w:spacing w:line="240" w:lineRule="auto"/>
        <w:rPr>
          <w:rFonts w:ascii="华文楷体" w:hAnsi="华文楷体" w:eastAsia="华文楷体" w:cs="华文楷体"/>
          <w:color w:val="0000FF"/>
          <w:szCs w:val="20"/>
        </w:rPr>
      </w:pPr>
      <w:r>
        <w:rPr>
          <w:rFonts w:ascii="华文楷体" w:hAnsi="华文楷体" w:eastAsia="华文楷体" w:cs="华文楷体"/>
          <w:color w:val="0000FF"/>
          <w:szCs w:val="20"/>
        </w:rPr>
        <w:t xml:space="preserve">1  </w:t>
      </w:r>
      <w:r>
        <w:rPr>
          <w:rFonts w:hint="eastAsia" w:ascii="华文楷体" w:hAnsi="华文楷体" w:eastAsia="华文楷体" w:cs="华文楷体"/>
          <w:color w:val="0000FF"/>
          <w:szCs w:val="20"/>
        </w:rPr>
        <w:t>在每层柱所在的高度范围内，应先安装平面内的中部柱，再沿本层柱高从下向上分别进行消能部件、楼层梁吊装连接；然后从中部向四周按上述次序，逐步安装其余柱、消能部件、梁及其他构件，最后安装本层柱高范围内的各层楼梯，并铺设各层楼面板。</w:t>
      </w:r>
    </w:p>
    <w:p>
      <w:pPr>
        <w:adjustRightInd/>
        <w:spacing w:line="240" w:lineRule="auto"/>
        <w:rPr>
          <w:rFonts w:ascii="华文楷体" w:hAnsi="华文楷体" w:eastAsia="华文楷体" w:cs="华文楷体"/>
          <w:color w:val="0000FF"/>
          <w:szCs w:val="20"/>
        </w:rPr>
      </w:pPr>
      <w:r>
        <w:rPr>
          <w:rFonts w:ascii="华文楷体" w:hAnsi="华文楷体" w:eastAsia="华文楷体" w:cs="华文楷体"/>
          <w:color w:val="0000FF"/>
          <w:szCs w:val="20"/>
        </w:rPr>
        <w:t xml:space="preserve">2  </w:t>
      </w:r>
      <w:r>
        <w:rPr>
          <w:rFonts w:hint="eastAsia" w:ascii="华文楷体" w:hAnsi="华文楷体" w:eastAsia="华文楷体" w:cs="华文楷体"/>
          <w:color w:val="0000FF"/>
          <w:szCs w:val="20"/>
        </w:rPr>
        <w:t>消能减震钢结构一个施工流水段的柱高度范围的全部消能部件和结构构件安装连接完毕，并验收合格后，方可进行该流水段的上一层柱范围或下一流水段的安装。</w:t>
      </w:r>
    </w:p>
    <w:p>
      <w:pPr>
        <w:adjustRightInd/>
        <w:spacing w:line="240" w:lineRule="auto"/>
        <w:rPr>
          <w:rFonts w:ascii="华文楷体" w:hAnsi="华文楷体" w:eastAsia="华文楷体" w:cs="华文楷体"/>
          <w:color w:val="0000FF"/>
          <w:szCs w:val="20"/>
        </w:rPr>
      </w:pPr>
      <w:r>
        <w:rPr>
          <w:rFonts w:ascii="华文楷体" w:hAnsi="华文楷体" w:eastAsia="华文楷体" w:cs="华文楷体"/>
          <w:color w:val="0000FF"/>
          <w:szCs w:val="20"/>
        </w:rPr>
        <w:t xml:space="preserve">3  </w:t>
      </w:r>
      <w:r>
        <w:rPr>
          <w:rFonts w:hint="eastAsia" w:ascii="华文楷体" w:hAnsi="华文楷体" w:eastAsia="华文楷体" w:cs="华文楷体"/>
          <w:color w:val="0000FF"/>
          <w:szCs w:val="20"/>
        </w:rPr>
        <w:t>进行钢构件的涂装和内外墙板施工。</w:t>
      </w:r>
    </w:p>
    <w:p>
      <w:pPr>
        <w:pStyle w:val="167"/>
      </w:pPr>
      <w:r>
        <w:rPr>
          <w:rFonts w:hint="eastAsia"/>
        </w:rPr>
        <w:t>对于钢结构，消能部件和主体结构构件的总体安装顺序宜采用平行安装法，平面上应从中部向四周开展，竖向应从下向上逐渐进行。当消能部件主要承受水平剪力、不承担竖向压力时，宜待竖向变形稳定后终固；当消能部件既承受水平剪力、又承担竖向压力时，安装后即可终固。</w:t>
      </w:r>
    </w:p>
    <w:p>
      <w:pPr>
        <w:pStyle w:val="167"/>
      </w:pPr>
      <w:r>
        <w:rPr>
          <w:rFonts w:hint="eastAsia"/>
        </w:rPr>
        <w:t>对于现浇混凝土结构，消能部件和主体结构构件总体施工安装顺序宜采用后装法进行。</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11.3.4</w:t>
      </w:r>
      <w:r>
        <w:rPr>
          <w:rFonts w:hint="eastAsia" w:ascii="华文楷体" w:hAnsi="华文楷体" w:eastAsia="华文楷体" w:cs="华文楷体"/>
          <w:color w:val="0000FF"/>
          <w:szCs w:val="20"/>
        </w:rPr>
        <w:t>消能减震的现浇混凝土结构施工中，消能部件和各类普通构件的总体安装顺序，应根据结构特点、施工条件等确定，本规程在制定过程中，研究并总结出两种安装方法：消能部件平行安装法和后装法。</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消能部件平行安装法便于消能器的吊装进位和测量校正，各层消能部件和混凝土构件一次施工安装齐备，避免后期补装，缺点是每层施工工种多，存在交叉影响。</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消能部件后装法，优点是混凝土构件施工快，不受消能部件安装影响。但混凝土构件浇筑完成后，重量较重或尺寸较长的消能部件吊装会受到楼板、水暖管网、外脚手架、施工安全网等的影响，可能加大安装难度；而且后装法对部件的制作、安装精度要求高，也可能增加难度；后装法的各层消能部件在混凝土构件施工完成后再进行，可能会延长施工工期。</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消能减震混凝土结构的后装法可先施工一个或多个结构层的混凝土墙柱和梁板等构件，包括混凝土构件上与消能部件相连的节点预埋件；然后安装消能部件，并与混凝土构件的预埋件连接。当设计中不考虑消能部件的抗风作用时，可在各层混凝土柱、墙、梁、板以及节点预埋件全部施工完毕后，再安装消能部件。</w:t>
      </w:r>
    </w:p>
    <w:p>
      <w:pPr>
        <w:pStyle w:val="167"/>
      </w:pPr>
      <w:r>
        <w:rPr>
          <w:rFonts w:hint="eastAsia"/>
        </w:rPr>
        <w:t>对于木结构和装配式混凝土结构，各类构件或部件的总施工安装顺序，可按本规程相关内容执行。</w:t>
      </w:r>
    </w:p>
    <w:p>
      <w:pPr>
        <w:pStyle w:val="167"/>
      </w:pPr>
      <w:r>
        <w:rPr>
          <w:rFonts w:hint="eastAsia"/>
        </w:rPr>
        <w:t>既有消能减震加固结构，消能部件的总体施工安装顺序可按本规程相关结构形式的消能部件安装方法进行。</w:t>
      </w:r>
    </w:p>
    <w:p>
      <w:pPr>
        <w:pStyle w:val="167"/>
      </w:pPr>
      <w:r>
        <w:rPr>
          <w:rFonts w:hint="eastAsia"/>
        </w:rPr>
        <w:t>同一部位各消能部件的局部安装顺序编制应符合下列规定：</w:t>
      </w:r>
    </w:p>
    <w:p>
      <w:pPr>
        <w:pStyle w:val="58"/>
        <w:ind w:firstLine="420"/>
      </w:pPr>
      <w:r>
        <w:rPr>
          <w:rFonts w:hint="eastAsia"/>
        </w:rPr>
        <w:t>1  确定同一部位各消能部件的现场安装单元、安装连接顺序。</w:t>
      </w:r>
    </w:p>
    <w:p>
      <w:pPr>
        <w:pStyle w:val="58"/>
        <w:ind w:firstLine="420"/>
      </w:pPr>
      <w:r>
        <w:rPr>
          <w:rFonts w:hint="eastAsia"/>
        </w:rPr>
        <w:t>2  编制同一部位各消能部件的局部安装连接顺序，包括消能器、支撑、支墩、连接件的类型、规格和数量。</w:t>
      </w:r>
    </w:p>
    <w:p>
      <w:pPr>
        <w:pStyle w:val="167"/>
      </w:pPr>
      <w:r>
        <w:rPr>
          <w:rFonts w:hint="eastAsia"/>
        </w:rPr>
        <w:t>同一部位消能部件的现场安装单元及局部安装连接顺序，同一部位消能部件的制作单元超过一个时，宜先将各制作单元及连接件在现场地面拼装为扩大安装单元后，再与主体结构进行连接。</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10.3.7~10.3.8</w:t>
      </w:r>
      <w:r>
        <w:rPr>
          <w:rFonts w:hint="eastAsia" w:ascii="华文楷体" w:hAnsi="华文楷体" w:eastAsia="华文楷体" w:cs="华文楷体"/>
          <w:color w:val="0000FF"/>
          <w:szCs w:val="20"/>
        </w:rPr>
        <w:t>同一部位的消能部件，当仅有消能器时直接作为安装单元；当还设有附加支撑，或与结构为销栓铰接、球面铰接时，各制作单元及铰接件在现场地面拼装成扩大安装单元后，再与结构进行安装连接。</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安装单元与结构的安装连接，精度要求高，连接施工较困难。如何进行安装连接，是消能部件安装中的一个普遍问题，例如黏滞消能器通过专门铰接件与结构连接时要求无间隙连接，经分析研究，总结了有关方法，制定本条款并独立列出。</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对于消能减震的钢结构，在消能部件设置部位，柱的安装单元宜采用带悬臂梁段的柱，且在柱与消能部件连接处设置柱上连接件。对于黏滞消能器，其两端与节点连接件为球面铰接、销栓铰接或螺纹连接，其同一部位消能部件的局部安装顺序为：将地面拼装后的消能器及附加连接件一起起吊，并将附加连接件在柱或基础的连接板上初步定位、校正和临时固定，再连接牢固。</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对于消能减震的现浇混凝土结构：</w:t>
      </w:r>
      <w:r>
        <w:rPr>
          <w:rFonts w:ascii="华文楷体" w:hAnsi="华文楷体" w:eastAsia="华文楷体" w:cs="华文楷体"/>
          <w:color w:val="0000FF"/>
          <w:szCs w:val="20"/>
        </w:rPr>
        <w:tab/>
      </w:r>
    </w:p>
    <w:p>
      <w:pPr>
        <w:adjustRightInd/>
        <w:spacing w:line="240" w:lineRule="auto"/>
        <w:rPr>
          <w:rFonts w:ascii="华文楷体" w:hAnsi="华文楷体" w:eastAsia="华文楷体" w:cs="华文楷体"/>
          <w:color w:val="0000FF"/>
          <w:szCs w:val="20"/>
        </w:rPr>
      </w:pPr>
      <w:r>
        <w:rPr>
          <w:rFonts w:ascii="华文楷体" w:hAnsi="华文楷体" w:eastAsia="华文楷体" w:cs="华文楷体"/>
          <w:color w:val="0000FF"/>
          <w:szCs w:val="20"/>
        </w:rPr>
        <w:t xml:space="preserve">1 </w:t>
      </w:r>
      <w:r>
        <w:rPr>
          <w:rFonts w:hint="eastAsia" w:ascii="华文楷体" w:hAnsi="华文楷体" w:eastAsia="华文楷体" w:cs="华文楷体"/>
          <w:color w:val="0000FF"/>
          <w:szCs w:val="20"/>
        </w:rPr>
        <w:t>采用消能部件先装法时，同一部位各消能部件的安装，应在其下层混凝土构件浇筑完毕以及其同层周围柱的钢筋、预埋件和模板安装后进行。黏滞消能器安装时，其两端与附加铰接件在地面拼装连接为扩大安装单元后一起起吊，再将消能器下方位端的附加连接件在已浇筑梁或基础预埋板上定位和临时固定（连接件在柱钢筋骨架中留出锚筋），将上方位端在柱的钢筋骨架上定位和临时固定，两端连接牢固之后，安装上部梁板的钢筋骨架、模板和浇筑混凝土。</w:t>
      </w:r>
    </w:p>
    <w:p>
      <w:pPr>
        <w:adjustRightInd/>
        <w:spacing w:line="240" w:lineRule="auto"/>
        <w:rPr>
          <w:rFonts w:ascii="华文楷体" w:hAnsi="华文楷体" w:eastAsia="华文楷体" w:cs="华文楷体"/>
          <w:color w:val="0000FF"/>
          <w:szCs w:val="20"/>
        </w:rPr>
      </w:pPr>
      <w:r>
        <w:rPr>
          <w:rFonts w:ascii="华文楷体" w:hAnsi="华文楷体" w:eastAsia="华文楷体" w:cs="华文楷体"/>
          <w:color w:val="0000FF"/>
          <w:szCs w:val="20"/>
        </w:rPr>
        <w:t xml:space="preserve">2 </w:t>
      </w:r>
      <w:r>
        <w:rPr>
          <w:rFonts w:hint="eastAsia" w:ascii="华文楷体" w:hAnsi="华文楷体" w:eastAsia="华文楷体" w:cs="华文楷体"/>
          <w:color w:val="0000FF"/>
          <w:szCs w:val="20"/>
        </w:rPr>
        <w:t>采用消能部件平行法时，在地面拼装消能部件，检查测量拼装后的总尺寸和锚栓孔位置，并与安装部位的相应空档尺寸、锚栓位置进行对照核查，凡是预拼装尺寸大于安装位置预留尺寸，或锚栓与栓孔错位大于本规程或现行国家有关规范的允许偏差，导致不能就位时，安装前应在地面进行修理。对于黏滞消能器，两端与附加铰接件地面拼装后，安装时在已浇筑的混凝土结构上初步定位、校正、临时固定，最后用焊接或锚栓连接牢固。</w:t>
      </w:r>
    </w:p>
    <w:p>
      <w:pPr>
        <w:pStyle w:val="167"/>
      </w:pPr>
      <w:r>
        <w:rPr>
          <w:rFonts w:hint="eastAsia"/>
        </w:rPr>
        <w:t>消能部件的现场安装单元或扩大安装单元与主体结构的连接，采用现场原位连接。</w:t>
      </w:r>
    </w:p>
    <w:p>
      <w:pPr>
        <w:pStyle w:val="107"/>
        <w:spacing w:before="156" w:after="156"/>
        <w:jc w:val="center"/>
      </w:pPr>
      <w:r>
        <w:rPr>
          <w:rFonts w:hint="eastAsia"/>
        </w:rPr>
        <w:t>施工测量和消能部件的安装、校正</w:t>
      </w:r>
    </w:p>
    <w:p>
      <w:pPr>
        <w:pStyle w:val="167"/>
      </w:pPr>
      <w:r>
        <w:rPr>
          <w:rFonts w:hint="eastAsia"/>
        </w:rPr>
        <w:t>消能部件平面与标高的测量定位、施工测量放样和安装测量定位应符合现行国家标准《工程测量规范》GB 50026和现行行业标准《建筑变形测量规程》JGJ 8的要求。</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11.4.1</w:t>
      </w:r>
      <w:r>
        <w:rPr>
          <w:rFonts w:hint="eastAsia" w:ascii="华文楷体" w:hAnsi="华文楷体" w:eastAsia="华文楷体" w:cs="华文楷体"/>
          <w:color w:val="0000FF"/>
          <w:szCs w:val="20"/>
        </w:rPr>
        <w:t>多高层建筑结构四廓主轴线及标高点施工测量放样的允许偏差，根据目前国内建筑施工测量水平，建筑物施工放线的允许偏差应符合表1</w:t>
      </w:r>
      <w:r>
        <w:rPr>
          <w:rFonts w:ascii="华文楷体" w:hAnsi="华文楷体" w:eastAsia="华文楷体" w:cs="华文楷体"/>
          <w:color w:val="0000FF"/>
          <w:szCs w:val="20"/>
        </w:rPr>
        <w:t>1.4.1-1</w:t>
      </w:r>
      <w:r>
        <w:rPr>
          <w:rFonts w:hint="eastAsia" w:ascii="华文楷体" w:hAnsi="华文楷体" w:eastAsia="华文楷体" w:cs="华文楷体"/>
          <w:color w:val="0000FF"/>
          <w:szCs w:val="20"/>
        </w:rPr>
        <w:t>规定，表中的允许偏差是根据现行国家标准《砌体工程施工质量验收规范》</w:t>
      </w:r>
      <w:r>
        <w:rPr>
          <w:rFonts w:ascii="华文楷体" w:hAnsi="华文楷体" w:eastAsia="华文楷体" w:cs="华文楷体"/>
          <w:color w:val="0000FF"/>
          <w:szCs w:val="20"/>
        </w:rPr>
        <w:t xml:space="preserve"> GB 50203</w:t>
      </w:r>
      <w:r>
        <w:rPr>
          <w:rFonts w:hint="eastAsia" w:ascii="华文楷体" w:hAnsi="华文楷体" w:eastAsia="华文楷体" w:cs="华文楷体"/>
          <w:color w:val="0000FF"/>
          <w:szCs w:val="20"/>
        </w:rPr>
        <w:t>和《高层建筑混凝土结构技术规程》</w:t>
      </w:r>
      <w:r>
        <w:rPr>
          <w:rFonts w:ascii="华文楷体" w:hAnsi="华文楷体" w:eastAsia="华文楷体" w:cs="华文楷体"/>
          <w:color w:val="0000FF"/>
          <w:szCs w:val="20"/>
        </w:rPr>
        <w:t xml:space="preserve"> JGJ 3</w:t>
      </w:r>
      <w:r>
        <w:rPr>
          <w:rFonts w:hint="eastAsia" w:ascii="华文楷体" w:hAnsi="华文楷体" w:eastAsia="华文楷体" w:cs="华文楷体"/>
          <w:color w:val="0000FF"/>
          <w:szCs w:val="20"/>
        </w:rPr>
        <w:t>的有关规定，对外廓主轴线及标高点相对于地面或首层的偏差控制，除控制顶部偏差外，增加了每层相对地面的偏差控制，以避免偏差的积累。</w:t>
      </w:r>
    </w:p>
    <w:p>
      <w:pPr>
        <w:adjustRightInd/>
        <w:jc w:val="center"/>
        <w:rPr>
          <w:rFonts w:ascii="华文楷体" w:hAnsi="华文楷体" w:eastAsia="华文楷体" w:cs="华文楷体"/>
          <w:color w:val="0000FF"/>
          <w:szCs w:val="20"/>
        </w:rPr>
      </w:pPr>
      <w:r>
        <w:rPr>
          <w:rFonts w:hint="eastAsia" w:ascii="华文楷体" w:hAnsi="华文楷体" w:eastAsia="华文楷体" w:cs="华文楷体"/>
          <w:color w:val="0000FF"/>
          <w:szCs w:val="20"/>
        </w:rPr>
        <w:t>表</w:t>
      </w:r>
      <w:r>
        <w:rPr>
          <w:rFonts w:ascii="华文楷体" w:hAnsi="华文楷体" w:eastAsia="华文楷体" w:cs="华文楷体"/>
          <w:color w:val="0000FF"/>
          <w:szCs w:val="20"/>
        </w:rPr>
        <w:t xml:space="preserve">11.4.1-1  </w:t>
      </w:r>
      <w:r>
        <w:rPr>
          <w:rFonts w:hint="eastAsia" w:ascii="华文楷体" w:hAnsi="华文楷体" w:eastAsia="华文楷体" w:cs="华文楷体"/>
          <w:color w:val="0000FF"/>
          <w:szCs w:val="20"/>
        </w:rPr>
        <w:t>建筑物施工放线的允许偏差</w:t>
      </w:r>
    </w:p>
    <w:tbl>
      <w:tblPr>
        <w:tblStyle w:val="2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2870"/>
        <w:gridCol w:w="2040"/>
        <w:gridCol w:w="2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38" w:type="dxa"/>
            <w:gridSpan w:val="2"/>
            <w:tcBorders>
              <w:top w:val="single" w:color="auto" w:sz="12" w:space="0"/>
            </w:tcBorders>
            <w:vAlign w:val="center"/>
          </w:tcPr>
          <w:p>
            <w:pPr>
              <w:widowControl/>
              <w:adjustRightInd/>
              <w:spacing w:line="240" w:lineRule="auto"/>
              <w:jc w:val="center"/>
              <w:rPr>
                <w:rFonts w:ascii="楷体" w:hAnsi="楷体" w:eastAsia="楷体"/>
                <w:bCs/>
                <w:color w:val="0000FF"/>
                <w:kern w:val="0"/>
                <w:sz w:val="18"/>
                <w:szCs w:val="18"/>
              </w:rPr>
            </w:pPr>
            <w:r>
              <w:rPr>
                <w:rFonts w:hint="eastAsia" w:ascii="楷体" w:hAnsi="楷体" w:eastAsia="楷体"/>
                <w:bCs/>
                <w:color w:val="0000FF"/>
                <w:kern w:val="0"/>
                <w:sz w:val="18"/>
                <w:szCs w:val="18"/>
              </w:rPr>
              <w:t>项目</w:t>
            </w:r>
          </w:p>
        </w:tc>
        <w:tc>
          <w:tcPr>
            <w:tcW w:w="2040" w:type="dxa"/>
            <w:tcBorders>
              <w:top w:val="single" w:color="auto" w:sz="12" w:space="0"/>
            </w:tcBorders>
            <w:vAlign w:val="center"/>
          </w:tcPr>
          <w:p>
            <w:pPr>
              <w:widowControl/>
              <w:adjustRightInd/>
              <w:spacing w:line="240" w:lineRule="auto"/>
              <w:jc w:val="center"/>
              <w:rPr>
                <w:rFonts w:ascii="楷体" w:hAnsi="楷体" w:eastAsia="楷体"/>
                <w:bCs/>
                <w:color w:val="0000FF"/>
                <w:kern w:val="0"/>
                <w:sz w:val="18"/>
                <w:szCs w:val="18"/>
              </w:rPr>
            </w:pPr>
            <w:r>
              <w:rPr>
                <w:rFonts w:hint="eastAsia" w:ascii="楷体" w:hAnsi="楷体" w:eastAsia="楷体"/>
                <w:bCs/>
                <w:color w:val="0000FF"/>
                <w:kern w:val="0"/>
                <w:sz w:val="18"/>
                <w:szCs w:val="18"/>
              </w:rPr>
              <w:t>允许偏差</w:t>
            </w:r>
            <w:r>
              <w:rPr>
                <w:rFonts w:ascii="楷体" w:hAnsi="楷体" w:eastAsia="楷体"/>
                <w:bCs/>
                <w:i/>
                <w:iCs/>
                <w:color w:val="0000FF"/>
                <w:kern w:val="0"/>
                <w:sz w:val="18"/>
                <w:szCs w:val="18"/>
              </w:rPr>
              <w:t>a</w:t>
            </w:r>
            <w:r>
              <w:rPr>
                <w:rFonts w:hint="eastAsia" w:ascii="楷体" w:hAnsi="楷体" w:eastAsia="楷体"/>
                <w:bCs/>
                <w:color w:val="0000FF"/>
                <w:kern w:val="0"/>
                <w:sz w:val="18"/>
                <w:szCs w:val="18"/>
              </w:rPr>
              <w:t>（</w:t>
            </w:r>
            <w:r>
              <w:rPr>
                <w:rFonts w:ascii="楷体" w:hAnsi="楷体" w:eastAsia="楷体"/>
                <w:bCs/>
                <w:color w:val="0000FF"/>
                <w:kern w:val="0"/>
                <w:sz w:val="18"/>
                <w:szCs w:val="18"/>
              </w:rPr>
              <w:t>mm)</w:t>
            </w:r>
          </w:p>
        </w:tc>
        <w:tc>
          <w:tcPr>
            <w:tcW w:w="2582" w:type="dxa"/>
            <w:tcBorders>
              <w:top w:val="single" w:color="auto" w:sz="12" w:space="0"/>
            </w:tcBorders>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cs="宋体"/>
                <w:bCs/>
                <w:color w:val="0000FF"/>
                <w:kern w:val="0"/>
                <w:sz w:val="18"/>
                <w:szCs w:val="18"/>
              </w:rPr>
              <w:t>图</w:t>
            </w:r>
            <w:r>
              <w:rPr>
                <w:rFonts w:ascii="楷体" w:hAnsi="楷体" w:eastAsia="楷体" w:cs="宋体"/>
                <w:bCs/>
                <w:color w:val="0000FF"/>
                <w:kern w:val="0"/>
                <w:sz w:val="18"/>
                <w:szCs w:val="18"/>
              </w:rPr>
              <w:t xml:space="preserve">  </w:t>
            </w:r>
            <w:r>
              <w:rPr>
                <w:rFonts w:hint="eastAsia" w:ascii="楷体" w:hAnsi="楷体" w:eastAsia="楷体" w:cs="宋体"/>
                <w:bCs/>
                <w:color w:val="0000FF"/>
                <w:kern w:val="0"/>
                <w:sz w:val="18"/>
                <w:szCs w:val="18"/>
              </w:rPr>
              <w:t>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8" w:type="dxa"/>
            <w:vMerge w:val="restart"/>
            <w:tcBorders>
              <w:top w:val="single" w:color="auto" w:sz="12" w:space="0"/>
            </w:tcBorders>
            <w:vAlign w:val="center"/>
          </w:tcPr>
          <w:p>
            <w:pPr>
              <w:widowControl/>
              <w:adjustRightInd/>
              <w:spacing w:line="240" w:lineRule="auto"/>
              <w:ind w:left="-55" w:leftChars="-26" w:right="-92" w:rightChars="-44"/>
              <w:jc w:val="center"/>
              <w:rPr>
                <w:rFonts w:ascii="楷体" w:hAnsi="楷体" w:eastAsia="楷体"/>
                <w:bCs/>
                <w:color w:val="0000FF"/>
                <w:kern w:val="0"/>
                <w:sz w:val="18"/>
                <w:szCs w:val="18"/>
              </w:rPr>
            </w:pPr>
            <w:r>
              <w:rPr>
                <w:rFonts w:hint="eastAsia" w:ascii="楷体" w:hAnsi="楷体" w:eastAsia="楷体"/>
                <w:bCs/>
                <w:color w:val="0000FF"/>
                <w:kern w:val="0"/>
                <w:sz w:val="18"/>
                <w:szCs w:val="18"/>
              </w:rPr>
              <w:t>外廓主轴线位置的放线偏差</w:t>
            </w:r>
          </w:p>
        </w:tc>
        <w:tc>
          <w:tcPr>
            <w:tcW w:w="2870" w:type="dxa"/>
            <w:tcBorders>
              <w:top w:val="single" w:color="auto" w:sz="12" w:space="0"/>
              <w:left w:val="nil"/>
            </w:tcBorders>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相邻层主轴线的相对位置</w:t>
            </w:r>
          </w:p>
        </w:tc>
        <w:tc>
          <w:tcPr>
            <w:tcW w:w="2040" w:type="dxa"/>
            <w:tcBorders>
              <w:top w:val="single" w:color="auto" w:sz="12" w:space="0"/>
            </w:tcBorders>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3.0</w:t>
            </w:r>
          </w:p>
        </w:tc>
        <w:tc>
          <w:tcPr>
            <w:tcW w:w="2582" w:type="dxa"/>
            <w:vMerge w:val="restart"/>
            <w:tcBorders>
              <w:top w:val="single" w:color="auto" w:sz="12" w:space="0"/>
            </w:tcBorders>
            <w:vAlign w:val="center"/>
          </w:tcPr>
          <w:p>
            <w:pPr>
              <w:widowControl/>
              <w:adjustRightInd/>
              <w:spacing w:line="240" w:lineRule="auto"/>
              <w:ind w:firstLine="480"/>
              <w:jc w:val="center"/>
              <w:rPr>
                <w:rFonts w:ascii="楷体" w:hAnsi="楷体" w:eastAsia="楷体" w:cs="宋体"/>
                <w:bCs/>
                <w:color w:val="0000FF"/>
                <w:kern w:val="0"/>
                <w:sz w:val="18"/>
                <w:szCs w:val="18"/>
              </w:rPr>
            </w:pPr>
            <w:r>
              <w:rPr>
                <w:rFonts w:ascii="楷体" w:hAnsi="楷体" w:eastAsia="楷体" w:cs="宋体"/>
                <w:color w:val="0000FF"/>
                <w:sz w:val="18"/>
                <w:szCs w:val="18"/>
              </w:rPr>
              <w:drawing>
                <wp:inline distT="0" distB="0" distL="0" distR="0">
                  <wp:extent cx="1026160" cy="727710"/>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a:xfrm>
                            <a:off x="0" y="0"/>
                            <a:ext cx="1026160" cy="7277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7" w:hRule="atLeast"/>
          <w:jc w:val="center"/>
        </w:trPr>
        <w:tc>
          <w:tcPr>
            <w:tcW w:w="1568" w:type="dxa"/>
            <w:vMerge w:val="continue"/>
            <w:tcBorders>
              <w:top w:val="single" w:color="auto" w:sz="12" w:space="0"/>
            </w:tcBorders>
            <w:vAlign w:val="center"/>
          </w:tcPr>
          <w:p>
            <w:pPr>
              <w:adjustRightInd/>
              <w:spacing w:line="240" w:lineRule="auto"/>
              <w:rPr>
                <w:rFonts w:ascii="楷体" w:hAnsi="楷体" w:eastAsia="楷体"/>
                <w:bCs/>
                <w:color w:val="0000FF"/>
                <w:sz w:val="18"/>
                <w:szCs w:val="18"/>
              </w:rPr>
            </w:pPr>
          </w:p>
        </w:tc>
        <w:tc>
          <w:tcPr>
            <w:tcW w:w="2870" w:type="dxa"/>
            <w:tcBorders>
              <w:left w:val="nil"/>
            </w:tcBorders>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高</w:t>
            </w:r>
            <w:r>
              <w:rPr>
                <w:rFonts w:ascii="楷体" w:hAnsi="楷体" w:eastAsia="楷体"/>
                <w:bCs/>
                <w:i/>
                <w:iCs/>
                <w:color w:val="0000FF"/>
                <w:kern w:val="0"/>
                <w:sz w:val="18"/>
                <w:szCs w:val="18"/>
              </w:rPr>
              <w:t>Z</w:t>
            </w:r>
            <w:r>
              <w:rPr>
                <w:rFonts w:hint="eastAsia" w:ascii="楷体" w:hAnsi="楷体" w:eastAsia="楷体"/>
                <w:bCs/>
                <w:color w:val="0000FF"/>
                <w:kern w:val="0"/>
                <w:sz w:val="18"/>
                <w:szCs w:val="18"/>
              </w:rPr>
              <w:t>处楼面与首层相对位置</w:t>
            </w:r>
          </w:p>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i/>
                <w:iCs/>
                <w:color w:val="0000FF"/>
                <w:kern w:val="0"/>
                <w:sz w:val="18"/>
                <w:szCs w:val="18"/>
              </w:rPr>
              <w:t>Z</w:t>
            </w:r>
            <w:r>
              <w:rPr>
                <w:rFonts w:hint="eastAsia" w:ascii="楷体" w:hAnsi="楷体" w:eastAsia="楷体"/>
                <w:bCs/>
                <w:color w:val="0000FF"/>
                <w:kern w:val="0"/>
                <w:sz w:val="18"/>
                <w:szCs w:val="18"/>
              </w:rPr>
              <w:t>≤</w:t>
            </w:r>
            <w:r>
              <w:rPr>
                <w:rFonts w:ascii="楷体" w:hAnsi="楷体" w:eastAsia="楷体"/>
                <w:bCs/>
                <w:color w:val="0000FF"/>
                <w:kern w:val="0"/>
                <w:sz w:val="18"/>
                <w:szCs w:val="18"/>
              </w:rPr>
              <w:t>30m</w:t>
            </w:r>
          </w:p>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30m&lt;</w:t>
            </w:r>
            <w:r>
              <w:rPr>
                <w:rFonts w:ascii="楷体" w:hAnsi="楷体" w:eastAsia="楷体"/>
                <w:bCs/>
                <w:i/>
                <w:iCs/>
                <w:color w:val="0000FF"/>
                <w:kern w:val="0"/>
                <w:sz w:val="18"/>
                <w:szCs w:val="18"/>
              </w:rPr>
              <w:t>Z</w:t>
            </w:r>
            <w:r>
              <w:rPr>
                <w:rFonts w:hint="eastAsia" w:ascii="楷体" w:hAnsi="楷体" w:eastAsia="楷体"/>
                <w:bCs/>
                <w:color w:val="0000FF"/>
                <w:kern w:val="0"/>
                <w:sz w:val="18"/>
                <w:szCs w:val="18"/>
              </w:rPr>
              <w:t>≤</w:t>
            </w:r>
            <w:r>
              <w:rPr>
                <w:rFonts w:ascii="楷体" w:hAnsi="楷体" w:eastAsia="楷体"/>
                <w:bCs/>
                <w:color w:val="0000FF"/>
                <w:kern w:val="0"/>
                <w:sz w:val="18"/>
                <w:szCs w:val="18"/>
              </w:rPr>
              <w:t>60m</w:t>
            </w:r>
            <w:r>
              <w:rPr>
                <w:rFonts w:hint="eastAsia" w:ascii="楷体" w:hAnsi="楷体" w:eastAsia="楷体"/>
                <w:bCs/>
                <w:color w:val="0000FF"/>
                <w:kern w:val="0"/>
                <w:sz w:val="18"/>
                <w:szCs w:val="18"/>
              </w:rPr>
              <w:t>标准</w:t>
            </w:r>
          </w:p>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60m&lt;</w:t>
            </w:r>
            <w:r>
              <w:rPr>
                <w:rFonts w:ascii="楷体" w:hAnsi="楷体" w:eastAsia="楷体"/>
                <w:bCs/>
                <w:i/>
                <w:iCs/>
                <w:color w:val="0000FF"/>
                <w:kern w:val="0"/>
                <w:sz w:val="18"/>
                <w:szCs w:val="18"/>
              </w:rPr>
              <w:t>Z</w:t>
            </w:r>
            <w:r>
              <w:rPr>
                <w:rFonts w:hint="eastAsia" w:ascii="楷体" w:hAnsi="楷体" w:eastAsia="楷体"/>
                <w:bCs/>
                <w:color w:val="0000FF"/>
                <w:kern w:val="0"/>
                <w:sz w:val="18"/>
                <w:szCs w:val="18"/>
              </w:rPr>
              <w:t>≤</w:t>
            </w:r>
            <w:r>
              <w:rPr>
                <w:rFonts w:ascii="楷体" w:hAnsi="楷体" w:eastAsia="楷体"/>
                <w:bCs/>
                <w:color w:val="0000FF"/>
                <w:kern w:val="0"/>
                <w:sz w:val="18"/>
                <w:szCs w:val="18"/>
              </w:rPr>
              <w:t>90m</w:t>
            </w:r>
          </w:p>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90m&lt;</w:t>
            </w:r>
            <w:r>
              <w:rPr>
                <w:rFonts w:ascii="楷体" w:hAnsi="楷体" w:eastAsia="楷体"/>
                <w:bCs/>
                <w:i/>
                <w:iCs/>
                <w:color w:val="0000FF"/>
                <w:kern w:val="0"/>
                <w:sz w:val="18"/>
                <w:szCs w:val="18"/>
              </w:rPr>
              <w:t>Z</w:t>
            </w:r>
            <w:r>
              <w:rPr>
                <w:rFonts w:hint="eastAsia" w:ascii="楷体" w:hAnsi="楷体" w:eastAsia="楷体"/>
                <w:bCs/>
                <w:color w:val="0000FF"/>
                <w:kern w:val="0"/>
                <w:sz w:val="18"/>
                <w:szCs w:val="18"/>
              </w:rPr>
              <w:t>≤</w:t>
            </w:r>
            <w:r>
              <w:rPr>
                <w:rFonts w:ascii="楷体" w:hAnsi="楷体" w:eastAsia="楷体"/>
                <w:bCs/>
                <w:color w:val="0000FF"/>
                <w:kern w:val="0"/>
                <w:sz w:val="18"/>
                <w:szCs w:val="18"/>
              </w:rPr>
              <w:t>120m</w:t>
            </w:r>
          </w:p>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120m&lt;</w:t>
            </w:r>
            <w:r>
              <w:rPr>
                <w:rFonts w:ascii="楷体" w:hAnsi="楷体" w:eastAsia="楷体"/>
                <w:bCs/>
                <w:i/>
                <w:iCs/>
                <w:color w:val="0000FF"/>
                <w:kern w:val="0"/>
                <w:sz w:val="18"/>
                <w:szCs w:val="18"/>
              </w:rPr>
              <w:t>Z</w:t>
            </w:r>
            <w:r>
              <w:rPr>
                <w:rFonts w:hint="eastAsia" w:ascii="楷体" w:hAnsi="楷体" w:eastAsia="楷体"/>
                <w:bCs/>
                <w:color w:val="0000FF"/>
                <w:kern w:val="0"/>
                <w:sz w:val="18"/>
                <w:szCs w:val="18"/>
              </w:rPr>
              <w:t>≤</w:t>
            </w:r>
            <w:r>
              <w:rPr>
                <w:rFonts w:ascii="楷体" w:hAnsi="楷体" w:eastAsia="楷体"/>
                <w:bCs/>
                <w:color w:val="0000FF"/>
                <w:kern w:val="0"/>
                <w:sz w:val="18"/>
                <w:szCs w:val="18"/>
              </w:rPr>
              <w:t>150m</w:t>
            </w:r>
          </w:p>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i/>
                <w:iCs/>
                <w:color w:val="0000FF"/>
                <w:kern w:val="0"/>
                <w:sz w:val="18"/>
                <w:szCs w:val="18"/>
              </w:rPr>
              <w:t>Z</w:t>
            </w:r>
            <w:r>
              <w:rPr>
                <w:rFonts w:ascii="楷体" w:hAnsi="楷体" w:eastAsia="楷体"/>
                <w:bCs/>
                <w:color w:val="0000FF"/>
                <w:kern w:val="0"/>
                <w:sz w:val="18"/>
                <w:szCs w:val="18"/>
              </w:rPr>
              <w:t>&gt;150m</w:t>
            </w:r>
          </w:p>
        </w:tc>
        <w:tc>
          <w:tcPr>
            <w:tcW w:w="2040" w:type="dxa"/>
            <w:vAlign w:val="center"/>
          </w:tcPr>
          <w:p>
            <w:pPr>
              <w:widowControl/>
              <w:adjustRightInd/>
              <w:spacing w:line="240" w:lineRule="auto"/>
              <w:jc w:val="center"/>
              <w:rPr>
                <w:rFonts w:ascii="楷体" w:hAnsi="楷体" w:eastAsia="楷体"/>
                <w:bCs/>
                <w:color w:val="0000FF"/>
                <w:kern w:val="0"/>
                <w:sz w:val="18"/>
                <w:szCs w:val="18"/>
              </w:rPr>
            </w:pPr>
          </w:p>
          <w:p>
            <w:pPr>
              <w:widowControl/>
              <w:adjustRightInd/>
              <w:spacing w:line="240" w:lineRule="auto"/>
              <w:jc w:val="center"/>
              <w:rPr>
                <w:rFonts w:ascii="楷体" w:hAnsi="楷体" w:eastAsia="楷体"/>
                <w:bCs/>
                <w:color w:val="0000FF"/>
                <w:kern w:val="0"/>
                <w:sz w:val="18"/>
                <w:szCs w:val="18"/>
              </w:rPr>
            </w:pPr>
            <w:r>
              <w:rPr>
                <w:rFonts w:ascii="楷体" w:hAnsi="楷体" w:eastAsia="楷体"/>
                <w:bCs/>
                <w:color w:val="0000FF"/>
                <w:kern w:val="0"/>
                <w:sz w:val="18"/>
                <w:szCs w:val="18"/>
              </w:rPr>
              <w:t>5.0</w:t>
            </w:r>
          </w:p>
          <w:p>
            <w:pPr>
              <w:widowControl/>
              <w:adjustRightInd/>
              <w:spacing w:line="240" w:lineRule="auto"/>
              <w:jc w:val="center"/>
              <w:rPr>
                <w:rFonts w:ascii="楷体" w:hAnsi="楷体" w:eastAsia="楷体"/>
                <w:bCs/>
                <w:color w:val="0000FF"/>
                <w:kern w:val="0"/>
                <w:sz w:val="18"/>
                <w:szCs w:val="18"/>
              </w:rPr>
            </w:pPr>
            <w:r>
              <w:rPr>
                <w:rFonts w:ascii="楷体" w:hAnsi="楷体" w:eastAsia="楷体"/>
                <w:bCs/>
                <w:color w:val="0000FF"/>
                <w:kern w:val="0"/>
                <w:sz w:val="18"/>
                <w:szCs w:val="18"/>
              </w:rPr>
              <w:t>10.0</w:t>
            </w:r>
          </w:p>
          <w:p>
            <w:pPr>
              <w:widowControl/>
              <w:adjustRightInd/>
              <w:spacing w:line="240" w:lineRule="auto"/>
              <w:jc w:val="center"/>
              <w:rPr>
                <w:rFonts w:ascii="楷体" w:hAnsi="楷体" w:eastAsia="楷体"/>
                <w:bCs/>
                <w:color w:val="0000FF"/>
                <w:kern w:val="0"/>
                <w:sz w:val="18"/>
                <w:szCs w:val="18"/>
              </w:rPr>
            </w:pPr>
            <w:r>
              <w:rPr>
                <w:rFonts w:ascii="楷体" w:hAnsi="楷体" w:eastAsia="楷体"/>
                <w:bCs/>
                <w:color w:val="0000FF"/>
                <w:kern w:val="0"/>
                <w:sz w:val="18"/>
                <w:szCs w:val="18"/>
              </w:rPr>
              <w:t>15.0</w:t>
            </w:r>
          </w:p>
          <w:p>
            <w:pPr>
              <w:widowControl/>
              <w:adjustRightInd/>
              <w:spacing w:line="240" w:lineRule="auto"/>
              <w:jc w:val="center"/>
              <w:rPr>
                <w:rFonts w:ascii="楷体" w:hAnsi="楷体" w:eastAsia="楷体"/>
                <w:bCs/>
                <w:color w:val="0000FF"/>
                <w:kern w:val="0"/>
                <w:sz w:val="18"/>
                <w:szCs w:val="18"/>
              </w:rPr>
            </w:pPr>
            <w:r>
              <w:rPr>
                <w:rFonts w:ascii="楷体" w:hAnsi="楷体" w:eastAsia="楷体"/>
                <w:bCs/>
                <w:color w:val="0000FF"/>
                <w:kern w:val="0"/>
                <w:sz w:val="18"/>
                <w:szCs w:val="18"/>
              </w:rPr>
              <w:t>20.0</w:t>
            </w:r>
          </w:p>
          <w:p>
            <w:pPr>
              <w:widowControl/>
              <w:adjustRightInd/>
              <w:spacing w:line="240" w:lineRule="auto"/>
              <w:jc w:val="center"/>
              <w:rPr>
                <w:rFonts w:ascii="楷体" w:hAnsi="楷体" w:eastAsia="楷体"/>
                <w:bCs/>
                <w:color w:val="0000FF"/>
                <w:kern w:val="0"/>
                <w:sz w:val="18"/>
                <w:szCs w:val="18"/>
              </w:rPr>
            </w:pPr>
            <w:r>
              <w:rPr>
                <w:rFonts w:ascii="楷体" w:hAnsi="楷体" w:eastAsia="楷体"/>
                <w:bCs/>
                <w:color w:val="0000FF"/>
                <w:kern w:val="0"/>
                <w:sz w:val="18"/>
                <w:szCs w:val="18"/>
              </w:rPr>
              <w:t>25.0</w:t>
            </w:r>
          </w:p>
          <w:p>
            <w:pPr>
              <w:widowControl/>
              <w:adjustRightInd/>
              <w:spacing w:line="240" w:lineRule="auto"/>
              <w:jc w:val="center"/>
              <w:rPr>
                <w:rFonts w:ascii="楷体" w:hAnsi="楷体" w:eastAsia="楷体"/>
                <w:bCs/>
                <w:color w:val="0000FF"/>
                <w:kern w:val="0"/>
                <w:sz w:val="18"/>
                <w:szCs w:val="18"/>
              </w:rPr>
            </w:pPr>
            <w:r>
              <w:rPr>
                <w:rFonts w:ascii="楷体" w:hAnsi="楷体" w:eastAsia="楷体"/>
                <w:bCs/>
                <w:color w:val="0000FF"/>
                <w:kern w:val="0"/>
                <w:sz w:val="18"/>
                <w:szCs w:val="18"/>
              </w:rPr>
              <w:t>30.0</w:t>
            </w:r>
          </w:p>
        </w:tc>
        <w:tc>
          <w:tcPr>
            <w:tcW w:w="2582" w:type="dxa"/>
            <w:vMerge w:val="continue"/>
            <w:tcBorders>
              <w:top w:val="single" w:color="auto" w:sz="12" w:space="0"/>
            </w:tcBorders>
            <w:vAlign w:val="center"/>
          </w:tcPr>
          <w:p>
            <w:pPr>
              <w:adjustRightInd/>
              <w:spacing w:line="240" w:lineRule="auto"/>
              <w:rPr>
                <w:rFonts w:ascii="楷体" w:hAnsi="楷体" w:eastAsia="楷体" w:cs="宋体"/>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3" w:hRule="atLeast"/>
          <w:jc w:val="center"/>
        </w:trPr>
        <w:tc>
          <w:tcPr>
            <w:tcW w:w="1568" w:type="dxa"/>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基础及各层</w:t>
            </w:r>
          </w:p>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外廓主轴线</w:t>
            </w:r>
          </w:p>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长度</w:t>
            </w:r>
            <w:r>
              <w:rPr>
                <w:rFonts w:ascii="楷体" w:hAnsi="楷体" w:eastAsia="楷体"/>
                <w:bCs/>
                <w:color w:val="0000FF"/>
                <w:kern w:val="0"/>
                <w:sz w:val="18"/>
                <w:szCs w:val="18"/>
              </w:rPr>
              <w:t>L</w:t>
            </w:r>
            <w:r>
              <w:rPr>
                <w:rFonts w:hint="eastAsia" w:ascii="楷体" w:hAnsi="楷体" w:eastAsia="楷体"/>
                <w:bCs/>
                <w:color w:val="0000FF"/>
                <w:kern w:val="0"/>
                <w:sz w:val="18"/>
                <w:szCs w:val="18"/>
              </w:rPr>
              <w:t>、</w:t>
            </w:r>
            <w:r>
              <w:rPr>
                <w:rFonts w:ascii="楷体" w:hAnsi="楷体" w:eastAsia="楷体"/>
                <w:bCs/>
                <w:color w:val="0000FF"/>
                <w:kern w:val="0"/>
                <w:sz w:val="18"/>
                <w:szCs w:val="18"/>
              </w:rPr>
              <w:t>B</w:t>
            </w:r>
          </w:p>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的放线偏差</w:t>
            </w:r>
          </w:p>
        </w:tc>
        <w:tc>
          <w:tcPr>
            <w:tcW w:w="2870" w:type="dxa"/>
            <w:tcBorders>
              <w:left w:val="nil"/>
            </w:tcBorders>
            <w:vAlign w:val="center"/>
          </w:tcPr>
          <w:p>
            <w:pPr>
              <w:widowControl/>
              <w:adjustRightInd/>
              <w:spacing w:line="240" w:lineRule="auto"/>
              <w:ind w:left="-65" w:leftChars="-31" w:right="-65" w:rightChars="-31"/>
              <w:jc w:val="center"/>
              <w:rPr>
                <w:rFonts w:ascii="楷体" w:hAnsi="楷体" w:eastAsia="楷体" w:cs="宋体"/>
                <w:bCs/>
                <w:color w:val="0000FF"/>
                <w:kern w:val="0"/>
                <w:sz w:val="18"/>
                <w:szCs w:val="18"/>
              </w:rPr>
            </w:pPr>
            <w:r>
              <w:rPr>
                <w:rFonts w:ascii="楷体" w:hAnsi="楷体" w:eastAsia="楷体"/>
                <w:bCs/>
                <w:i/>
                <w:iCs/>
                <w:color w:val="0000FF"/>
                <w:kern w:val="0"/>
                <w:sz w:val="18"/>
                <w:szCs w:val="18"/>
              </w:rPr>
              <w:t>L</w:t>
            </w:r>
            <w:r>
              <w:rPr>
                <w:rFonts w:ascii="楷体" w:hAnsi="楷体" w:eastAsia="楷体"/>
                <w:bCs/>
                <w:color w:val="0000FF"/>
                <w:kern w:val="0"/>
                <w:sz w:val="18"/>
                <w:szCs w:val="18"/>
              </w:rPr>
              <w:t>(</w:t>
            </w:r>
            <w:r>
              <w:rPr>
                <w:rFonts w:ascii="楷体" w:hAnsi="楷体" w:eastAsia="楷体"/>
                <w:bCs/>
                <w:i/>
                <w:iCs/>
                <w:color w:val="0000FF"/>
                <w:kern w:val="0"/>
                <w:sz w:val="18"/>
                <w:szCs w:val="18"/>
              </w:rPr>
              <w:t>B</w:t>
            </w:r>
            <w:r>
              <w:rPr>
                <w:rFonts w:ascii="楷体" w:hAnsi="楷体" w:eastAsia="楷体"/>
                <w:bCs/>
                <w:color w:val="0000FF"/>
                <w:kern w:val="0"/>
                <w:sz w:val="18"/>
                <w:szCs w:val="18"/>
              </w:rPr>
              <w:t>)</w:t>
            </w:r>
            <w:r>
              <w:rPr>
                <w:rFonts w:hint="eastAsia" w:ascii="楷体" w:hAnsi="楷体" w:eastAsia="楷体"/>
                <w:bCs/>
                <w:color w:val="0000FF"/>
                <w:kern w:val="0"/>
                <w:sz w:val="18"/>
                <w:szCs w:val="18"/>
              </w:rPr>
              <w:t>≤</w:t>
            </w:r>
            <w:r>
              <w:rPr>
                <w:rFonts w:ascii="楷体" w:hAnsi="楷体" w:eastAsia="楷体"/>
                <w:bCs/>
                <w:color w:val="0000FF"/>
                <w:kern w:val="0"/>
                <w:sz w:val="18"/>
                <w:szCs w:val="18"/>
              </w:rPr>
              <w:t>30m</w:t>
            </w:r>
          </w:p>
          <w:p>
            <w:pPr>
              <w:widowControl/>
              <w:adjustRightInd/>
              <w:spacing w:line="240" w:lineRule="auto"/>
              <w:ind w:left="-65" w:leftChars="-31" w:right="-65" w:rightChars="-31"/>
              <w:jc w:val="center"/>
              <w:rPr>
                <w:rFonts w:ascii="楷体" w:hAnsi="楷体" w:eastAsia="楷体" w:cs="宋体"/>
                <w:bCs/>
                <w:color w:val="0000FF"/>
                <w:kern w:val="0"/>
                <w:sz w:val="18"/>
                <w:szCs w:val="18"/>
              </w:rPr>
            </w:pPr>
            <w:r>
              <w:rPr>
                <w:rFonts w:ascii="楷体" w:hAnsi="楷体" w:eastAsia="楷体"/>
                <w:bCs/>
                <w:color w:val="0000FF"/>
                <w:kern w:val="0"/>
                <w:sz w:val="18"/>
                <w:szCs w:val="18"/>
              </w:rPr>
              <w:t>30m&lt;</w:t>
            </w:r>
            <w:r>
              <w:rPr>
                <w:rFonts w:ascii="楷体" w:hAnsi="楷体" w:eastAsia="楷体"/>
                <w:bCs/>
                <w:i/>
                <w:iCs/>
                <w:color w:val="0000FF"/>
                <w:kern w:val="0"/>
                <w:sz w:val="18"/>
                <w:szCs w:val="18"/>
              </w:rPr>
              <w:t xml:space="preserve"> L</w:t>
            </w:r>
            <w:r>
              <w:rPr>
                <w:rFonts w:ascii="楷体" w:hAnsi="楷体" w:eastAsia="楷体"/>
                <w:bCs/>
                <w:color w:val="0000FF"/>
                <w:kern w:val="0"/>
                <w:sz w:val="18"/>
                <w:szCs w:val="18"/>
              </w:rPr>
              <w:t>(</w:t>
            </w:r>
            <w:r>
              <w:rPr>
                <w:rFonts w:ascii="楷体" w:hAnsi="楷体" w:eastAsia="楷体"/>
                <w:bCs/>
                <w:i/>
                <w:iCs/>
                <w:color w:val="0000FF"/>
                <w:kern w:val="0"/>
                <w:sz w:val="18"/>
                <w:szCs w:val="18"/>
              </w:rPr>
              <w:t>B</w:t>
            </w:r>
            <w:r>
              <w:rPr>
                <w:rFonts w:ascii="楷体" w:hAnsi="楷体" w:eastAsia="楷体"/>
                <w:bCs/>
                <w:color w:val="0000FF"/>
                <w:kern w:val="0"/>
                <w:sz w:val="18"/>
                <w:szCs w:val="18"/>
              </w:rPr>
              <w:t>)</w:t>
            </w:r>
            <w:r>
              <w:rPr>
                <w:rFonts w:hint="eastAsia" w:ascii="楷体" w:hAnsi="楷体" w:eastAsia="楷体"/>
                <w:bCs/>
                <w:color w:val="0000FF"/>
                <w:kern w:val="0"/>
                <w:sz w:val="18"/>
                <w:szCs w:val="18"/>
              </w:rPr>
              <w:t>≤</w:t>
            </w:r>
            <w:r>
              <w:rPr>
                <w:rFonts w:ascii="楷体" w:hAnsi="楷体" w:eastAsia="楷体"/>
                <w:bCs/>
                <w:color w:val="0000FF"/>
                <w:kern w:val="0"/>
                <w:sz w:val="18"/>
                <w:szCs w:val="18"/>
              </w:rPr>
              <w:t>60m</w:t>
            </w:r>
          </w:p>
          <w:p>
            <w:pPr>
              <w:widowControl/>
              <w:adjustRightInd/>
              <w:spacing w:line="240" w:lineRule="auto"/>
              <w:ind w:left="-65" w:leftChars="-31" w:right="-65" w:rightChars="-31"/>
              <w:jc w:val="center"/>
              <w:rPr>
                <w:rFonts w:ascii="楷体" w:hAnsi="楷体" w:eastAsia="楷体" w:cs="宋体"/>
                <w:bCs/>
                <w:color w:val="0000FF"/>
                <w:kern w:val="0"/>
                <w:sz w:val="18"/>
                <w:szCs w:val="18"/>
              </w:rPr>
            </w:pPr>
            <w:r>
              <w:rPr>
                <w:rFonts w:ascii="楷体" w:hAnsi="楷体" w:eastAsia="楷体"/>
                <w:bCs/>
                <w:color w:val="0000FF"/>
                <w:kern w:val="0"/>
                <w:sz w:val="18"/>
                <w:szCs w:val="18"/>
              </w:rPr>
              <w:t>60m&lt;</w:t>
            </w:r>
            <w:r>
              <w:rPr>
                <w:rFonts w:ascii="楷体" w:hAnsi="楷体" w:eastAsia="楷体"/>
                <w:bCs/>
                <w:i/>
                <w:iCs/>
                <w:color w:val="0000FF"/>
                <w:kern w:val="0"/>
                <w:sz w:val="18"/>
                <w:szCs w:val="18"/>
              </w:rPr>
              <w:t xml:space="preserve"> L</w:t>
            </w:r>
            <w:r>
              <w:rPr>
                <w:rFonts w:ascii="楷体" w:hAnsi="楷体" w:eastAsia="楷体"/>
                <w:bCs/>
                <w:color w:val="0000FF"/>
                <w:kern w:val="0"/>
                <w:sz w:val="18"/>
                <w:szCs w:val="18"/>
              </w:rPr>
              <w:t>(</w:t>
            </w:r>
            <w:r>
              <w:rPr>
                <w:rFonts w:ascii="楷体" w:hAnsi="楷体" w:eastAsia="楷体"/>
                <w:bCs/>
                <w:i/>
                <w:iCs/>
                <w:color w:val="0000FF"/>
                <w:kern w:val="0"/>
                <w:sz w:val="18"/>
                <w:szCs w:val="18"/>
              </w:rPr>
              <w:t>B</w:t>
            </w:r>
            <w:r>
              <w:rPr>
                <w:rFonts w:ascii="楷体" w:hAnsi="楷体" w:eastAsia="楷体"/>
                <w:bCs/>
                <w:color w:val="0000FF"/>
                <w:kern w:val="0"/>
                <w:sz w:val="18"/>
                <w:szCs w:val="18"/>
              </w:rPr>
              <w:t>)</w:t>
            </w:r>
            <w:r>
              <w:rPr>
                <w:rFonts w:hint="eastAsia" w:ascii="楷体" w:hAnsi="楷体" w:eastAsia="楷体"/>
                <w:bCs/>
                <w:color w:val="0000FF"/>
                <w:kern w:val="0"/>
                <w:sz w:val="18"/>
                <w:szCs w:val="18"/>
              </w:rPr>
              <w:t>≤</w:t>
            </w:r>
            <w:r>
              <w:rPr>
                <w:rFonts w:ascii="楷体" w:hAnsi="楷体" w:eastAsia="楷体"/>
                <w:bCs/>
                <w:color w:val="0000FF"/>
                <w:kern w:val="0"/>
                <w:sz w:val="18"/>
                <w:szCs w:val="18"/>
              </w:rPr>
              <w:t>90m</w:t>
            </w:r>
          </w:p>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i/>
                <w:iCs/>
                <w:color w:val="0000FF"/>
                <w:kern w:val="0"/>
                <w:sz w:val="18"/>
                <w:szCs w:val="18"/>
              </w:rPr>
              <w:t>L</w:t>
            </w:r>
            <w:r>
              <w:rPr>
                <w:rFonts w:ascii="楷体" w:hAnsi="楷体" w:eastAsia="楷体"/>
                <w:bCs/>
                <w:color w:val="0000FF"/>
                <w:kern w:val="0"/>
                <w:sz w:val="18"/>
                <w:szCs w:val="18"/>
              </w:rPr>
              <w:t>(</w:t>
            </w:r>
            <w:r>
              <w:rPr>
                <w:rFonts w:ascii="楷体" w:hAnsi="楷体" w:eastAsia="楷体"/>
                <w:bCs/>
                <w:i/>
                <w:iCs/>
                <w:color w:val="0000FF"/>
                <w:kern w:val="0"/>
                <w:sz w:val="18"/>
                <w:szCs w:val="18"/>
              </w:rPr>
              <w:t>B</w:t>
            </w:r>
            <w:r>
              <w:rPr>
                <w:rFonts w:ascii="楷体" w:hAnsi="楷体" w:eastAsia="楷体"/>
                <w:bCs/>
                <w:color w:val="0000FF"/>
                <w:kern w:val="0"/>
                <w:sz w:val="18"/>
                <w:szCs w:val="18"/>
              </w:rPr>
              <w:t>)&gt;90m</w:t>
            </w:r>
          </w:p>
        </w:tc>
        <w:tc>
          <w:tcPr>
            <w:tcW w:w="2040" w:type="dxa"/>
            <w:vAlign w:val="center"/>
          </w:tcPr>
          <w:p>
            <w:pPr>
              <w:widowControl/>
              <w:adjustRightInd/>
              <w:spacing w:line="240" w:lineRule="auto"/>
              <w:ind w:left="-65" w:leftChars="-31" w:right="-65" w:rightChars="-31"/>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w:t>
            </w:r>
            <w:r>
              <w:rPr>
                <w:rFonts w:ascii="楷体" w:hAnsi="楷体" w:eastAsia="楷体"/>
                <w:bCs/>
                <w:color w:val="0000FF"/>
                <w:kern w:val="0"/>
                <w:sz w:val="18"/>
                <w:szCs w:val="18"/>
              </w:rPr>
              <w:t>5.0</w:t>
            </w:r>
          </w:p>
          <w:p>
            <w:pPr>
              <w:widowControl/>
              <w:adjustRightInd/>
              <w:spacing w:line="240" w:lineRule="auto"/>
              <w:ind w:left="-65" w:leftChars="-31" w:right="-65" w:rightChars="-31"/>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w:t>
            </w:r>
            <w:r>
              <w:rPr>
                <w:rFonts w:ascii="楷体" w:hAnsi="楷体" w:eastAsia="楷体"/>
                <w:bCs/>
                <w:color w:val="0000FF"/>
                <w:kern w:val="0"/>
                <w:sz w:val="18"/>
                <w:szCs w:val="18"/>
              </w:rPr>
              <w:t>10.0</w:t>
            </w:r>
          </w:p>
          <w:p>
            <w:pPr>
              <w:widowControl/>
              <w:adjustRightInd/>
              <w:spacing w:line="240" w:lineRule="auto"/>
              <w:ind w:left="-65" w:leftChars="-31" w:right="-65" w:rightChars="-31"/>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w:t>
            </w:r>
            <w:r>
              <w:rPr>
                <w:rFonts w:ascii="楷体" w:hAnsi="楷体" w:eastAsia="楷体"/>
                <w:bCs/>
                <w:color w:val="0000FF"/>
                <w:kern w:val="0"/>
                <w:sz w:val="18"/>
                <w:szCs w:val="18"/>
              </w:rPr>
              <w:t>15.0</w:t>
            </w:r>
          </w:p>
          <w:p>
            <w:pPr>
              <w:widowControl/>
              <w:adjustRightInd/>
              <w:spacing w:line="240" w:lineRule="auto"/>
              <w:ind w:left="-31" w:right="-31"/>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w:t>
            </w:r>
            <w:r>
              <w:rPr>
                <w:rFonts w:ascii="楷体" w:hAnsi="楷体" w:eastAsia="楷体"/>
                <w:bCs/>
                <w:color w:val="0000FF"/>
                <w:kern w:val="0"/>
                <w:sz w:val="18"/>
                <w:szCs w:val="18"/>
              </w:rPr>
              <w:t>20.0</w:t>
            </w:r>
          </w:p>
        </w:tc>
        <w:tc>
          <w:tcPr>
            <w:tcW w:w="2582" w:type="dxa"/>
            <w:vAlign w:val="center"/>
          </w:tcPr>
          <w:p>
            <w:pPr>
              <w:widowControl/>
              <w:adjustRightInd/>
              <w:spacing w:line="240" w:lineRule="auto"/>
              <w:ind w:firstLine="480"/>
              <w:jc w:val="center"/>
              <w:rPr>
                <w:rFonts w:ascii="楷体" w:hAnsi="楷体" w:eastAsia="楷体" w:cs="宋体"/>
                <w:bCs/>
                <w:color w:val="0000FF"/>
                <w:kern w:val="0"/>
                <w:sz w:val="18"/>
                <w:szCs w:val="18"/>
              </w:rPr>
            </w:pPr>
            <w:r>
              <w:rPr>
                <w:rFonts w:ascii="楷体" w:hAnsi="楷体" w:eastAsia="楷体" w:cs="宋体"/>
                <w:color w:val="0000FF"/>
                <w:sz w:val="18"/>
                <w:szCs w:val="18"/>
              </w:rPr>
              <w:drawing>
                <wp:inline distT="0" distB="0" distL="0" distR="0">
                  <wp:extent cx="1026160" cy="606425"/>
                  <wp:effectExtent l="0" t="0" r="0" b="31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a:xfrm>
                            <a:off x="0" y="0"/>
                            <a:ext cx="1026160" cy="6064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1" w:hRule="atLeast"/>
          <w:jc w:val="center"/>
        </w:trPr>
        <w:tc>
          <w:tcPr>
            <w:tcW w:w="4438" w:type="dxa"/>
            <w:gridSpan w:val="2"/>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墙、柱、梁及消能部件</w:t>
            </w:r>
          </w:p>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定位轴线位置的放线偏移</w:t>
            </w:r>
          </w:p>
        </w:tc>
        <w:tc>
          <w:tcPr>
            <w:tcW w:w="2040" w:type="dxa"/>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2.0</w:t>
            </w:r>
          </w:p>
        </w:tc>
        <w:tc>
          <w:tcPr>
            <w:tcW w:w="2582" w:type="dxa"/>
            <w:vAlign w:val="center"/>
          </w:tcPr>
          <w:p>
            <w:pPr>
              <w:widowControl/>
              <w:adjustRightInd/>
              <w:spacing w:line="240" w:lineRule="auto"/>
              <w:ind w:firstLine="480"/>
              <w:jc w:val="center"/>
              <w:rPr>
                <w:rFonts w:ascii="楷体" w:hAnsi="楷体" w:eastAsia="楷体" w:cs="宋体"/>
                <w:bCs/>
                <w:color w:val="0000FF"/>
                <w:kern w:val="0"/>
                <w:sz w:val="18"/>
                <w:szCs w:val="18"/>
              </w:rPr>
            </w:pPr>
            <w:r>
              <w:rPr>
                <w:rFonts w:ascii="楷体" w:hAnsi="楷体" w:eastAsia="楷体" w:cs="宋体"/>
                <w:color w:val="0000FF"/>
                <w:sz w:val="18"/>
                <w:szCs w:val="18"/>
              </w:rPr>
              <w:drawing>
                <wp:inline distT="0" distB="0" distL="0" distR="0">
                  <wp:extent cx="848995" cy="56007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a:xfrm>
                            <a:off x="0" y="0"/>
                            <a:ext cx="848995" cy="5600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38" w:type="dxa"/>
            <w:gridSpan w:val="2"/>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墙、柱、梁及消能部件</w:t>
            </w:r>
          </w:p>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定位轴线位置的放线偏移</w:t>
            </w:r>
          </w:p>
        </w:tc>
        <w:tc>
          <w:tcPr>
            <w:tcW w:w="2040" w:type="dxa"/>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3.0</w:t>
            </w:r>
          </w:p>
        </w:tc>
        <w:tc>
          <w:tcPr>
            <w:tcW w:w="2582" w:type="dxa"/>
            <w:vAlign w:val="center"/>
          </w:tcPr>
          <w:p>
            <w:pPr>
              <w:widowControl/>
              <w:adjustRightInd/>
              <w:spacing w:line="240" w:lineRule="auto"/>
              <w:ind w:firstLine="480"/>
              <w:jc w:val="center"/>
              <w:rPr>
                <w:rFonts w:ascii="楷体" w:hAnsi="楷体" w:eastAsia="楷体" w:cs="宋体"/>
                <w:bCs/>
                <w:color w:val="0000FF"/>
                <w:kern w:val="0"/>
                <w:sz w:val="18"/>
                <w:szCs w:val="18"/>
              </w:rPr>
            </w:pPr>
            <w:r>
              <w:rPr>
                <w:rFonts w:ascii="楷体" w:hAnsi="楷体" w:eastAsia="楷体" w:cs="宋体"/>
                <w:color w:val="0000FF"/>
                <w:sz w:val="18"/>
                <w:szCs w:val="18"/>
              </w:rPr>
              <w:drawing>
                <wp:inline distT="0" distB="0" distL="0" distR="0">
                  <wp:extent cx="932815" cy="588010"/>
                  <wp:effectExtent l="0" t="0" r="635"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a:xfrm>
                            <a:off x="0" y="0"/>
                            <a:ext cx="932815" cy="5880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8" w:type="dxa"/>
            <w:vMerge w:val="restart"/>
            <w:tcBorders>
              <w:bottom w:val="single" w:color="auto" w:sz="12" w:space="0"/>
            </w:tcBorders>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结构层标高点</w:t>
            </w:r>
          </w:p>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放样偏差</w:t>
            </w:r>
          </w:p>
        </w:tc>
        <w:tc>
          <w:tcPr>
            <w:tcW w:w="2870" w:type="dxa"/>
            <w:tcBorders>
              <w:left w:val="nil"/>
            </w:tcBorders>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相邻楼层或柱节的相对标高</w:t>
            </w:r>
          </w:p>
        </w:tc>
        <w:tc>
          <w:tcPr>
            <w:tcW w:w="2040" w:type="dxa"/>
            <w:vAlign w:val="center"/>
          </w:tcPr>
          <w:p>
            <w:pPr>
              <w:widowControl/>
              <w:adjustRightInd/>
              <w:spacing w:line="240" w:lineRule="auto"/>
              <w:ind w:left="-23" w:leftChars="-11"/>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w:t>
            </w:r>
            <w:r>
              <w:rPr>
                <w:rFonts w:ascii="楷体" w:hAnsi="楷体" w:eastAsia="楷体"/>
                <w:bCs/>
                <w:color w:val="0000FF"/>
                <w:kern w:val="0"/>
                <w:sz w:val="18"/>
                <w:szCs w:val="18"/>
              </w:rPr>
              <w:t>3.0</w:t>
            </w:r>
          </w:p>
        </w:tc>
        <w:tc>
          <w:tcPr>
            <w:tcW w:w="2582" w:type="dxa"/>
            <w:vMerge w:val="restart"/>
            <w:tcBorders>
              <w:bottom w:val="single" w:color="auto" w:sz="12" w:space="0"/>
            </w:tcBorders>
            <w:vAlign w:val="center"/>
          </w:tcPr>
          <w:p>
            <w:pPr>
              <w:widowControl/>
              <w:adjustRightInd/>
              <w:spacing w:line="240" w:lineRule="auto"/>
              <w:ind w:firstLine="480"/>
              <w:jc w:val="center"/>
              <w:rPr>
                <w:rFonts w:ascii="楷体" w:hAnsi="楷体" w:eastAsia="楷体" w:cs="宋体"/>
                <w:bCs/>
                <w:color w:val="0000FF"/>
                <w:kern w:val="0"/>
                <w:sz w:val="18"/>
                <w:szCs w:val="18"/>
              </w:rPr>
            </w:pPr>
            <w:r>
              <w:rPr>
                <w:rFonts w:ascii="楷体" w:hAnsi="楷体" w:eastAsia="楷体" w:cs="宋体"/>
                <w:color w:val="0000FF"/>
                <w:sz w:val="18"/>
                <w:szCs w:val="18"/>
              </w:rPr>
              <w:drawing>
                <wp:inline distT="0" distB="0" distL="0" distR="0">
                  <wp:extent cx="858520" cy="755650"/>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a:xfrm>
                            <a:off x="0" y="0"/>
                            <a:ext cx="858520" cy="7556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8" w:hRule="atLeast"/>
          <w:jc w:val="center"/>
        </w:trPr>
        <w:tc>
          <w:tcPr>
            <w:tcW w:w="1568" w:type="dxa"/>
            <w:vMerge w:val="continue"/>
            <w:tcBorders>
              <w:bottom w:val="single" w:color="auto" w:sz="12" w:space="0"/>
            </w:tcBorders>
            <w:vAlign w:val="center"/>
          </w:tcPr>
          <w:p>
            <w:pPr>
              <w:adjustRightInd/>
              <w:spacing w:line="240" w:lineRule="auto"/>
              <w:rPr>
                <w:rFonts w:ascii="楷体" w:hAnsi="楷体" w:eastAsia="楷体" w:cs="宋体"/>
                <w:bCs/>
                <w:color w:val="0000FF"/>
                <w:sz w:val="18"/>
                <w:szCs w:val="18"/>
              </w:rPr>
            </w:pPr>
          </w:p>
        </w:tc>
        <w:tc>
          <w:tcPr>
            <w:tcW w:w="2870" w:type="dxa"/>
            <w:tcBorders>
              <w:left w:val="nil"/>
              <w:bottom w:val="single" w:color="auto" w:sz="12" w:space="0"/>
            </w:tcBorders>
            <w:vAlign w:val="center"/>
          </w:tcPr>
          <w:p>
            <w:pPr>
              <w:widowControl/>
              <w:adjustRightInd/>
              <w:spacing w:line="240" w:lineRule="auto"/>
              <w:ind w:left="-65" w:leftChars="-31" w:right="-65" w:rightChars="-31"/>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高</w:t>
            </w:r>
            <w:r>
              <w:rPr>
                <w:rFonts w:ascii="楷体" w:hAnsi="楷体" w:eastAsia="楷体"/>
                <w:bCs/>
                <w:i/>
                <w:iCs/>
                <w:color w:val="0000FF"/>
                <w:kern w:val="0"/>
                <w:sz w:val="18"/>
                <w:szCs w:val="18"/>
              </w:rPr>
              <w:t>Z</w:t>
            </w:r>
            <w:r>
              <w:rPr>
                <w:rFonts w:hint="eastAsia" w:ascii="楷体" w:hAnsi="楷体" w:eastAsia="楷体"/>
                <w:bCs/>
                <w:color w:val="0000FF"/>
                <w:kern w:val="0"/>
                <w:sz w:val="18"/>
                <w:szCs w:val="18"/>
              </w:rPr>
              <w:t>处楼面与地面相对标高</w:t>
            </w:r>
          </w:p>
          <w:p>
            <w:pPr>
              <w:widowControl/>
              <w:adjustRightInd/>
              <w:spacing w:line="240" w:lineRule="auto"/>
              <w:ind w:left="-65" w:leftChars="-31" w:right="-65" w:rightChars="-31"/>
              <w:jc w:val="center"/>
              <w:rPr>
                <w:rFonts w:ascii="楷体" w:hAnsi="楷体" w:eastAsia="楷体" w:cs="宋体"/>
                <w:bCs/>
                <w:color w:val="0000FF"/>
                <w:kern w:val="0"/>
                <w:sz w:val="18"/>
                <w:szCs w:val="18"/>
              </w:rPr>
            </w:pPr>
            <w:r>
              <w:rPr>
                <w:rFonts w:ascii="楷体" w:hAnsi="楷体" w:eastAsia="楷体"/>
                <w:bCs/>
                <w:i/>
                <w:iCs/>
                <w:color w:val="0000FF"/>
                <w:kern w:val="0"/>
                <w:sz w:val="18"/>
                <w:szCs w:val="18"/>
              </w:rPr>
              <w:t>Z</w:t>
            </w:r>
            <w:r>
              <w:rPr>
                <w:rFonts w:hint="eastAsia" w:ascii="楷体" w:hAnsi="楷体" w:eastAsia="楷体"/>
                <w:bCs/>
                <w:color w:val="0000FF"/>
                <w:kern w:val="0"/>
                <w:sz w:val="18"/>
                <w:szCs w:val="18"/>
              </w:rPr>
              <w:t>≤</w:t>
            </w:r>
            <w:r>
              <w:rPr>
                <w:rFonts w:ascii="楷体" w:hAnsi="楷体" w:eastAsia="楷体"/>
                <w:bCs/>
                <w:color w:val="0000FF"/>
                <w:kern w:val="0"/>
                <w:sz w:val="18"/>
                <w:szCs w:val="18"/>
              </w:rPr>
              <w:t>30m</w:t>
            </w:r>
          </w:p>
          <w:p>
            <w:pPr>
              <w:widowControl/>
              <w:adjustRightInd/>
              <w:spacing w:line="240" w:lineRule="auto"/>
              <w:ind w:left="-65" w:leftChars="-31" w:right="-65" w:rightChars="-31"/>
              <w:jc w:val="center"/>
              <w:rPr>
                <w:rFonts w:ascii="楷体" w:hAnsi="楷体" w:eastAsia="楷体" w:cs="宋体"/>
                <w:bCs/>
                <w:color w:val="0000FF"/>
                <w:kern w:val="0"/>
                <w:sz w:val="18"/>
                <w:szCs w:val="18"/>
              </w:rPr>
            </w:pPr>
            <w:r>
              <w:rPr>
                <w:rFonts w:ascii="楷体" w:hAnsi="楷体" w:eastAsia="楷体"/>
                <w:bCs/>
                <w:color w:val="0000FF"/>
                <w:kern w:val="0"/>
                <w:sz w:val="18"/>
                <w:szCs w:val="18"/>
              </w:rPr>
              <w:t>30m&lt;</w:t>
            </w:r>
            <w:r>
              <w:rPr>
                <w:rFonts w:ascii="楷体" w:hAnsi="楷体" w:eastAsia="楷体"/>
                <w:bCs/>
                <w:i/>
                <w:iCs/>
                <w:color w:val="0000FF"/>
                <w:kern w:val="0"/>
                <w:sz w:val="18"/>
                <w:szCs w:val="18"/>
              </w:rPr>
              <w:t>Z</w:t>
            </w:r>
            <w:r>
              <w:rPr>
                <w:rFonts w:hint="eastAsia" w:ascii="楷体" w:hAnsi="楷体" w:eastAsia="楷体"/>
                <w:bCs/>
                <w:color w:val="0000FF"/>
                <w:kern w:val="0"/>
                <w:sz w:val="18"/>
                <w:szCs w:val="18"/>
              </w:rPr>
              <w:t>≤</w:t>
            </w:r>
            <w:r>
              <w:rPr>
                <w:rFonts w:ascii="楷体" w:hAnsi="楷体" w:eastAsia="楷体"/>
                <w:bCs/>
                <w:color w:val="0000FF"/>
                <w:kern w:val="0"/>
                <w:sz w:val="18"/>
                <w:szCs w:val="18"/>
              </w:rPr>
              <w:t>60m</w:t>
            </w:r>
          </w:p>
          <w:p>
            <w:pPr>
              <w:widowControl/>
              <w:adjustRightInd/>
              <w:spacing w:line="240" w:lineRule="auto"/>
              <w:ind w:left="-65" w:leftChars="-31" w:right="-65" w:rightChars="-31"/>
              <w:jc w:val="center"/>
              <w:rPr>
                <w:rFonts w:ascii="楷体" w:hAnsi="楷体" w:eastAsia="楷体" w:cs="宋体"/>
                <w:bCs/>
                <w:color w:val="0000FF"/>
                <w:kern w:val="0"/>
                <w:sz w:val="18"/>
                <w:szCs w:val="18"/>
              </w:rPr>
            </w:pPr>
            <w:r>
              <w:rPr>
                <w:rFonts w:ascii="楷体" w:hAnsi="楷体" w:eastAsia="楷体"/>
                <w:bCs/>
                <w:color w:val="0000FF"/>
                <w:kern w:val="0"/>
                <w:sz w:val="18"/>
                <w:szCs w:val="18"/>
              </w:rPr>
              <w:t>60m&lt;</w:t>
            </w:r>
            <w:r>
              <w:rPr>
                <w:rFonts w:ascii="楷体" w:hAnsi="楷体" w:eastAsia="楷体"/>
                <w:bCs/>
                <w:i/>
                <w:iCs/>
                <w:color w:val="0000FF"/>
                <w:kern w:val="0"/>
                <w:sz w:val="18"/>
                <w:szCs w:val="18"/>
              </w:rPr>
              <w:t>Z</w:t>
            </w:r>
            <w:r>
              <w:rPr>
                <w:rFonts w:hint="eastAsia" w:ascii="楷体" w:hAnsi="楷体" w:eastAsia="楷体"/>
                <w:bCs/>
                <w:color w:val="0000FF"/>
                <w:kern w:val="0"/>
                <w:sz w:val="18"/>
                <w:szCs w:val="18"/>
              </w:rPr>
              <w:t>≤</w:t>
            </w:r>
            <w:r>
              <w:rPr>
                <w:rFonts w:ascii="楷体" w:hAnsi="楷体" w:eastAsia="楷体"/>
                <w:bCs/>
                <w:color w:val="0000FF"/>
                <w:kern w:val="0"/>
                <w:sz w:val="18"/>
                <w:szCs w:val="18"/>
              </w:rPr>
              <w:t>90m</w:t>
            </w:r>
          </w:p>
          <w:p>
            <w:pPr>
              <w:widowControl/>
              <w:adjustRightInd/>
              <w:spacing w:line="240" w:lineRule="auto"/>
              <w:ind w:left="-65" w:leftChars="-31" w:right="-65" w:rightChars="-31"/>
              <w:jc w:val="center"/>
              <w:rPr>
                <w:rFonts w:ascii="楷体" w:hAnsi="楷体" w:eastAsia="楷体" w:cs="宋体"/>
                <w:bCs/>
                <w:color w:val="0000FF"/>
                <w:kern w:val="0"/>
                <w:sz w:val="18"/>
                <w:szCs w:val="18"/>
              </w:rPr>
            </w:pPr>
            <w:r>
              <w:rPr>
                <w:rFonts w:ascii="楷体" w:hAnsi="楷体" w:eastAsia="楷体"/>
                <w:bCs/>
                <w:color w:val="0000FF"/>
                <w:kern w:val="0"/>
                <w:sz w:val="18"/>
                <w:szCs w:val="18"/>
              </w:rPr>
              <w:t>90m&lt;</w:t>
            </w:r>
            <w:r>
              <w:rPr>
                <w:rFonts w:ascii="楷体" w:hAnsi="楷体" w:eastAsia="楷体"/>
                <w:bCs/>
                <w:i/>
                <w:iCs/>
                <w:color w:val="0000FF"/>
                <w:kern w:val="0"/>
                <w:sz w:val="18"/>
                <w:szCs w:val="18"/>
              </w:rPr>
              <w:t>Z</w:t>
            </w:r>
            <w:r>
              <w:rPr>
                <w:rFonts w:hint="eastAsia" w:ascii="楷体" w:hAnsi="楷体" w:eastAsia="楷体"/>
                <w:bCs/>
                <w:color w:val="0000FF"/>
                <w:kern w:val="0"/>
                <w:sz w:val="18"/>
                <w:szCs w:val="18"/>
              </w:rPr>
              <w:t>≤</w:t>
            </w:r>
            <w:r>
              <w:rPr>
                <w:rFonts w:ascii="楷体" w:hAnsi="楷体" w:eastAsia="楷体"/>
                <w:bCs/>
                <w:color w:val="0000FF"/>
                <w:kern w:val="0"/>
                <w:sz w:val="18"/>
                <w:szCs w:val="18"/>
              </w:rPr>
              <w:t>120m</w:t>
            </w:r>
          </w:p>
          <w:p>
            <w:pPr>
              <w:widowControl/>
              <w:adjustRightInd/>
              <w:spacing w:line="240" w:lineRule="auto"/>
              <w:ind w:left="-65" w:leftChars="-31" w:right="-65" w:rightChars="-31"/>
              <w:jc w:val="center"/>
              <w:rPr>
                <w:rFonts w:ascii="楷体" w:hAnsi="楷体" w:eastAsia="楷体" w:cs="宋体"/>
                <w:bCs/>
                <w:color w:val="0000FF"/>
                <w:kern w:val="0"/>
                <w:sz w:val="18"/>
                <w:szCs w:val="18"/>
              </w:rPr>
            </w:pPr>
            <w:r>
              <w:rPr>
                <w:rFonts w:ascii="楷体" w:hAnsi="楷体" w:eastAsia="楷体"/>
                <w:bCs/>
                <w:color w:val="0000FF"/>
                <w:kern w:val="0"/>
                <w:sz w:val="18"/>
                <w:szCs w:val="18"/>
              </w:rPr>
              <w:t>120m&lt;</w:t>
            </w:r>
            <w:r>
              <w:rPr>
                <w:rFonts w:ascii="楷体" w:hAnsi="楷体" w:eastAsia="楷体"/>
                <w:bCs/>
                <w:i/>
                <w:iCs/>
                <w:color w:val="0000FF"/>
                <w:kern w:val="0"/>
                <w:sz w:val="18"/>
                <w:szCs w:val="18"/>
              </w:rPr>
              <w:t>Z</w:t>
            </w:r>
            <w:r>
              <w:rPr>
                <w:rFonts w:hint="eastAsia" w:ascii="楷体" w:hAnsi="楷体" w:eastAsia="楷体"/>
                <w:bCs/>
                <w:color w:val="0000FF"/>
                <w:kern w:val="0"/>
                <w:sz w:val="18"/>
                <w:szCs w:val="18"/>
              </w:rPr>
              <w:t>≤</w:t>
            </w:r>
            <w:r>
              <w:rPr>
                <w:rFonts w:ascii="楷体" w:hAnsi="楷体" w:eastAsia="楷体"/>
                <w:bCs/>
                <w:color w:val="0000FF"/>
                <w:kern w:val="0"/>
                <w:sz w:val="18"/>
                <w:szCs w:val="18"/>
              </w:rPr>
              <w:t>150m</w:t>
            </w:r>
          </w:p>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i/>
                <w:iCs/>
                <w:color w:val="0000FF"/>
                <w:kern w:val="0"/>
                <w:sz w:val="18"/>
                <w:szCs w:val="18"/>
              </w:rPr>
              <w:t>Z</w:t>
            </w:r>
            <w:r>
              <w:rPr>
                <w:rFonts w:ascii="楷体" w:hAnsi="楷体" w:eastAsia="楷体"/>
                <w:bCs/>
                <w:color w:val="0000FF"/>
                <w:kern w:val="0"/>
                <w:sz w:val="18"/>
                <w:szCs w:val="18"/>
              </w:rPr>
              <w:t>&gt;150m</w:t>
            </w:r>
          </w:p>
        </w:tc>
        <w:tc>
          <w:tcPr>
            <w:tcW w:w="2040" w:type="dxa"/>
            <w:tcBorders>
              <w:bottom w:val="single" w:color="auto" w:sz="12" w:space="0"/>
            </w:tcBorders>
            <w:vAlign w:val="center"/>
          </w:tcPr>
          <w:p>
            <w:pPr>
              <w:widowControl/>
              <w:adjustRightInd/>
              <w:spacing w:line="240" w:lineRule="auto"/>
              <w:ind w:left="-65" w:leftChars="-31" w:right="-65" w:rightChars="-31"/>
              <w:jc w:val="center"/>
              <w:rPr>
                <w:rFonts w:ascii="楷体" w:hAnsi="楷体" w:eastAsia="楷体"/>
                <w:bCs/>
                <w:color w:val="0000FF"/>
                <w:kern w:val="0"/>
                <w:sz w:val="18"/>
                <w:szCs w:val="18"/>
              </w:rPr>
            </w:pPr>
          </w:p>
          <w:p>
            <w:pPr>
              <w:widowControl/>
              <w:adjustRightInd/>
              <w:spacing w:line="240" w:lineRule="auto"/>
              <w:ind w:left="-65" w:leftChars="-31" w:right="-65" w:rightChars="-31"/>
              <w:jc w:val="center"/>
              <w:rPr>
                <w:rFonts w:ascii="楷体" w:hAnsi="楷体" w:eastAsia="楷体"/>
                <w:bCs/>
                <w:color w:val="0000FF"/>
                <w:kern w:val="0"/>
                <w:sz w:val="18"/>
                <w:szCs w:val="18"/>
              </w:rPr>
            </w:pPr>
            <w:r>
              <w:rPr>
                <w:rFonts w:hint="eastAsia" w:ascii="楷体" w:hAnsi="楷体" w:eastAsia="楷体"/>
                <w:bCs/>
                <w:color w:val="0000FF"/>
                <w:kern w:val="0"/>
                <w:sz w:val="18"/>
                <w:szCs w:val="18"/>
              </w:rPr>
              <w:t>±</w:t>
            </w:r>
            <w:r>
              <w:rPr>
                <w:rFonts w:ascii="楷体" w:hAnsi="楷体" w:eastAsia="楷体"/>
                <w:bCs/>
                <w:color w:val="0000FF"/>
                <w:kern w:val="0"/>
                <w:sz w:val="18"/>
                <w:szCs w:val="18"/>
              </w:rPr>
              <w:t>5.0</w:t>
            </w:r>
          </w:p>
          <w:p>
            <w:pPr>
              <w:widowControl/>
              <w:adjustRightInd/>
              <w:spacing w:line="240" w:lineRule="auto"/>
              <w:ind w:left="-65" w:leftChars="-31" w:right="-65" w:rightChars="-31"/>
              <w:jc w:val="center"/>
              <w:rPr>
                <w:rFonts w:ascii="楷体" w:hAnsi="楷体" w:eastAsia="楷体"/>
                <w:bCs/>
                <w:color w:val="0000FF"/>
                <w:kern w:val="0"/>
                <w:sz w:val="18"/>
                <w:szCs w:val="18"/>
              </w:rPr>
            </w:pPr>
            <w:r>
              <w:rPr>
                <w:rFonts w:hint="eastAsia" w:ascii="楷体" w:hAnsi="楷体" w:eastAsia="楷体"/>
                <w:bCs/>
                <w:color w:val="0000FF"/>
                <w:kern w:val="0"/>
                <w:sz w:val="18"/>
                <w:szCs w:val="18"/>
              </w:rPr>
              <w:t>±</w:t>
            </w:r>
            <w:r>
              <w:rPr>
                <w:rFonts w:ascii="楷体" w:hAnsi="楷体" w:eastAsia="楷体"/>
                <w:bCs/>
                <w:color w:val="0000FF"/>
                <w:kern w:val="0"/>
                <w:sz w:val="18"/>
                <w:szCs w:val="18"/>
              </w:rPr>
              <w:t>10.0</w:t>
            </w:r>
          </w:p>
          <w:p>
            <w:pPr>
              <w:widowControl/>
              <w:adjustRightInd/>
              <w:spacing w:line="240" w:lineRule="auto"/>
              <w:ind w:left="-65" w:leftChars="-31" w:right="-65" w:rightChars="-31"/>
              <w:jc w:val="center"/>
              <w:rPr>
                <w:rFonts w:ascii="楷体" w:hAnsi="楷体" w:eastAsia="楷体"/>
                <w:bCs/>
                <w:color w:val="0000FF"/>
                <w:kern w:val="0"/>
                <w:sz w:val="18"/>
                <w:szCs w:val="18"/>
              </w:rPr>
            </w:pPr>
            <w:r>
              <w:rPr>
                <w:rFonts w:hint="eastAsia" w:ascii="楷体" w:hAnsi="楷体" w:eastAsia="楷体"/>
                <w:bCs/>
                <w:color w:val="0000FF"/>
                <w:kern w:val="0"/>
                <w:sz w:val="18"/>
                <w:szCs w:val="18"/>
              </w:rPr>
              <w:t>±</w:t>
            </w:r>
            <w:r>
              <w:rPr>
                <w:rFonts w:ascii="楷体" w:hAnsi="楷体" w:eastAsia="楷体"/>
                <w:bCs/>
                <w:color w:val="0000FF"/>
                <w:kern w:val="0"/>
                <w:sz w:val="18"/>
                <w:szCs w:val="18"/>
              </w:rPr>
              <w:t>15.0</w:t>
            </w:r>
          </w:p>
          <w:p>
            <w:pPr>
              <w:widowControl/>
              <w:adjustRightInd/>
              <w:spacing w:line="240" w:lineRule="auto"/>
              <w:ind w:left="-65" w:leftChars="-31" w:right="-65" w:rightChars="-31"/>
              <w:jc w:val="center"/>
              <w:rPr>
                <w:rFonts w:ascii="楷体" w:hAnsi="楷体" w:eastAsia="楷体"/>
                <w:bCs/>
                <w:color w:val="0000FF"/>
                <w:kern w:val="0"/>
                <w:sz w:val="18"/>
                <w:szCs w:val="18"/>
              </w:rPr>
            </w:pPr>
            <w:r>
              <w:rPr>
                <w:rFonts w:hint="eastAsia" w:ascii="楷体" w:hAnsi="楷体" w:eastAsia="楷体"/>
                <w:bCs/>
                <w:color w:val="0000FF"/>
                <w:kern w:val="0"/>
                <w:sz w:val="18"/>
                <w:szCs w:val="18"/>
              </w:rPr>
              <w:t>±</w:t>
            </w:r>
            <w:r>
              <w:rPr>
                <w:rFonts w:ascii="楷体" w:hAnsi="楷体" w:eastAsia="楷体"/>
                <w:bCs/>
                <w:color w:val="0000FF"/>
                <w:kern w:val="0"/>
                <w:sz w:val="18"/>
                <w:szCs w:val="18"/>
              </w:rPr>
              <w:t>20.0</w:t>
            </w:r>
          </w:p>
          <w:p>
            <w:pPr>
              <w:widowControl/>
              <w:adjustRightInd/>
              <w:spacing w:line="240" w:lineRule="auto"/>
              <w:ind w:left="-65" w:leftChars="-31" w:right="-65" w:rightChars="-31"/>
              <w:jc w:val="center"/>
              <w:rPr>
                <w:rFonts w:ascii="楷体" w:hAnsi="楷体" w:eastAsia="楷体"/>
                <w:bCs/>
                <w:color w:val="0000FF"/>
                <w:kern w:val="0"/>
                <w:sz w:val="18"/>
                <w:szCs w:val="18"/>
              </w:rPr>
            </w:pPr>
            <w:r>
              <w:rPr>
                <w:rFonts w:hint="eastAsia" w:ascii="楷体" w:hAnsi="楷体" w:eastAsia="楷体"/>
                <w:bCs/>
                <w:color w:val="0000FF"/>
                <w:kern w:val="0"/>
                <w:sz w:val="18"/>
                <w:szCs w:val="18"/>
              </w:rPr>
              <w:t>±</w:t>
            </w:r>
            <w:r>
              <w:rPr>
                <w:rFonts w:ascii="楷体" w:hAnsi="楷体" w:eastAsia="楷体"/>
                <w:bCs/>
                <w:color w:val="0000FF"/>
                <w:kern w:val="0"/>
                <w:sz w:val="18"/>
                <w:szCs w:val="18"/>
              </w:rPr>
              <w:t>25.0</w:t>
            </w:r>
          </w:p>
          <w:p>
            <w:pPr>
              <w:widowControl/>
              <w:adjustRightInd/>
              <w:spacing w:line="240" w:lineRule="auto"/>
              <w:jc w:val="center"/>
              <w:rPr>
                <w:rFonts w:ascii="楷体" w:hAnsi="楷体" w:eastAsia="楷体"/>
                <w:bCs/>
                <w:color w:val="0000FF"/>
                <w:kern w:val="0"/>
                <w:sz w:val="18"/>
                <w:szCs w:val="18"/>
              </w:rPr>
            </w:pPr>
            <w:r>
              <w:rPr>
                <w:rFonts w:hint="eastAsia" w:ascii="楷体" w:hAnsi="楷体" w:eastAsia="楷体"/>
                <w:bCs/>
                <w:color w:val="0000FF"/>
                <w:kern w:val="0"/>
                <w:sz w:val="18"/>
                <w:szCs w:val="18"/>
              </w:rPr>
              <w:t>±</w:t>
            </w:r>
            <w:r>
              <w:rPr>
                <w:rFonts w:ascii="楷体" w:hAnsi="楷体" w:eastAsia="楷体"/>
                <w:bCs/>
                <w:color w:val="0000FF"/>
                <w:kern w:val="0"/>
                <w:sz w:val="18"/>
                <w:szCs w:val="18"/>
              </w:rPr>
              <w:t>30.0</w:t>
            </w:r>
          </w:p>
        </w:tc>
        <w:tc>
          <w:tcPr>
            <w:tcW w:w="2582" w:type="dxa"/>
            <w:vMerge w:val="continue"/>
            <w:tcBorders>
              <w:bottom w:val="single" w:color="auto" w:sz="12" w:space="0"/>
            </w:tcBorders>
            <w:vAlign w:val="center"/>
          </w:tcPr>
          <w:p>
            <w:pPr>
              <w:adjustRightInd/>
              <w:spacing w:line="240" w:lineRule="auto"/>
              <w:rPr>
                <w:rFonts w:ascii="楷体" w:hAnsi="楷体" w:eastAsia="楷体" w:cs="宋体"/>
                <w:bCs/>
                <w:color w:val="0000FF"/>
                <w:sz w:val="18"/>
                <w:szCs w:val="18"/>
              </w:rPr>
            </w:pPr>
          </w:p>
        </w:tc>
      </w:tr>
    </w:tbl>
    <w:p>
      <w:pPr>
        <w:adjustRightInd/>
        <w:rPr>
          <w:rFonts w:ascii="华文楷体" w:hAnsi="华文楷体" w:eastAsia="华文楷体" w:cs="华文楷体"/>
          <w:color w:val="0000FF"/>
          <w:szCs w:val="20"/>
        </w:rPr>
      </w:pPr>
      <w:r>
        <w:rPr>
          <w:rFonts w:hint="eastAsia" w:ascii="华文楷体" w:hAnsi="华文楷体" w:eastAsia="华文楷体" w:cs="华文楷体"/>
          <w:color w:val="0000FF"/>
          <w:szCs w:val="20"/>
        </w:rPr>
        <w:t>消能减震结构的施工安装及连接完成后，整个结构允许偏差应符合表</w:t>
      </w:r>
      <w:r>
        <w:rPr>
          <w:rFonts w:ascii="华文楷体" w:hAnsi="华文楷体" w:eastAsia="华文楷体" w:cs="华文楷体"/>
          <w:color w:val="0000FF"/>
          <w:szCs w:val="20"/>
        </w:rPr>
        <w:t>11.4.1-2</w:t>
      </w:r>
      <w:r>
        <w:rPr>
          <w:rFonts w:hint="eastAsia" w:ascii="华文楷体" w:hAnsi="华文楷体" w:eastAsia="华文楷体" w:cs="华文楷体"/>
          <w:color w:val="0000FF"/>
          <w:szCs w:val="20"/>
        </w:rPr>
        <w:t>规定。</w:t>
      </w:r>
    </w:p>
    <w:p>
      <w:pPr>
        <w:adjustRightInd/>
        <w:jc w:val="center"/>
        <w:rPr>
          <w:rFonts w:ascii="华文楷体" w:hAnsi="华文楷体" w:eastAsia="华文楷体" w:cs="华文楷体"/>
          <w:color w:val="0000FF"/>
          <w:szCs w:val="20"/>
        </w:rPr>
      </w:pPr>
      <w:r>
        <w:rPr>
          <w:rFonts w:hint="eastAsia" w:ascii="华文楷体" w:hAnsi="华文楷体" w:eastAsia="华文楷体" w:cs="华文楷体"/>
          <w:color w:val="0000FF"/>
          <w:szCs w:val="20"/>
        </w:rPr>
        <w:t>表</w:t>
      </w:r>
      <w:r>
        <w:rPr>
          <w:rFonts w:ascii="华文楷体" w:hAnsi="华文楷体" w:eastAsia="华文楷体" w:cs="华文楷体"/>
          <w:color w:val="0000FF"/>
          <w:szCs w:val="20"/>
        </w:rPr>
        <w:t xml:space="preserve">11.4.1-2  </w:t>
      </w:r>
      <w:r>
        <w:rPr>
          <w:rFonts w:hint="eastAsia" w:ascii="华文楷体" w:hAnsi="华文楷体" w:eastAsia="华文楷体" w:cs="华文楷体"/>
          <w:color w:val="0000FF"/>
          <w:szCs w:val="20"/>
        </w:rPr>
        <w:t>消能减震结构施工安装的允许偏差</w:t>
      </w:r>
    </w:p>
    <w:tbl>
      <w:tblPr>
        <w:tblStyle w:val="27"/>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82"/>
        <w:gridCol w:w="628"/>
        <w:gridCol w:w="9"/>
        <w:gridCol w:w="378"/>
        <w:gridCol w:w="1641"/>
        <w:gridCol w:w="1786"/>
        <w:gridCol w:w="1700"/>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67" w:type="dxa"/>
            <w:gridSpan w:val="6"/>
            <w:vMerge w:val="restart"/>
            <w:tcBorders>
              <w:top w:val="single" w:color="auto" w:sz="12" w:space="0"/>
              <w:bottom w:val="single" w:color="auto" w:sz="12" w:space="0"/>
            </w:tcBorders>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项目</w:t>
            </w:r>
          </w:p>
        </w:tc>
        <w:tc>
          <w:tcPr>
            <w:tcW w:w="3488" w:type="dxa"/>
            <w:gridSpan w:val="2"/>
            <w:tcBorders>
              <w:top w:val="single" w:color="auto" w:sz="12" w:space="0"/>
            </w:tcBorders>
            <w:vAlign w:val="center"/>
          </w:tcPr>
          <w:p>
            <w:pPr>
              <w:widowControl/>
              <w:adjustRightInd/>
              <w:spacing w:line="240" w:lineRule="auto"/>
              <w:jc w:val="center"/>
              <w:rPr>
                <w:rFonts w:ascii="楷体" w:hAnsi="楷体" w:eastAsia="楷体"/>
                <w:bCs/>
                <w:color w:val="0000FF"/>
                <w:kern w:val="0"/>
                <w:sz w:val="18"/>
                <w:szCs w:val="18"/>
              </w:rPr>
            </w:pPr>
            <w:r>
              <w:rPr>
                <w:rFonts w:hint="eastAsia" w:ascii="楷体" w:hAnsi="楷体" w:eastAsia="楷体"/>
                <w:bCs/>
                <w:color w:val="0000FF"/>
                <w:kern w:val="0"/>
                <w:sz w:val="18"/>
                <w:szCs w:val="18"/>
              </w:rPr>
              <w:t>允许偏差</w:t>
            </w:r>
            <w:r>
              <w:rPr>
                <w:rFonts w:ascii="楷体" w:hAnsi="楷体" w:eastAsia="楷体"/>
                <w:bCs/>
                <w:i/>
                <w:iCs/>
                <w:color w:val="0000FF"/>
                <w:kern w:val="0"/>
                <w:sz w:val="18"/>
                <w:szCs w:val="18"/>
              </w:rPr>
              <w:t>a</w:t>
            </w:r>
            <w:r>
              <w:rPr>
                <w:rFonts w:hint="eastAsia" w:ascii="楷体" w:hAnsi="楷体" w:eastAsia="楷体"/>
                <w:bCs/>
                <w:color w:val="0000FF"/>
                <w:kern w:val="0"/>
                <w:sz w:val="18"/>
                <w:szCs w:val="18"/>
              </w:rPr>
              <w:t>（</w:t>
            </w:r>
            <w:r>
              <w:rPr>
                <w:rFonts w:ascii="楷体" w:hAnsi="楷体" w:eastAsia="楷体"/>
                <w:bCs/>
                <w:color w:val="0000FF"/>
                <w:kern w:val="0"/>
                <w:sz w:val="18"/>
                <w:szCs w:val="18"/>
              </w:rPr>
              <w:t>mm)</w:t>
            </w:r>
          </w:p>
        </w:tc>
        <w:tc>
          <w:tcPr>
            <w:tcW w:w="1949" w:type="dxa"/>
            <w:vMerge w:val="restart"/>
            <w:tcBorders>
              <w:top w:val="single" w:color="auto" w:sz="12" w:space="0"/>
              <w:bottom w:val="single" w:color="auto" w:sz="12" w:space="0"/>
            </w:tcBorders>
            <w:vAlign w:val="center"/>
          </w:tcPr>
          <w:p>
            <w:pPr>
              <w:widowControl/>
              <w:adjustRightInd/>
              <w:spacing w:line="240" w:lineRule="auto"/>
              <w:jc w:val="center"/>
              <w:rPr>
                <w:rFonts w:ascii="楷体" w:hAnsi="楷体" w:eastAsia="楷体"/>
                <w:bCs/>
                <w:color w:val="0000FF"/>
                <w:kern w:val="0"/>
                <w:sz w:val="18"/>
                <w:szCs w:val="18"/>
              </w:rPr>
            </w:pPr>
            <w:r>
              <w:rPr>
                <w:rFonts w:hint="eastAsia" w:ascii="楷体" w:hAnsi="楷体" w:eastAsia="楷体"/>
                <w:bCs/>
                <w:color w:val="0000FF"/>
                <w:kern w:val="0"/>
                <w:sz w:val="18"/>
                <w:szCs w:val="18"/>
              </w:rPr>
              <w:t>图</w:t>
            </w:r>
            <w:r>
              <w:rPr>
                <w:rFonts w:ascii="楷体" w:hAnsi="楷体" w:eastAsia="楷体"/>
                <w:bCs/>
                <w:color w:val="0000FF"/>
                <w:kern w:val="0"/>
                <w:sz w:val="18"/>
                <w:szCs w:val="18"/>
              </w:rPr>
              <w:t xml:space="preserve">  </w:t>
            </w:r>
            <w:r>
              <w:rPr>
                <w:rFonts w:hint="eastAsia" w:ascii="楷体" w:hAnsi="楷体" w:eastAsia="楷体"/>
                <w:bCs/>
                <w:color w:val="0000FF"/>
                <w:kern w:val="0"/>
                <w:sz w:val="18"/>
                <w:szCs w:val="18"/>
              </w:rPr>
              <w:t>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754" w:type="dxa"/>
            <w:gridSpan w:val="6"/>
            <w:vMerge w:val="continue"/>
            <w:tcBorders>
              <w:top w:val="single" w:color="auto" w:sz="12" w:space="0"/>
              <w:bottom w:val="single" w:color="auto" w:sz="12" w:space="0"/>
            </w:tcBorders>
            <w:vAlign w:val="center"/>
          </w:tcPr>
          <w:p>
            <w:pPr>
              <w:adjustRightInd/>
              <w:spacing w:line="240" w:lineRule="auto"/>
              <w:rPr>
                <w:rFonts w:ascii="楷体" w:hAnsi="楷体" w:eastAsia="楷体" w:cs="宋体"/>
                <w:bCs/>
                <w:color w:val="0000FF"/>
                <w:sz w:val="18"/>
                <w:szCs w:val="18"/>
              </w:rPr>
            </w:pPr>
          </w:p>
        </w:tc>
        <w:tc>
          <w:tcPr>
            <w:tcW w:w="1787" w:type="dxa"/>
            <w:tcBorders>
              <w:bottom w:val="single" w:color="auto" w:sz="12" w:space="0"/>
            </w:tcBorders>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多高层混凝土结构</w:t>
            </w:r>
          </w:p>
        </w:tc>
        <w:tc>
          <w:tcPr>
            <w:tcW w:w="1701" w:type="dxa"/>
            <w:tcBorders>
              <w:bottom w:val="single" w:color="auto" w:sz="12" w:space="0"/>
            </w:tcBorders>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多高层钢结构</w:t>
            </w:r>
          </w:p>
        </w:tc>
        <w:tc>
          <w:tcPr>
            <w:tcW w:w="1949" w:type="dxa"/>
            <w:vMerge w:val="continue"/>
            <w:tcBorders>
              <w:top w:val="single" w:color="auto" w:sz="12" w:space="0"/>
              <w:bottom w:val="single" w:color="auto" w:sz="12" w:space="0"/>
            </w:tcBorders>
            <w:vAlign w:val="center"/>
          </w:tcPr>
          <w:p>
            <w:pPr>
              <w:adjustRightInd/>
              <w:spacing w:line="240" w:lineRule="auto"/>
              <w:rPr>
                <w:rFonts w:ascii="楷体" w:hAnsi="楷体" w:eastAsia="楷体"/>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67" w:type="dxa"/>
            <w:gridSpan w:val="6"/>
            <w:tcBorders>
              <w:top w:val="single" w:color="auto" w:sz="12" w:space="0"/>
            </w:tcBorders>
            <w:vAlign w:val="center"/>
          </w:tcPr>
          <w:p>
            <w:pPr>
              <w:widowControl/>
              <w:adjustRightInd/>
              <w:spacing w:line="240" w:lineRule="auto"/>
              <w:jc w:val="center"/>
              <w:rPr>
                <w:rFonts w:ascii="楷体" w:hAnsi="楷体" w:eastAsia="楷体"/>
                <w:bCs/>
                <w:color w:val="0000FF"/>
                <w:kern w:val="0"/>
                <w:sz w:val="18"/>
                <w:szCs w:val="18"/>
              </w:rPr>
            </w:pPr>
            <w:r>
              <w:rPr>
                <w:rFonts w:hint="eastAsia" w:ascii="楷体" w:hAnsi="楷体" w:eastAsia="楷体"/>
                <w:bCs/>
                <w:color w:val="0000FF"/>
                <w:kern w:val="0"/>
                <w:sz w:val="18"/>
                <w:szCs w:val="18"/>
              </w:rPr>
              <w:t>消能部件底板中心线</w:t>
            </w:r>
          </w:p>
          <w:p>
            <w:pPr>
              <w:widowControl/>
              <w:adjustRightInd/>
              <w:spacing w:line="240" w:lineRule="auto"/>
              <w:jc w:val="center"/>
              <w:rPr>
                <w:rFonts w:ascii="楷体" w:hAnsi="楷体" w:eastAsia="楷体"/>
                <w:bCs/>
                <w:color w:val="0000FF"/>
                <w:kern w:val="0"/>
                <w:sz w:val="18"/>
                <w:szCs w:val="18"/>
              </w:rPr>
            </w:pPr>
            <w:r>
              <w:rPr>
                <w:rFonts w:hint="eastAsia" w:ascii="楷体" w:hAnsi="楷体" w:eastAsia="楷体"/>
                <w:bCs/>
                <w:color w:val="0000FF"/>
                <w:kern w:val="0"/>
                <w:sz w:val="18"/>
                <w:szCs w:val="18"/>
              </w:rPr>
              <w:t>对定位轴线的安装偏移</w:t>
            </w:r>
          </w:p>
        </w:tc>
        <w:tc>
          <w:tcPr>
            <w:tcW w:w="1787" w:type="dxa"/>
            <w:tcBorders>
              <w:top w:val="single" w:color="auto" w:sz="12" w:space="0"/>
            </w:tcBorders>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10.0</w:t>
            </w:r>
          </w:p>
        </w:tc>
        <w:tc>
          <w:tcPr>
            <w:tcW w:w="1701" w:type="dxa"/>
            <w:tcBorders>
              <w:top w:val="single" w:color="auto" w:sz="12" w:space="0"/>
            </w:tcBorders>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5.0</w:t>
            </w:r>
          </w:p>
        </w:tc>
        <w:tc>
          <w:tcPr>
            <w:tcW w:w="1949" w:type="dxa"/>
            <w:tcBorders>
              <w:top w:val="single" w:color="auto" w:sz="12" w:space="0"/>
            </w:tcBorders>
            <w:vAlign w:val="center"/>
          </w:tcPr>
          <w:p>
            <w:pPr>
              <w:widowControl/>
              <w:adjustRightInd/>
              <w:spacing w:line="240" w:lineRule="auto"/>
              <w:ind w:firstLine="480"/>
              <w:jc w:val="center"/>
              <w:rPr>
                <w:rFonts w:ascii="楷体" w:hAnsi="楷体" w:eastAsia="楷体" w:cs="宋体"/>
                <w:bCs/>
                <w:color w:val="0000FF"/>
                <w:kern w:val="0"/>
                <w:sz w:val="18"/>
                <w:szCs w:val="18"/>
              </w:rPr>
            </w:pPr>
            <w:r>
              <w:rPr>
                <w:rFonts w:ascii="楷体" w:hAnsi="楷体" w:eastAsia="楷体"/>
                <w:color w:val="0000FF"/>
                <w:sz w:val="18"/>
                <w:szCs w:val="18"/>
              </w:rPr>
              <w:drawing>
                <wp:inline distT="0" distB="0" distL="0" distR="0">
                  <wp:extent cx="783590" cy="513080"/>
                  <wp:effectExtent l="0" t="0" r="0"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a:xfrm>
                            <a:off x="0" y="0"/>
                            <a:ext cx="783590" cy="5130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jc w:val="center"/>
        </w:trPr>
        <w:tc>
          <w:tcPr>
            <w:tcW w:w="3567" w:type="dxa"/>
            <w:gridSpan w:val="6"/>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消能器的人字形附加支撑</w:t>
            </w:r>
          </w:p>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的平面外垂直度</w:t>
            </w:r>
          </w:p>
        </w:tc>
        <w:tc>
          <w:tcPr>
            <w:tcW w:w="1787" w:type="dxa"/>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10</w:t>
            </w:r>
          </w:p>
        </w:tc>
        <w:tc>
          <w:tcPr>
            <w:tcW w:w="1701" w:type="dxa"/>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i/>
                <w:iCs/>
                <w:color w:val="0000FF"/>
                <w:kern w:val="0"/>
                <w:sz w:val="18"/>
                <w:szCs w:val="18"/>
              </w:rPr>
              <w:t>h</w:t>
            </w:r>
            <w:r>
              <w:rPr>
                <w:rFonts w:ascii="楷体" w:hAnsi="楷体" w:eastAsia="楷体"/>
                <w:bCs/>
                <w:color w:val="0000FF"/>
                <w:kern w:val="0"/>
                <w:sz w:val="18"/>
                <w:szCs w:val="18"/>
              </w:rPr>
              <w:t>/1000</w:t>
            </w:r>
          </w:p>
        </w:tc>
        <w:tc>
          <w:tcPr>
            <w:tcW w:w="1949" w:type="dxa"/>
            <w:vAlign w:val="center"/>
          </w:tcPr>
          <w:p>
            <w:pPr>
              <w:widowControl/>
              <w:adjustRightInd/>
              <w:spacing w:line="240" w:lineRule="auto"/>
              <w:ind w:firstLine="480"/>
              <w:jc w:val="center"/>
              <w:rPr>
                <w:rFonts w:ascii="楷体" w:hAnsi="楷体" w:eastAsia="楷体" w:cs="宋体"/>
                <w:bCs/>
                <w:color w:val="0000FF"/>
                <w:kern w:val="0"/>
                <w:sz w:val="18"/>
                <w:szCs w:val="18"/>
              </w:rPr>
            </w:pPr>
            <w:r>
              <w:rPr>
                <w:rFonts w:ascii="楷体" w:hAnsi="楷体" w:eastAsia="楷体"/>
                <w:color w:val="0000FF"/>
                <w:sz w:val="18"/>
                <w:szCs w:val="18"/>
              </w:rPr>
              <w:drawing>
                <wp:inline distT="0" distB="0" distL="0" distR="0">
                  <wp:extent cx="522605" cy="56007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a:xfrm>
                            <a:off x="0" y="0"/>
                            <a:ext cx="522605" cy="5600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0" w:hRule="atLeast"/>
          <w:jc w:val="center"/>
        </w:trPr>
        <w:tc>
          <w:tcPr>
            <w:tcW w:w="910" w:type="dxa"/>
            <w:gridSpan w:val="2"/>
            <w:vMerge w:val="restart"/>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消能部件锚栓</w:t>
            </w:r>
          </w:p>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位置</w:t>
            </w:r>
          </w:p>
        </w:tc>
        <w:tc>
          <w:tcPr>
            <w:tcW w:w="2657" w:type="dxa"/>
            <w:gridSpan w:val="4"/>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锚栓预留孔中心</w:t>
            </w:r>
          </w:p>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对定位轴线偏移</w:t>
            </w:r>
          </w:p>
        </w:tc>
        <w:tc>
          <w:tcPr>
            <w:tcW w:w="1787" w:type="dxa"/>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10.0</w:t>
            </w:r>
          </w:p>
        </w:tc>
        <w:tc>
          <w:tcPr>
            <w:tcW w:w="1701" w:type="dxa"/>
            <w:vAlign w:val="center"/>
          </w:tcPr>
          <w:p>
            <w:pPr>
              <w:widowControl/>
              <w:adjustRightInd/>
              <w:spacing w:line="240" w:lineRule="auto"/>
              <w:jc w:val="center"/>
              <w:rPr>
                <w:rFonts w:ascii="楷体" w:hAnsi="楷体" w:eastAsia="楷体"/>
                <w:bCs/>
                <w:color w:val="0000FF"/>
                <w:kern w:val="0"/>
                <w:sz w:val="18"/>
                <w:szCs w:val="18"/>
              </w:rPr>
            </w:pPr>
          </w:p>
        </w:tc>
        <w:tc>
          <w:tcPr>
            <w:tcW w:w="1949" w:type="dxa"/>
            <w:vMerge w:val="restart"/>
            <w:vAlign w:val="center"/>
          </w:tcPr>
          <w:p>
            <w:pPr>
              <w:widowControl/>
              <w:adjustRightInd/>
              <w:spacing w:line="240" w:lineRule="auto"/>
              <w:ind w:firstLine="480"/>
              <w:jc w:val="center"/>
              <w:rPr>
                <w:rFonts w:ascii="楷体" w:hAnsi="楷体" w:eastAsia="楷体" w:cs="宋体"/>
                <w:bCs/>
                <w:color w:val="0000FF"/>
                <w:kern w:val="0"/>
                <w:sz w:val="18"/>
                <w:szCs w:val="18"/>
              </w:rPr>
            </w:pPr>
            <w:r>
              <w:rPr>
                <w:rFonts w:ascii="楷体" w:hAnsi="楷体" w:eastAsia="楷体"/>
                <w:color w:val="0000FF"/>
                <w:sz w:val="18"/>
                <w:szCs w:val="18"/>
              </w:rPr>
              <w:drawing>
                <wp:inline distT="0" distB="0" distL="0" distR="0">
                  <wp:extent cx="513080" cy="513080"/>
                  <wp:effectExtent l="0" t="0" r="1270" b="1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a:xfrm>
                            <a:off x="0" y="0"/>
                            <a:ext cx="513080" cy="5130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6406" w:type="dxa"/>
            <w:gridSpan w:val="2"/>
            <w:vMerge w:val="continue"/>
            <w:vAlign w:val="center"/>
          </w:tcPr>
          <w:p>
            <w:pPr>
              <w:adjustRightInd/>
              <w:spacing w:line="240" w:lineRule="auto"/>
              <w:rPr>
                <w:rFonts w:ascii="楷体" w:hAnsi="楷体" w:eastAsia="楷体" w:cs="宋体"/>
                <w:bCs/>
                <w:color w:val="0000FF"/>
                <w:sz w:val="18"/>
                <w:szCs w:val="18"/>
              </w:rPr>
            </w:pPr>
          </w:p>
        </w:tc>
        <w:tc>
          <w:tcPr>
            <w:tcW w:w="2657" w:type="dxa"/>
            <w:gridSpan w:val="4"/>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锚栓中心</w:t>
            </w:r>
          </w:p>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对定位轴线偏移</w:t>
            </w:r>
          </w:p>
        </w:tc>
        <w:tc>
          <w:tcPr>
            <w:tcW w:w="1787" w:type="dxa"/>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2.0</w:t>
            </w:r>
          </w:p>
        </w:tc>
        <w:tc>
          <w:tcPr>
            <w:tcW w:w="1701" w:type="dxa"/>
            <w:vAlign w:val="center"/>
          </w:tcPr>
          <w:p>
            <w:pPr>
              <w:widowControl/>
              <w:adjustRightInd/>
              <w:spacing w:line="240" w:lineRule="auto"/>
              <w:jc w:val="center"/>
              <w:rPr>
                <w:rFonts w:ascii="楷体" w:hAnsi="楷体" w:eastAsia="楷体"/>
                <w:bCs/>
                <w:color w:val="0000FF"/>
                <w:kern w:val="0"/>
                <w:sz w:val="18"/>
                <w:szCs w:val="18"/>
              </w:rPr>
            </w:pPr>
          </w:p>
        </w:tc>
        <w:tc>
          <w:tcPr>
            <w:tcW w:w="1949" w:type="dxa"/>
            <w:vMerge w:val="continue"/>
            <w:vAlign w:val="center"/>
          </w:tcPr>
          <w:p>
            <w:pPr>
              <w:adjustRightInd/>
              <w:spacing w:line="240" w:lineRule="auto"/>
              <w:rPr>
                <w:rFonts w:ascii="楷体" w:hAnsi="楷体" w:eastAsia="楷体" w:cs="宋体"/>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3567" w:type="dxa"/>
            <w:gridSpan w:val="6"/>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消能部件底板螺栓孔</w:t>
            </w:r>
          </w:p>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对底板中心线的偏移</w:t>
            </w:r>
          </w:p>
        </w:tc>
        <w:tc>
          <w:tcPr>
            <w:tcW w:w="1787" w:type="dxa"/>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1.5</w:t>
            </w:r>
          </w:p>
        </w:tc>
        <w:tc>
          <w:tcPr>
            <w:tcW w:w="1701" w:type="dxa"/>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1.5</w:t>
            </w:r>
          </w:p>
        </w:tc>
        <w:tc>
          <w:tcPr>
            <w:tcW w:w="1949" w:type="dxa"/>
            <w:vAlign w:val="center"/>
          </w:tcPr>
          <w:p>
            <w:pPr>
              <w:widowControl/>
              <w:adjustRightInd/>
              <w:spacing w:line="240" w:lineRule="auto"/>
              <w:ind w:firstLine="480"/>
              <w:jc w:val="center"/>
              <w:rPr>
                <w:rFonts w:ascii="楷体" w:hAnsi="楷体" w:eastAsia="楷体" w:cs="宋体"/>
                <w:bCs/>
                <w:color w:val="0000FF"/>
                <w:kern w:val="0"/>
                <w:sz w:val="18"/>
                <w:szCs w:val="18"/>
              </w:rPr>
            </w:pPr>
            <w:r>
              <w:rPr>
                <w:rFonts w:ascii="楷体" w:hAnsi="楷体" w:eastAsia="楷体"/>
                <w:color w:val="0000FF"/>
                <w:sz w:val="18"/>
                <w:szCs w:val="18"/>
              </w:rPr>
              <w:drawing>
                <wp:inline distT="0" distB="0" distL="0" distR="0">
                  <wp:extent cx="522605" cy="48514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a:xfrm>
                            <a:off x="0" y="0"/>
                            <a:ext cx="522605" cy="4851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1538" w:type="dxa"/>
            <w:gridSpan w:val="3"/>
            <w:vMerge w:val="restart"/>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墙柱中心线</w:t>
            </w:r>
          </w:p>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对定位轴线</w:t>
            </w:r>
          </w:p>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偏移</w:t>
            </w:r>
          </w:p>
        </w:tc>
        <w:tc>
          <w:tcPr>
            <w:tcW w:w="2029" w:type="dxa"/>
            <w:gridSpan w:val="3"/>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底层柱的柱底</w:t>
            </w:r>
          </w:p>
        </w:tc>
        <w:tc>
          <w:tcPr>
            <w:tcW w:w="1787" w:type="dxa"/>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5.0</w:t>
            </w:r>
          </w:p>
        </w:tc>
        <w:tc>
          <w:tcPr>
            <w:tcW w:w="1701" w:type="dxa"/>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3.0</w:t>
            </w:r>
          </w:p>
        </w:tc>
        <w:tc>
          <w:tcPr>
            <w:tcW w:w="1949" w:type="dxa"/>
            <w:vMerge w:val="restart"/>
            <w:vAlign w:val="center"/>
          </w:tcPr>
          <w:p>
            <w:pPr>
              <w:widowControl/>
              <w:adjustRightInd/>
              <w:spacing w:line="240" w:lineRule="auto"/>
              <w:ind w:firstLine="480"/>
              <w:jc w:val="center"/>
              <w:rPr>
                <w:rFonts w:ascii="楷体" w:hAnsi="楷体" w:eastAsia="楷体" w:cs="宋体"/>
                <w:bCs/>
                <w:color w:val="0000FF"/>
                <w:kern w:val="0"/>
                <w:sz w:val="18"/>
                <w:szCs w:val="18"/>
              </w:rPr>
            </w:pPr>
            <w:r>
              <w:rPr>
                <w:rFonts w:ascii="楷体" w:hAnsi="楷体" w:eastAsia="楷体"/>
                <w:color w:val="0000FF"/>
                <w:sz w:val="18"/>
                <w:szCs w:val="18"/>
              </w:rPr>
              <w:drawing>
                <wp:inline distT="0" distB="0" distL="0" distR="0">
                  <wp:extent cx="848995" cy="56007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a:xfrm>
                            <a:off x="0" y="0"/>
                            <a:ext cx="848995" cy="5600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9063" w:type="dxa"/>
            <w:gridSpan w:val="3"/>
            <w:vMerge w:val="continue"/>
            <w:vAlign w:val="center"/>
          </w:tcPr>
          <w:p>
            <w:pPr>
              <w:adjustRightInd/>
              <w:spacing w:line="240" w:lineRule="auto"/>
              <w:rPr>
                <w:rFonts w:ascii="楷体" w:hAnsi="楷体" w:eastAsia="楷体" w:cs="宋体"/>
                <w:bCs/>
                <w:color w:val="0000FF"/>
                <w:sz w:val="18"/>
                <w:szCs w:val="18"/>
              </w:rPr>
            </w:pPr>
          </w:p>
        </w:tc>
        <w:tc>
          <w:tcPr>
            <w:tcW w:w="2029" w:type="dxa"/>
            <w:gridSpan w:val="3"/>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上部层柱的柱底</w:t>
            </w:r>
          </w:p>
        </w:tc>
        <w:tc>
          <w:tcPr>
            <w:tcW w:w="1787" w:type="dxa"/>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5.0</w:t>
            </w:r>
          </w:p>
        </w:tc>
        <w:tc>
          <w:tcPr>
            <w:tcW w:w="1701" w:type="dxa"/>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2.0</w:t>
            </w:r>
          </w:p>
        </w:tc>
        <w:tc>
          <w:tcPr>
            <w:tcW w:w="1949" w:type="dxa"/>
            <w:vMerge w:val="continue"/>
            <w:vAlign w:val="center"/>
          </w:tcPr>
          <w:p>
            <w:pPr>
              <w:adjustRightInd/>
              <w:spacing w:line="240" w:lineRule="auto"/>
              <w:rPr>
                <w:rFonts w:ascii="楷体" w:hAnsi="楷体" w:eastAsia="楷体" w:cs="宋体"/>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67" w:type="dxa"/>
            <w:gridSpan w:val="6"/>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梁轴线对定位轴线的偏移</w:t>
            </w:r>
          </w:p>
        </w:tc>
        <w:tc>
          <w:tcPr>
            <w:tcW w:w="1787" w:type="dxa"/>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5.0</w:t>
            </w:r>
          </w:p>
        </w:tc>
        <w:tc>
          <w:tcPr>
            <w:tcW w:w="1701" w:type="dxa"/>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2.0</w:t>
            </w:r>
          </w:p>
        </w:tc>
        <w:tc>
          <w:tcPr>
            <w:tcW w:w="1949" w:type="dxa"/>
            <w:vAlign w:val="center"/>
          </w:tcPr>
          <w:p>
            <w:pPr>
              <w:widowControl/>
              <w:adjustRightInd/>
              <w:spacing w:line="240" w:lineRule="auto"/>
              <w:jc w:val="center"/>
              <w:rPr>
                <w:rFonts w:ascii="楷体" w:hAnsi="楷体" w:eastAsia="楷体"/>
                <w:bCs/>
                <w:color w:val="0000FF"/>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728" w:type="dxa"/>
            <w:vMerge w:val="restart"/>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墙柱垂直度</w:t>
            </w:r>
          </w:p>
        </w:tc>
        <w:tc>
          <w:tcPr>
            <w:tcW w:w="1197" w:type="dxa"/>
            <w:gridSpan w:val="4"/>
            <w:vMerge w:val="restart"/>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每层或</w:t>
            </w:r>
          </w:p>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每节柱高</w:t>
            </w:r>
          </w:p>
        </w:tc>
        <w:tc>
          <w:tcPr>
            <w:tcW w:w="1642" w:type="dxa"/>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w:t>
            </w:r>
            <w:r>
              <w:rPr>
                <w:rFonts w:ascii="楷体" w:hAnsi="楷体" w:eastAsia="楷体"/>
                <w:bCs/>
                <w:color w:val="0000FF"/>
                <w:kern w:val="0"/>
                <w:sz w:val="18"/>
                <w:szCs w:val="18"/>
              </w:rPr>
              <w:t>5.0m</w:t>
            </w:r>
          </w:p>
        </w:tc>
        <w:tc>
          <w:tcPr>
            <w:tcW w:w="1787" w:type="dxa"/>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8</w:t>
            </w:r>
          </w:p>
        </w:tc>
        <w:tc>
          <w:tcPr>
            <w:tcW w:w="1701" w:type="dxa"/>
            <w:vMerge w:val="restart"/>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i/>
                <w:iCs/>
                <w:color w:val="0000FF"/>
                <w:kern w:val="0"/>
                <w:sz w:val="18"/>
                <w:szCs w:val="18"/>
              </w:rPr>
              <w:t>h</w:t>
            </w:r>
            <w:r>
              <w:rPr>
                <w:rFonts w:ascii="楷体" w:hAnsi="楷体" w:eastAsia="楷体"/>
                <w:bCs/>
                <w:color w:val="0000FF"/>
                <w:kern w:val="0"/>
                <w:sz w:val="18"/>
                <w:szCs w:val="18"/>
              </w:rPr>
              <w:t>/1000</w:t>
            </w:r>
            <w:r>
              <w:rPr>
                <w:rFonts w:hint="eastAsia" w:ascii="楷体" w:hAnsi="楷体" w:eastAsia="楷体"/>
                <w:bCs/>
                <w:color w:val="0000FF"/>
                <w:kern w:val="0"/>
                <w:sz w:val="18"/>
                <w:szCs w:val="18"/>
              </w:rPr>
              <w:t>，</w:t>
            </w:r>
          </w:p>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且不应大于</w:t>
            </w:r>
            <w:r>
              <w:rPr>
                <w:rFonts w:ascii="楷体" w:hAnsi="楷体" w:eastAsia="楷体"/>
                <w:bCs/>
                <w:color w:val="0000FF"/>
                <w:kern w:val="0"/>
                <w:sz w:val="18"/>
                <w:szCs w:val="18"/>
              </w:rPr>
              <w:t>10.0</w:t>
            </w:r>
          </w:p>
        </w:tc>
        <w:tc>
          <w:tcPr>
            <w:tcW w:w="1949" w:type="dxa"/>
            <w:vMerge w:val="restart"/>
            <w:vAlign w:val="center"/>
          </w:tcPr>
          <w:p>
            <w:pPr>
              <w:widowControl/>
              <w:adjustRightInd/>
              <w:spacing w:line="240" w:lineRule="auto"/>
              <w:ind w:firstLine="480"/>
              <w:jc w:val="center"/>
              <w:rPr>
                <w:rFonts w:ascii="楷体" w:hAnsi="楷体" w:eastAsia="楷体" w:cs="宋体"/>
                <w:bCs/>
                <w:color w:val="0000FF"/>
                <w:kern w:val="0"/>
                <w:sz w:val="18"/>
                <w:szCs w:val="18"/>
              </w:rPr>
            </w:pPr>
            <w:r>
              <w:rPr>
                <w:rFonts w:ascii="楷体" w:hAnsi="楷体" w:eastAsia="楷体"/>
                <w:color w:val="0000FF"/>
                <w:sz w:val="18"/>
                <w:szCs w:val="18"/>
              </w:rPr>
              <w:drawing>
                <wp:inline distT="0" distB="0" distL="0" distR="0">
                  <wp:extent cx="522605" cy="56007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a:xfrm>
                            <a:off x="0" y="0"/>
                            <a:ext cx="522605" cy="5600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3567" w:type="dxa"/>
            <w:vMerge w:val="continue"/>
            <w:vAlign w:val="center"/>
          </w:tcPr>
          <w:p>
            <w:pPr>
              <w:adjustRightInd/>
              <w:spacing w:line="240" w:lineRule="auto"/>
              <w:rPr>
                <w:rFonts w:ascii="楷体" w:hAnsi="楷体" w:eastAsia="楷体" w:cs="宋体"/>
                <w:bCs/>
                <w:color w:val="0000FF"/>
                <w:sz w:val="18"/>
                <w:szCs w:val="18"/>
              </w:rPr>
            </w:pPr>
          </w:p>
        </w:tc>
        <w:tc>
          <w:tcPr>
            <w:tcW w:w="9545" w:type="dxa"/>
            <w:gridSpan w:val="4"/>
            <w:vMerge w:val="continue"/>
            <w:vAlign w:val="center"/>
          </w:tcPr>
          <w:p>
            <w:pPr>
              <w:adjustRightInd/>
              <w:spacing w:line="240" w:lineRule="auto"/>
              <w:rPr>
                <w:rFonts w:ascii="楷体" w:hAnsi="楷体" w:eastAsia="楷体" w:cs="宋体"/>
                <w:bCs/>
                <w:color w:val="0000FF"/>
                <w:sz w:val="18"/>
                <w:szCs w:val="18"/>
              </w:rPr>
            </w:pPr>
          </w:p>
        </w:tc>
        <w:tc>
          <w:tcPr>
            <w:tcW w:w="1642" w:type="dxa"/>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&gt;5.0m</w:t>
            </w:r>
          </w:p>
        </w:tc>
        <w:tc>
          <w:tcPr>
            <w:tcW w:w="1787" w:type="dxa"/>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10</w:t>
            </w:r>
          </w:p>
        </w:tc>
        <w:tc>
          <w:tcPr>
            <w:tcW w:w="1701" w:type="dxa"/>
            <w:vMerge w:val="continue"/>
            <w:vAlign w:val="center"/>
          </w:tcPr>
          <w:p>
            <w:pPr>
              <w:adjustRightInd/>
              <w:spacing w:line="240" w:lineRule="auto"/>
              <w:rPr>
                <w:rFonts w:ascii="楷体" w:hAnsi="楷体" w:eastAsia="楷体" w:cs="宋体"/>
                <w:bCs/>
                <w:color w:val="0000FF"/>
                <w:sz w:val="18"/>
                <w:szCs w:val="18"/>
              </w:rPr>
            </w:pPr>
          </w:p>
        </w:tc>
        <w:tc>
          <w:tcPr>
            <w:tcW w:w="1949" w:type="dxa"/>
            <w:vMerge w:val="continue"/>
            <w:vAlign w:val="center"/>
          </w:tcPr>
          <w:p>
            <w:pPr>
              <w:adjustRightInd/>
              <w:spacing w:line="240" w:lineRule="auto"/>
              <w:rPr>
                <w:rFonts w:ascii="楷体" w:hAnsi="楷体" w:eastAsia="楷体" w:cs="宋体"/>
                <w:bCs/>
                <w:color w:val="0000FF"/>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3567" w:type="dxa"/>
            <w:vMerge w:val="continue"/>
            <w:vAlign w:val="center"/>
          </w:tcPr>
          <w:p>
            <w:pPr>
              <w:adjustRightInd/>
              <w:spacing w:line="240" w:lineRule="auto"/>
              <w:rPr>
                <w:rFonts w:ascii="楷体" w:hAnsi="楷体" w:eastAsia="楷体" w:cs="宋体"/>
                <w:bCs/>
                <w:color w:val="0000FF"/>
                <w:sz w:val="18"/>
                <w:szCs w:val="18"/>
              </w:rPr>
            </w:pPr>
          </w:p>
        </w:tc>
        <w:tc>
          <w:tcPr>
            <w:tcW w:w="2839" w:type="dxa"/>
            <w:gridSpan w:val="5"/>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主体结构全高</w:t>
            </w:r>
          </w:p>
        </w:tc>
        <w:tc>
          <w:tcPr>
            <w:tcW w:w="1787" w:type="dxa"/>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i/>
                <w:iCs/>
                <w:color w:val="0000FF"/>
                <w:kern w:val="0"/>
                <w:sz w:val="18"/>
                <w:szCs w:val="18"/>
              </w:rPr>
              <w:t>H</w:t>
            </w:r>
            <w:r>
              <w:rPr>
                <w:rFonts w:ascii="楷体" w:hAnsi="楷体" w:eastAsia="楷体"/>
                <w:bCs/>
                <w:color w:val="0000FF"/>
                <w:kern w:val="0"/>
                <w:sz w:val="18"/>
                <w:szCs w:val="18"/>
              </w:rPr>
              <w:t>/1000</w:t>
            </w:r>
            <w:r>
              <w:rPr>
                <w:rFonts w:hint="eastAsia" w:ascii="楷体" w:hAnsi="楷体" w:eastAsia="楷体"/>
                <w:bCs/>
                <w:color w:val="0000FF"/>
                <w:kern w:val="0"/>
                <w:sz w:val="18"/>
                <w:szCs w:val="18"/>
              </w:rPr>
              <w:t>，</w:t>
            </w:r>
          </w:p>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且不应大于</w:t>
            </w:r>
            <w:r>
              <w:rPr>
                <w:rFonts w:ascii="楷体" w:hAnsi="楷体" w:eastAsia="楷体"/>
                <w:bCs/>
                <w:color w:val="0000FF"/>
                <w:kern w:val="0"/>
                <w:sz w:val="18"/>
                <w:szCs w:val="18"/>
              </w:rPr>
              <w:t>30</w:t>
            </w:r>
          </w:p>
        </w:tc>
        <w:tc>
          <w:tcPr>
            <w:tcW w:w="1701" w:type="dxa"/>
            <w:vAlign w:val="center"/>
          </w:tcPr>
          <w:p>
            <w:pPr>
              <w:widowControl/>
              <w:adjustRightInd/>
              <w:spacing w:line="240" w:lineRule="auto"/>
              <w:jc w:val="center"/>
              <w:rPr>
                <w:rFonts w:ascii="楷体" w:hAnsi="楷体" w:eastAsia="楷体" w:cs="宋体"/>
                <w:bCs/>
                <w:color w:val="0000FF"/>
                <w:kern w:val="0"/>
                <w:sz w:val="18"/>
                <w:szCs w:val="18"/>
              </w:rPr>
            </w:pPr>
            <w:r>
              <w:rPr>
                <w:rFonts w:ascii="楷体" w:hAnsi="楷体" w:eastAsia="楷体"/>
                <w:bCs/>
                <w:color w:val="0000FF"/>
                <w:kern w:val="0"/>
                <w:sz w:val="18"/>
                <w:szCs w:val="18"/>
              </w:rPr>
              <w:t>(</w:t>
            </w:r>
            <w:r>
              <w:rPr>
                <w:rFonts w:ascii="楷体" w:hAnsi="楷体" w:eastAsia="楷体"/>
                <w:bCs/>
                <w:i/>
                <w:iCs/>
                <w:color w:val="0000FF"/>
                <w:kern w:val="0"/>
                <w:sz w:val="18"/>
                <w:szCs w:val="18"/>
              </w:rPr>
              <w:t>H</w:t>
            </w:r>
            <w:r>
              <w:rPr>
                <w:rFonts w:ascii="楷体" w:hAnsi="楷体" w:eastAsia="楷体"/>
                <w:bCs/>
                <w:color w:val="0000FF"/>
                <w:kern w:val="0"/>
                <w:sz w:val="18"/>
                <w:szCs w:val="18"/>
              </w:rPr>
              <w:t>/2500)+10.0</w:t>
            </w:r>
            <w:r>
              <w:rPr>
                <w:rFonts w:hint="eastAsia" w:ascii="楷体" w:hAnsi="楷体" w:eastAsia="楷体"/>
                <w:bCs/>
                <w:color w:val="0000FF"/>
                <w:kern w:val="0"/>
                <w:sz w:val="18"/>
                <w:szCs w:val="18"/>
              </w:rPr>
              <w:t>，</w:t>
            </w:r>
          </w:p>
          <w:p>
            <w:pPr>
              <w:widowControl/>
              <w:adjustRightInd/>
              <w:spacing w:line="240" w:lineRule="auto"/>
              <w:jc w:val="center"/>
              <w:rPr>
                <w:rFonts w:ascii="楷体" w:hAnsi="楷体" w:eastAsia="楷体" w:cs="宋体"/>
                <w:bCs/>
                <w:i/>
                <w:iCs/>
                <w:color w:val="0000FF"/>
                <w:kern w:val="0"/>
                <w:sz w:val="18"/>
                <w:szCs w:val="18"/>
              </w:rPr>
            </w:pPr>
            <w:r>
              <w:rPr>
                <w:rFonts w:hint="eastAsia" w:ascii="楷体" w:hAnsi="楷体" w:eastAsia="楷体"/>
                <w:bCs/>
                <w:color w:val="0000FF"/>
                <w:kern w:val="0"/>
                <w:sz w:val="18"/>
                <w:szCs w:val="18"/>
              </w:rPr>
              <w:t>且不应大于</w:t>
            </w:r>
            <w:r>
              <w:rPr>
                <w:rFonts w:ascii="楷体" w:hAnsi="楷体" w:eastAsia="楷体"/>
                <w:bCs/>
                <w:color w:val="0000FF"/>
                <w:kern w:val="0"/>
                <w:sz w:val="18"/>
                <w:szCs w:val="18"/>
              </w:rPr>
              <w:t>50</w:t>
            </w:r>
          </w:p>
        </w:tc>
        <w:tc>
          <w:tcPr>
            <w:tcW w:w="1949" w:type="dxa"/>
            <w:vAlign w:val="center"/>
          </w:tcPr>
          <w:p>
            <w:pPr>
              <w:widowControl/>
              <w:adjustRightInd/>
              <w:spacing w:line="240" w:lineRule="auto"/>
              <w:ind w:firstLine="480"/>
              <w:jc w:val="center"/>
              <w:rPr>
                <w:rFonts w:ascii="楷体" w:hAnsi="楷体" w:eastAsia="楷体" w:cs="宋体"/>
                <w:bCs/>
                <w:color w:val="0000FF"/>
                <w:kern w:val="0"/>
                <w:sz w:val="18"/>
                <w:szCs w:val="18"/>
              </w:rPr>
            </w:pPr>
            <w:r>
              <w:rPr>
                <w:rFonts w:ascii="楷体" w:hAnsi="楷体" w:eastAsia="楷体"/>
                <w:color w:val="0000FF"/>
                <w:sz w:val="18"/>
                <w:szCs w:val="18"/>
              </w:rPr>
              <w:drawing>
                <wp:inline distT="0" distB="0" distL="0" distR="0">
                  <wp:extent cx="447675" cy="475615"/>
                  <wp:effectExtent l="0" t="0" r="9525"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a:xfrm>
                            <a:off x="0" y="0"/>
                            <a:ext cx="447675" cy="4756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8" w:type="dxa"/>
            <w:vMerge w:val="restart"/>
            <w:tcBorders>
              <w:bottom w:val="single" w:color="auto" w:sz="12" w:space="0"/>
            </w:tcBorders>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结构标高对标高线偏移</w:t>
            </w:r>
          </w:p>
        </w:tc>
        <w:tc>
          <w:tcPr>
            <w:tcW w:w="2839" w:type="dxa"/>
            <w:gridSpan w:val="5"/>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基础上柱底安装标高偏移</w:t>
            </w:r>
          </w:p>
        </w:tc>
        <w:tc>
          <w:tcPr>
            <w:tcW w:w="1787" w:type="dxa"/>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w:t>
            </w:r>
            <w:r>
              <w:rPr>
                <w:rFonts w:ascii="楷体" w:hAnsi="楷体" w:eastAsia="楷体"/>
                <w:bCs/>
                <w:color w:val="0000FF"/>
                <w:kern w:val="0"/>
                <w:sz w:val="18"/>
                <w:szCs w:val="18"/>
              </w:rPr>
              <w:t>5.0</w:t>
            </w:r>
          </w:p>
        </w:tc>
        <w:tc>
          <w:tcPr>
            <w:tcW w:w="1701" w:type="dxa"/>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w:t>
            </w:r>
            <w:r>
              <w:rPr>
                <w:rFonts w:ascii="楷体" w:hAnsi="楷体" w:eastAsia="楷体"/>
                <w:bCs/>
                <w:color w:val="0000FF"/>
                <w:kern w:val="0"/>
                <w:sz w:val="18"/>
                <w:szCs w:val="18"/>
              </w:rPr>
              <w:t>2.0</w:t>
            </w:r>
          </w:p>
        </w:tc>
        <w:tc>
          <w:tcPr>
            <w:tcW w:w="1949" w:type="dxa"/>
            <w:vAlign w:val="center"/>
          </w:tcPr>
          <w:p>
            <w:pPr>
              <w:widowControl/>
              <w:adjustRightInd/>
              <w:spacing w:line="240" w:lineRule="auto"/>
              <w:jc w:val="center"/>
              <w:rPr>
                <w:rFonts w:ascii="楷体" w:hAnsi="楷体" w:eastAsia="楷体"/>
                <w:bCs/>
                <w:color w:val="0000FF"/>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67" w:type="dxa"/>
            <w:vMerge w:val="continue"/>
            <w:tcBorders>
              <w:bottom w:val="single" w:color="auto" w:sz="12" w:space="0"/>
            </w:tcBorders>
            <w:vAlign w:val="center"/>
          </w:tcPr>
          <w:p>
            <w:pPr>
              <w:adjustRightInd/>
              <w:spacing w:line="240" w:lineRule="auto"/>
              <w:rPr>
                <w:rFonts w:ascii="楷体" w:hAnsi="楷体" w:eastAsia="楷体" w:cs="宋体"/>
                <w:bCs/>
                <w:color w:val="0000FF"/>
                <w:sz w:val="18"/>
                <w:szCs w:val="18"/>
              </w:rPr>
            </w:pPr>
          </w:p>
        </w:tc>
        <w:tc>
          <w:tcPr>
            <w:tcW w:w="2839" w:type="dxa"/>
            <w:gridSpan w:val="5"/>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每层或每节柱的标高偏移</w:t>
            </w:r>
          </w:p>
        </w:tc>
        <w:tc>
          <w:tcPr>
            <w:tcW w:w="1787" w:type="dxa"/>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w:t>
            </w:r>
            <w:r>
              <w:rPr>
                <w:rFonts w:ascii="楷体" w:hAnsi="楷体" w:eastAsia="楷体"/>
                <w:bCs/>
                <w:color w:val="0000FF"/>
                <w:kern w:val="0"/>
                <w:sz w:val="18"/>
                <w:szCs w:val="18"/>
              </w:rPr>
              <w:t>10.0</w:t>
            </w:r>
          </w:p>
        </w:tc>
        <w:tc>
          <w:tcPr>
            <w:tcW w:w="1701" w:type="dxa"/>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w:t>
            </w:r>
            <w:r>
              <w:rPr>
                <w:rFonts w:ascii="楷体" w:hAnsi="楷体" w:eastAsia="楷体"/>
                <w:bCs/>
                <w:color w:val="0000FF"/>
                <w:kern w:val="0"/>
                <w:sz w:val="18"/>
                <w:szCs w:val="18"/>
              </w:rPr>
              <w:t>3.0</w:t>
            </w:r>
          </w:p>
        </w:tc>
        <w:tc>
          <w:tcPr>
            <w:tcW w:w="1949" w:type="dxa"/>
            <w:vAlign w:val="center"/>
          </w:tcPr>
          <w:p>
            <w:pPr>
              <w:widowControl/>
              <w:adjustRightInd/>
              <w:spacing w:line="240" w:lineRule="auto"/>
              <w:ind w:firstLine="360"/>
              <w:jc w:val="center"/>
              <w:rPr>
                <w:rFonts w:ascii="楷体" w:hAnsi="楷体" w:eastAsia="楷体"/>
                <w:bCs/>
                <w:color w:val="0000FF"/>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3567" w:type="dxa"/>
            <w:vMerge w:val="continue"/>
            <w:tcBorders>
              <w:bottom w:val="single" w:color="auto" w:sz="12" w:space="0"/>
            </w:tcBorders>
            <w:vAlign w:val="center"/>
          </w:tcPr>
          <w:p>
            <w:pPr>
              <w:adjustRightInd/>
              <w:spacing w:line="240" w:lineRule="auto"/>
              <w:rPr>
                <w:rFonts w:ascii="楷体" w:hAnsi="楷体" w:eastAsia="楷体" w:cs="宋体"/>
                <w:bCs/>
                <w:color w:val="0000FF"/>
                <w:sz w:val="18"/>
                <w:szCs w:val="18"/>
              </w:rPr>
            </w:pPr>
          </w:p>
        </w:tc>
        <w:tc>
          <w:tcPr>
            <w:tcW w:w="819" w:type="dxa"/>
            <w:gridSpan w:val="3"/>
            <w:tcBorders>
              <w:bottom w:val="single" w:color="auto" w:sz="12" w:space="0"/>
            </w:tcBorders>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结构顶部标高偏移</w:t>
            </w:r>
          </w:p>
        </w:tc>
        <w:tc>
          <w:tcPr>
            <w:tcW w:w="2020" w:type="dxa"/>
            <w:gridSpan w:val="2"/>
            <w:vAlign w:val="center"/>
          </w:tcPr>
          <w:p>
            <w:pPr>
              <w:widowControl/>
              <w:adjustRightInd/>
              <w:spacing w:line="240" w:lineRule="auto"/>
              <w:ind w:left="-65" w:leftChars="-31" w:right="-107" w:rightChars="-51"/>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用相对标高控制安装</w:t>
            </w:r>
          </w:p>
        </w:tc>
        <w:tc>
          <w:tcPr>
            <w:tcW w:w="1787" w:type="dxa"/>
            <w:tcBorders>
              <w:bottom w:val="single" w:color="auto" w:sz="12" w:space="0"/>
            </w:tcBorders>
            <w:vAlign w:val="center"/>
          </w:tcPr>
          <w:p>
            <w:pPr>
              <w:widowControl/>
              <w:adjustRightInd/>
              <w:spacing w:line="240" w:lineRule="auto"/>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w:t>
            </w:r>
            <w:r>
              <w:rPr>
                <w:rFonts w:ascii="楷体" w:hAnsi="楷体" w:eastAsia="楷体"/>
                <w:bCs/>
                <w:color w:val="0000FF"/>
                <w:kern w:val="0"/>
                <w:sz w:val="18"/>
                <w:szCs w:val="18"/>
              </w:rPr>
              <w:t>30.0</w:t>
            </w:r>
          </w:p>
        </w:tc>
        <w:tc>
          <w:tcPr>
            <w:tcW w:w="1701" w:type="dxa"/>
            <w:vAlign w:val="center"/>
          </w:tcPr>
          <w:p>
            <w:pPr>
              <w:widowControl/>
              <w:adjustRightInd/>
              <w:spacing w:line="240" w:lineRule="auto"/>
              <w:ind w:left="-65" w:leftChars="-31" w:right="-107" w:rightChars="-51"/>
              <w:jc w:val="center"/>
              <w:rPr>
                <w:rFonts w:ascii="楷体" w:hAnsi="楷体" w:eastAsia="楷体" w:cs="宋体"/>
                <w:bCs/>
                <w:color w:val="0000FF"/>
                <w:kern w:val="0"/>
                <w:sz w:val="18"/>
                <w:szCs w:val="18"/>
              </w:rPr>
            </w:pPr>
            <w:r>
              <w:rPr>
                <w:rFonts w:hint="eastAsia" w:ascii="楷体" w:hAnsi="楷体" w:eastAsia="楷体"/>
                <w:bCs/>
                <w:color w:val="0000FF"/>
                <w:kern w:val="0"/>
                <w:sz w:val="18"/>
                <w:szCs w:val="18"/>
              </w:rPr>
              <w:t>±</w:t>
            </w:r>
            <w:r>
              <w:rPr>
                <w:rFonts w:ascii="楷体" w:hAnsi="楷体" w:eastAsia="楷体"/>
                <w:color w:val="0000FF"/>
                <w:position w:val="-20"/>
                <w:sz w:val="18"/>
                <w:szCs w:val="18"/>
              </w:rPr>
              <w:drawing>
                <wp:inline distT="0" distB="0" distL="0" distR="0">
                  <wp:extent cx="821055" cy="36385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a:xfrm>
                            <a:off x="0" y="0"/>
                            <a:ext cx="821055" cy="363855"/>
                          </a:xfrm>
                          <a:prstGeom prst="rect">
                            <a:avLst/>
                          </a:prstGeom>
                          <a:noFill/>
                          <a:ln>
                            <a:noFill/>
                          </a:ln>
                        </pic:spPr>
                      </pic:pic>
                    </a:graphicData>
                  </a:graphic>
                </wp:inline>
              </w:drawing>
            </w:r>
          </w:p>
        </w:tc>
        <w:tc>
          <w:tcPr>
            <w:tcW w:w="1949" w:type="dxa"/>
            <w:tcBorders>
              <w:bottom w:val="single" w:color="auto" w:sz="12" w:space="0"/>
            </w:tcBorders>
            <w:vAlign w:val="center"/>
          </w:tcPr>
          <w:p>
            <w:pPr>
              <w:widowControl/>
              <w:adjustRightInd/>
              <w:spacing w:line="240" w:lineRule="auto"/>
              <w:ind w:firstLine="480"/>
              <w:jc w:val="center"/>
              <w:rPr>
                <w:rFonts w:ascii="楷体" w:hAnsi="楷体" w:eastAsia="楷体" w:cs="宋体"/>
                <w:bCs/>
                <w:color w:val="0000FF"/>
                <w:kern w:val="0"/>
                <w:sz w:val="18"/>
                <w:szCs w:val="18"/>
              </w:rPr>
            </w:pPr>
            <w:r>
              <w:rPr>
                <w:rFonts w:ascii="楷体" w:hAnsi="楷体" w:eastAsia="楷体"/>
                <w:color w:val="0000FF"/>
                <w:sz w:val="18"/>
                <w:szCs w:val="18"/>
              </w:rPr>
              <w:drawing>
                <wp:inline distT="0" distB="0" distL="0" distR="0">
                  <wp:extent cx="709295" cy="74676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a:xfrm>
                            <a:off x="0" y="0"/>
                            <a:ext cx="709295" cy="746760"/>
                          </a:xfrm>
                          <a:prstGeom prst="rect">
                            <a:avLst/>
                          </a:prstGeom>
                          <a:noFill/>
                          <a:ln>
                            <a:noFill/>
                          </a:ln>
                        </pic:spPr>
                      </pic:pic>
                    </a:graphicData>
                  </a:graphic>
                </wp:inline>
              </w:drawing>
            </w:r>
          </w:p>
        </w:tc>
      </w:tr>
    </w:tbl>
    <w:p>
      <w:pPr>
        <w:pStyle w:val="167"/>
      </w:pPr>
      <w:r>
        <w:rPr>
          <w:rFonts w:hint="eastAsia"/>
        </w:rPr>
        <w:t>消能部件安装前，准备工作应包括下列内容：</w:t>
      </w:r>
    </w:p>
    <w:p>
      <w:pPr>
        <w:pStyle w:val="58"/>
        <w:ind w:firstLine="420"/>
      </w:pPr>
      <w:r>
        <w:rPr>
          <w:rFonts w:hint="eastAsia"/>
        </w:rPr>
        <w:t>1  消能部件的定位轴线、标高点等应进行复查。</w:t>
      </w:r>
    </w:p>
    <w:p>
      <w:pPr>
        <w:pStyle w:val="58"/>
        <w:ind w:firstLine="420"/>
      </w:pPr>
      <w:r>
        <w:rPr>
          <w:rFonts w:hint="eastAsia"/>
        </w:rPr>
        <w:t>2  消能部件的运输进场、存储及保管应符合制作单位提供的施工操作说明书和国家现行有关标准的规定。</w:t>
      </w:r>
    </w:p>
    <w:p>
      <w:pPr>
        <w:pStyle w:val="58"/>
        <w:ind w:firstLine="420"/>
      </w:pPr>
      <w:r>
        <w:rPr>
          <w:rFonts w:hint="eastAsia"/>
        </w:rPr>
        <w:t>3  按照消能器制作单位提供的施工操作说明书的要求，应核查安装方法和步骤。</w:t>
      </w:r>
    </w:p>
    <w:p>
      <w:pPr>
        <w:pStyle w:val="58"/>
        <w:ind w:firstLine="420"/>
      </w:pPr>
      <w:r>
        <w:rPr>
          <w:rFonts w:hint="eastAsia"/>
        </w:rPr>
        <w:t>4  对消能部件的制作质量应进行全面复查。</w:t>
      </w:r>
    </w:p>
    <w:p>
      <w:pPr>
        <w:pStyle w:val="167"/>
      </w:pPr>
      <w:r>
        <w:rPr>
          <w:rFonts w:hint="eastAsia"/>
        </w:rPr>
        <w:t>消能部件安装的吊装就位、测量校正应符合设计文件的要求。</w:t>
      </w:r>
    </w:p>
    <w:p>
      <w:pPr>
        <w:pStyle w:val="107"/>
        <w:spacing w:before="156" w:after="156"/>
        <w:jc w:val="center"/>
      </w:pPr>
      <w:r>
        <w:rPr>
          <w:rFonts w:hint="eastAsia"/>
        </w:rPr>
        <w:t>消能部件安装的焊接和紧固件连接</w:t>
      </w:r>
    </w:p>
    <w:p>
      <w:pPr>
        <w:pStyle w:val="167"/>
      </w:pPr>
      <w:r>
        <w:rPr>
          <w:rFonts w:hint="eastAsia"/>
        </w:rPr>
        <w:t>消能部件安装接头节点的焊接、螺栓连接，应符合设计文件和国家现行标准《钢结构焊接规范》GB 50661及《钢结构高强度螺栓连接技术规程》JGJ 82的规定。</w:t>
      </w:r>
    </w:p>
    <w:p>
      <w:pPr>
        <w:pStyle w:val="167"/>
      </w:pPr>
      <w:r>
        <w:rPr>
          <w:rFonts w:hint="eastAsia"/>
        </w:rPr>
        <w:t>消能部件采用铰接连接时，消能部件与销栓或球铰等铰接件之间的间隙应符合设计文件要求，当设计文件无要求时，间隙不应大于0.1mm。</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11.5.2</w:t>
      </w:r>
      <w:r>
        <w:rPr>
          <w:rFonts w:hint="eastAsia" w:ascii="华文楷体" w:hAnsi="华文楷体" w:eastAsia="华文楷体" w:cs="华文楷体"/>
          <w:color w:val="0000FF"/>
          <w:szCs w:val="20"/>
        </w:rPr>
        <w:t>消能部件采用铰接连接时，连接间隙会影响消能部件的消能性能的发挥，为了减小其对结构减震性能的影响，对采用铰接连接时，消能部件与销栓或球铰等铰接件之间的间隙应做出相应的规定。</w:t>
      </w:r>
    </w:p>
    <w:p>
      <w:pPr>
        <w:pStyle w:val="167"/>
      </w:pPr>
      <w:r>
        <w:rPr>
          <w:rFonts w:hint="eastAsia"/>
        </w:rPr>
        <w:t>消能部件安装连接完成后，应符合下列规定：</w:t>
      </w:r>
    </w:p>
    <w:p>
      <w:pPr>
        <w:pStyle w:val="58"/>
        <w:ind w:firstLine="420"/>
      </w:pPr>
      <w:r>
        <w:rPr>
          <w:rFonts w:hint="eastAsia"/>
        </w:rPr>
        <w:t>1  消能器没有形状异常及损害功能的外伤；</w:t>
      </w:r>
    </w:p>
    <w:p>
      <w:pPr>
        <w:pStyle w:val="58"/>
        <w:ind w:firstLine="420"/>
      </w:pPr>
      <w:r>
        <w:rPr>
          <w:rFonts w:hint="eastAsia"/>
        </w:rPr>
        <w:t>2  消能器的黏滞材料未泄漏，未出现涂层脱落和生锈；</w:t>
      </w:r>
    </w:p>
    <w:p>
      <w:pPr>
        <w:pStyle w:val="58"/>
        <w:ind w:firstLine="420"/>
        <w:rPr>
          <w:color w:val="FF0000"/>
        </w:rPr>
      </w:pPr>
      <w:r>
        <w:rPr>
          <w:rFonts w:hint="eastAsia"/>
          <w:color w:val="FF0000"/>
        </w:rPr>
        <w:t>3  对温差敏感的消能器采取有效措施防护，平面复杂超长结构宜采用考虑温度影响的消能减震结构分析模型进行计算；</w:t>
      </w:r>
    </w:p>
    <w:p>
      <w:pPr>
        <w:pStyle w:val="58"/>
        <w:ind w:firstLine="420"/>
      </w:pPr>
      <w:r>
        <w:rPr>
          <w:rFonts w:hint="eastAsia"/>
        </w:rPr>
        <w:t>4  消能部件的临时固定件应予撤除。</w:t>
      </w:r>
    </w:p>
    <w:p>
      <w:pPr>
        <w:pStyle w:val="58"/>
        <w:ind w:firstLine="0" w:firstLineChars="0"/>
        <w:rPr>
          <w:rFonts w:ascii="华文楷体" w:hAnsi="华文楷体" w:eastAsia="华文楷体" w:cs="华文楷体"/>
          <w:color w:val="0000FF"/>
        </w:rPr>
      </w:pPr>
      <w:r>
        <w:rPr>
          <w:rFonts w:hint="eastAsia" w:ascii="华文楷体" w:hAnsi="华文楷体" w:eastAsia="华文楷体" w:cs="华文楷体"/>
          <w:color w:val="0000FF"/>
        </w:rPr>
        <w:t>条文说明</w:t>
      </w:r>
      <w:r>
        <w:rPr>
          <w:rFonts w:ascii="华文楷体" w:hAnsi="华文楷体" w:eastAsia="华文楷体" w:cs="华文楷体"/>
          <w:color w:val="0000FF"/>
        </w:rPr>
        <w:t xml:space="preserve">11.5.3 </w:t>
      </w:r>
      <w:r>
        <w:rPr>
          <w:rFonts w:hint="eastAsia" w:ascii="华文楷体" w:hAnsi="华文楷体" w:eastAsia="华文楷体" w:cs="华文楷体"/>
          <w:color w:val="0000FF"/>
        </w:rPr>
        <w:t>对于速度相关型消能器其耗能功效与温度紧密相关，随工作环境温度的降低及升高，其耗能能力降低。因此对温差敏感的消能器要采取有效措施，将消能器工作环境控制在一定范围内，保证消能器正常工作。</w:t>
      </w:r>
    </w:p>
    <w:p>
      <w:pPr>
        <w:pStyle w:val="107"/>
        <w:spacing w:before="156" w:after="156"/>
        <w:jc w:val="center"/>
      </w:pPr>
      <w:r>
        <w:rPr>
          <w:rFonts w:hint="eastAsia"/>
        </w:rPr>
        <w:t>施工安全和施工质量验收</w:t>
      </w:r>
    </w:p>
    <w:p>
      <w:pPr>
        <w:pStyle w:val="167"/>
      </w:pPr>
      <w:r>
        <w:rPr>
          <w:rFonts w:hint="eastAsia"/>
        </w:rPr>
        <w:t>消能部件的施工应符合国家现行标准《建筑施工高处作业安全技术规程》JGJ 80和《建筑机械使用安全技术规程》JGJ 33的有关规定，并根据消能部件的施工安装特点，在施工组织设计中制定施工安全措施。</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11.6.1</w:t>
      </w:r>
      <w:r>
        <w:rPr>
          <w:rFonts w:hint="eastAsia" w:ascii="华文楷体" w:hAnsi="华文楷体" w:eastAsia="华文楷体" w:cs="华文楷体"/>
          <w:color w:val="0000FF"/>
          <w:szCs w:val="20"/>
        </w:rPr>
        <w:t>消能减震结构的施工是土建、安装等多工种、多单位的交叉混合施工，应严格遵守国家、行业、企业有关施工安全的技术标准和规定，并根据消能减震结构的施工安装特点，在编制施工组织设计文件时应制定安全施工、消防和环保等措施。</w:t>
      </w:r>
    </w:p>
    <w:p>
      <w:pPr>
        <w:pStyle w:val="167"/>
      </w:pPr>
      <w:r>
        <w:rPr>
          <w:rFonts w:hint="eastAsia"/>
        </w:rPr>
        <w:t>消能部件子分部工程有关安全及功能的见证取样检测项目和检验项目可按表11.6.2的规定执行。</w:t>
      </w:r>
    </w:p>
    <w:p>
      <w:pPr>
        <w:pStyle w:val="114"/>
        <w:numPr>
          <w:ilvl w:val="0"/>
          <w:numId w:val="0"/>
        </w:numPr>
        <w:spacing w:before="156" w:after="156"/>
      </w:pPr>
      <w:r>
        <w:rPr>
          <w:rFonts w:hint="eastAsia"/>
        </w:rPr>
        <w:t>表11.6.2  消能部件子分部工程有关安全及功能的见证取样检测项目和检验项目</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84"/>
        <w:gridCol w:w="2333"/>
        <w:gridCol w:w="2333"/>
        <w:gridCol w:w="23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784" w:type="dxa"/>
            <w:tcBorders>
              <w:top w:val="single" w:color="auto" w:sz="8" w:space="0"/>
              <w:bottom w:val="single" w:color="auto" w:sz="8" w:space="0"/>
            </w:tcBorders>
            <w:shd w:val="clear" w:color="auto" w:fill="auto"/>
            <w:vAlign w:val="center"/>
          </w:tcPr>
          <w:p>
            <w:pPr>
              <w:pStyle w:val="180"/>
            </w:pPr>
            <w:r>
              <w:rPr>
                <w:rFonts w:hint="eastAsia"/>
              </w:rPr>
              <w:t>项次</w:t>
            </w:r>
          </w:p>
        </w:tc>
        <w:tc>
          <w:tcPr>
            <w:tcW w:w="2333" w:type="dxa"/>
            <w:tcBorders>
              <w:top w:val="single" w:color="auto" w:sz="8" w:space="0"/>
              <w:bottom w:val="single" w:color="auto" w:sz="8" w:space="0"/>
            </w:tcBorders>
            <w:shd w:val="clear" w:color="auto" w:fill="auto"/>
            <w:vAlign w:val="center"/>
          </w:tcPr>
          <w:p>
            <w:pPr>
              <w:pStyle w:val="180"/>
            </w:pPr>
            <w:r>
              <w:rPr>
                <w:rFonts w:hint="eastAsia"/>
              </w:rPr>
              <w:t>项  目</w:t>
            </w:r>
          </w:p>
        </w:tc>
        <w:tc>
          <w:tcPr>
            <w:tcW w:w="2333" w:type="dxa"/>
            <w:tcBorders>
              <w:top w:val="single" w:color="auto" w:sz="8" w:space="0"/>
              <w:bottom w:val="single" w:color="auto" w:sz="8" w:space="0"/>
            </w:tcBorders>
            <w:shd w:val="clear" w:color="auto" w:fill="auto"/>
            <w:vAlign w:val="center"/>
          </w:tcPr>
          <w:p>
            <w:pPr>
              <w:pStyle w:val="180"/>
            </w:pPr>
            <w:r>
              <w:rPr>
                <w:rFonts w:hint="eastAsia"/>
              </w:rPr>
              <w:t>抽检数量及检验方法</w:t>
            </w:r>
          </w:p>
        </w:tc>
        <w:tc>
          <w:tcPr>
            <w:tcW w:w="2334" w:type="dxa"/>
            <w:tcBorders>
              <w:top w:val="single" w:color="auto" w:sz="8" w:space="0"/>
              <w:bottom w:val="single" w:color="auto" w:sz="8" w:space="0"/>
            </w:tcBorders>
            <w:shd w:val="clear" w:color="auto" w:fill="auto"/>
            <w:vAlign w:val="center"/>
          </w:tcPr>
          <w:p>
            <w:pPr>
              <w:pStyle w:val="180"/>
            </w:pPr>
            <w:r>
              <w:rPr>
                <w:rFonts w:hint="eastAsia"/>
              </w:rPr>
              <w:t>合格品质标准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84" w:type="dxa"/>
            <w:tcBorders>
              <w:top w:val="single" w:color="auto" w:sz="8" w:space="0"/>
            </w:tcBorders>
            <w:shd w:val="clear" w:color="auto" w:fill="auto"/>
            <w:vAlign w:val="center"/>
          </w:tcPr>
          <w:p>
            <w:pPr>
              <w:pStyle w:val="180"/>
            </w:pPr>
            <w:r>
              <w:t>1</w:t>
            </w:r>
          </w:p>
        </w:tc>
        <w:tc>
          <w:tcPr>
            <w:tcW w:w="2333" w:type="dxa"/>
            <w:tcBorders>
              <w:top w:val="single" w:color="auto" w:sz="8" w:space="0"/>
            </w:tcBorders>
            <w:shd w:val="clear" w:color="auto" w:fill="auto"/>
            <w:vAlign w:val="center"/>
          </w:tcPr>
          <w:p>
            <w:pPr>
              <w:pStyle w:val="180"/>
            </w:pPr>
            <w:r>
              <w:rPr>
                <w:rFonts w:hint="eastAsia"/>
              </w:rPr>
              <w:t>见证取样送样检验项目：</w:t>
            </w:r>
          </w:p>
        </w:tc>
        <w:tc>
          <w:tcPr>
            <w:tcW w:w="2333" w:type="dxa"/>
            <w:tcBorders>
              <w:top w:val="single" w:color="auto" w:sz="8" w:space="0"/>
            </w:tcBorders>
            <w:shd w:val="clear" w:color="auto" w:fill="auto"/>
            <w:vAlign w:val="center"/>
          </w:tcPr>
          <w:p>
            <w:pPr>
              <w:pStyle w:val="180"/>
            </w:pPr>
          </w:p>
        </w:tc>
        <w:tc>
          <w:tcPr>
            <w:tcW w:w="2334" w:type="dxa"/>
            <w:tcBorders>
              <w:top w:val="single" w:color="auto" w:sz="8" w:space="0"/>
            </w:tcBorders>
            <w:shd w:val="clear" w:color="auto" w:fill="auto"/>
            <w:vAlign w:val="center"/>
          </w:tcPr>
          <w:p>
            <w:pPr>
              <w:pStyle w:val="1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84" w:type="dxa"/>
            <w:shd w:val="clear" w:color="auto" w:fill="auto"/>
            <w:vAlign w:val="center"/>
          </w:tcPr>
          <w:p>
            <w:pPr>
              <w:pStyle w:val="180"/>
            </w:pPr>
            <w:r>
              <w:t>2</w:t>
            </w:r>
          </w:p>
        </w:tc>
        <w:tc>
          <w:tcPr>
            <w:tcW w:w="2333" w:type="dxa"/>
            <w:shd w:val="clear" w:color="auto" w:fill="auto"/>
            <w:vAlign w:val="center"/>
          </w:tcPr>
          <w:p>
            <w:pPr>
              <w:pStyle w:val="180"/>
            </w:pPr>
            <w:r>
              <w:rPr>
                <w:rFonts w:hint="eastAsia"/>
              </w:rPr>
              <w:t>(1)消能部件钢材复验；(2)高强度螺栓预拉力和扭矩系数复验；(3)摩擦面抗滑移系数复验</w:t>
            </w:r>
          </w:p>
        </w:tc>
        <w:tc>
          <w:tcPr>
            <w:tcW w:w="2333" w:type="dxa"/>
            <w:shd w:val="clear" w:color="auto" w:fill="auto"/>
            <w:vAlign w:val="center"/>
          </w:tcPr>
          <w:p>
            <w:pPr>
              <w:pStyle w:val="180"/>
            </w:pPr>
            <w:r>
              <w:rPr>
                <w:rFonts w:hint="eastAsia"/>
              </w:rPr>
              <w:t>《钢结构工程施工质量验收规范》GB 50205及《钢结构工程施工规范》GB 50755的有关规定</w:t>
            </w:r>
          </w:p>
        </w:tc>
        <w:tc>
          <w:tcPr>
            <w:tcW w:w="2334" w:type="dxa"/>
            <w:shd w:val="clear" w:color="auto" w:fill="auto"/>
            <w:vAlign w:val="center"/>
          </w:tcPr>
          <w:p>
            <w:pPr>
              <w:pStyle w:val="180"/>
            </w:pPr>
            <w:r>
              <w:rPr>
                <w:rFonts w:hint="eastAsia"/>
              </w:rPr>
              <w:t>《钢结构工程施工质量验收规范》GB 50205的有关规定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784" w:type="dxa"/>
            <w:shd w:val="clear" w:color="auto" w:fill="auto"/>
            <w:vAlign w:val="center"/>
          </w:tcPr>
          <w:p>
            <w:pPr>
              <w:pStyle w:val="180"/>
            </w:pPr>
            <w:r>
              <w:t>3</w:t>
            </w:r>
          </w:p>
        </w:tc>
        <w:tc>
          <w:tcPr>
            <w:tcW w:w="2333" w:type="dxa"/>
            <w:shd w:val="clear" w:color="auto" w:fill="auto"/>
            <w:vAlign w:val="center"/>
          </w:tcPr>
          <w:p>
            <w:pPr>
              <w:pStyle w:val="180"/>
            </w:pPr>
            <w:r>
              <w:rPr>
                <w:rFonts w:hint="eastAsia"/>
              </w:rPr>
              <w:t>焊缝质量：(1)焊缝尺寸；(2)内部缺陷；(3)外观缺陷</w:t>
            </w:r>
          </w:p>
        </w:tc>
        <w:tc>
          <w:tcPr>
            <w:tcW w:w="2333" w:type="dxa"/>
            <w:shd w:val="clear" w:color="auto" w:fill="auto"/>
            <w:vAlign w:val="center"/>
          </w:tcPr>
          <w:p>
            <w:pPr>
              <w:pStyle w:val="180"/>
            </w:pPr>
            <w:r>
              <w:rPr>
                <w:rFonts w:hint="eastAsia"/>
              </w:rPr>
              <w:t>一、二级焊缝按焊缝处数随机抽检3%，且不应少于3处；检验采用超声波或射线探伤及量规、观察</w:t>
            </w:r>
          </w:p>
        </w:tc>
        <w:tc>
          <w:tcPr>
            <w:tcW w:w="2334" w:type="dxa"/>
            <w:shd w:val="clear" w:color="auto" w:fill="auto"/>
            <w:vAlign w:val="center"/>
          </w:tcPr>
          <w:p>
            <w:pPr>
              <w:pStyle w:val="180"/>
            </w:pPr>
            <w:r>
              <w:rPr>
                <w:rFonts w:hint="eastAsia"/>
              </w:rPr>
              <w:t>《钢结构工程施工质量验收规范》GB 50205的有关规定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84" w:type="dxa"/>
            <w:shd w:val="clear" w:color="auto" w:fill="auto"/>
            <w:vAlign w:val="center"/>
          </w:tcPr>
          <w:p>
            <w:pPr>
              <w:pStyle w:val="180"/>
            </w:pPr>
            <w:r>
              <w:t>4</w:t>
            </w:r>
          </w:p>
        </w:tc>
        <w:tc>
          <w:tcPr>
            <w:tcW w:w="2333" w:type="dxa"/>
            <w:shd w:val="clear" w:color="auto" w:fill="auto"/>
            <w:vAlign w:val="center"/>
          </w:tcPr>
          <w:p>
            <w:pPr>
              <w:pStyle w:val="180"/>
            </w:pPr>
            <w:r>
              <w:rPr>
                <w:rFonts w:hint="eastAsia"/>
              </w:rPr>
              <w:t>高强度螺栓施工质量：(1)终拧扭矩；(2)梅花头检查</w:t>
            </w:r>
          </w:p>
        </w:tc>
        <w:tc>
          <w:tcPr>
            <w:tcW w:w="2333" w:type="dxa"/>
            <w:shd w:val="clear" w:color="auto" w:fill="auto"/>
            <w:vAlign w:val="center"/>
          </w:tcPr>
          <w:p>
            <w:pPr>
              <w:pStyle w:val="180"/>
            </w:pPr>
            <w:r>
              <w:rPr>
                <w:rFonts w:hint="eastAsia"/>
              </w:rPr>
              <w:t>按节点数随机抽检3%，且不应少于3个节点；检验方法应符合《钢结构工程施工质量验收规范》GB 50205的规定</w:t>
            </w:r>
          </w:p>
        </w:tc>
        <w:tc>
          <w:tcPr>
            <w:tcW w:w="2334" w:type="dxa"/>
            <w:shd w:val="clear" w:color="auto" w:fill="auto"/>
            <w:vAlign w:val="center"/>
          </w:tcPr>
          <w:p>
            <w:pPr>
              <w:pStyle w:val="180"/>
            </w:pPr>
            <w:r>
              <w:rPr>
                <w:rFonts w:hint="eastAsia"/>
              </w:rPr>
              <w:t>《钢结构工程施工质量验收规范》GB 50205的有关规定</w:t>
            </w:r>
          </w:p>
        </w:tc>
      </w:tr>
    </w:tbl>
    <w:p>
      <w:pPr>
        <w:pStyle w:val="167"/>
      </w:pPr>
      <w:r>
        <w:rPr>
          <w:rFonts w:hint="eastAsia"/>
        </w:rPr>
        <w:t>消能部件子分部工程的观感质量检查项目可按表11.6.3的规定执行。</w:t>
      </w:r>
    </w:p>
    <w:p>
      <w:pPr>
        <w:pStyle w:val="114"/>
        <w:numPr>
          <w:ilvl w:val="0"/>
          <w:numId w:val="0"/>
        </w:numPr>
        <w:spacing w:before="156" w:after="156"/>
      </w:pPr>
      <w:r>
        <w:rPr>
          <w:rFonts w:hint="eastAsia"/>
        </w:rPr>
        <w:t>表11.6.3  消能部件子分部工程观感质量检查项目</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84"/>
        <w:gridCol w:w="2333"/>
        <w:gridCol w:w="2333"/>
        <w:gridCol w:w="23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784" w:type="dxa"/>
            <w:tcBorders>
              <w:top w:val="single" w:color="auto" w:sz="8" w:space="0"/>
              <w:bottom w:val="single" w:color="auto" w:sz="8" w:space="0"/>
            </w:tcBorders>
            <w:shd w:val="clear" w:color="auto" w:fill="auto"/>
          </w:tcPr>
          <w:p>
            <w:pPr>
              <w:pStyle w:val="180"/>
            </w:pPr>
            <w:r>
              <w:rPr>
                <w:rFonts w:hint="eastAsia"/>
              </w:rPr>
              <w:t>项次</w:t>
            </w:r>
          </w:p>
        </w:tc>
        <w:tc>
          <w:tcPr>
            <w:tcW w:w="2333" w:type="dxa"/>
            <w:tcBorders>
              <w:top w:val="single" w:color="auto" w:sz="8" w:space="0"/>
              <w:bottom w:val="single" w:color="auto" w:sz="8" w:space="0"/>
            </w:tcBorders>
            <w:shd w:val="clear" w:color="auto" w:fill="auto"/>
          </w:tcPr>
          <w:p>
            <w:pPr>
              <w:pStyle w:val="180"/>
            </w:pPr>
            <w:r>
              <w:rPr>
                <w:rFonts w:hint="eastAsia"/>
              </w:rPr>
              <w:t>项  目</w:t>
            </w:r>
          </w:p>
        </w:tc>
        <w:tc>
          <w:tcPr>
            <w:tcW w:w="2333" w:type="dxa"/>
            <w:tcBorders>
              <w:top w:val="single" w:color="auto" w:sz="8" w:space="0"/>
              <w:bottom w:val="single" w:color="auto" w:sz="8" w:space="0"/>
            </w:tcBorders>
            <w:shd w:val="clear" w:color="auto" w:fill="auto"/>
          </w:tcPr>
          <w:p>
            <w:pPr>
              <w:pStyle w:val="180"/>
            </w:pPr>
            <w:r>
              <w:rPr>
                <w:rFonts w:hint="eastAsia"/>
              </w:rPr>
              <w:t>抽检方法、数量</w:t>
            </w:r>
          </w:p>
        </w:tc>
        <w:tc>
          <w:tcPr>
            <w:tcW w:w="2334" w:type="dxa"/>
            <w:tcBorders>
              <w:top w:val="single" w:color="auto" w:sz="8" w:space="0"/>
              <w:bottom w:val="single" w:color="auto" w:sz="8" w:space="0"/>
            </w:tcBorders>
            <w:shd w:val="clear" w:color="auto" w:fill="auto"/>
          </w:tcPr>
          <w:p>
            <w:pPr>
              <w:pStyle w:val="180"/>
            </w:pPr>
            <w:r>
              <w:rPr>
                <w:rFonts w:hint="eastAsia"/>
              </w:rPr>
              <w:t>合格品质标准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84" w:type="dxa"/>
            <w:tcBorders>
              <w:top w:val="single" w:color="auto" w:sz="8" w:space="0"/>
            </w:tcBorders>
            <w:shd w:val="clear" w:color="auto" w:fill="auto"/>
          </w:tcPr>
          <w:p>
            <w:pPr>
              <w:pStyle w:val="180"/>
            </w:pPr>
            <w:r>
              <w:rPr>
                <w:rFonts w:hint="eastAsia"/>
              </w:rPr>
              <w:t>1</w:t>
            </w:r>
          </w:p>
        </w:tc>
        <w:tc>
          <w:tcPr>
            <w:tcW w:w="2333" w:type="dxa"/>
            <w:tcBorders>
              <w:top w:val="single" w:color="auto" w:sz="8" w:space="0"/>
            </w:tcBorders>
            <w:shd w:val="clear" w:color="auto" w:fill="auto"/>
          </w:tcPr>
          <w:p>
            <w:pPr>
              <w:pStyle w:val="180"/>
            </w:pPr>
            <w:r>
              <w:rPr>
                <w:rFonts w:hint="eastAsia"/>
              </w:rPr>
              <w:t>消能部件的普通涂层表面</w:t>
            </w:r>
          </w:p>
        </w:tc>
        <w:tc>
          <w:tcPr>
            <w:tcW w:w="2333" w:type="dxa"/>
            <w:tcBorders>
              <w:top w:val="single" w:color="auto" w:sz="8" w:space="0"/>
            </w:tcBorders>
            <w:shd w:val="clear" w:color="auto" w:fill="auto"/>
          </w:tcPr>
          <w:p>
            <w:pPr>
              <w:pStyle w:val="180"/>
            </w:pPr>
            <w:r>
              <w:rPr>
                <w:rFonts w:hint="eastAsia"/>
              </w:rPr>
              <w:t>随机抽查3个部位的消能部件</w:t>
            </w:r>
          </w:p>
        </w:tc>
        <w:tc>
          <w:tcPr>
            <w:tcW w:w="2334" w:type="dxa"/>
            <w:tcBorders>
              <w:top w:val="single" w:color="auto" w:sz="8" w:space="0"/>
            </w:tcBorders>
            <w:shd w:val="clear" w:color="auto" w:fill="auto"/>
          </w:tcPr>
          <w:p>
            <w:pPr>
              <w:pStyle w:val="180"/>
            </w:pPr>
            <w:r>
              <w:rPr>
                <w:rFonts w:hint="eastAsia"/>
              </w:rPr>
              <w:t>均匀、无气泡、无皱纹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84" w:type="dxa"/>
            <w:shd w:val="clear" w:color="auto" w:fill="auto"/>
          </w:tcPr>
          <w:p>
            <w:pPr>
              <w:pStyle w:val="180"/>
            </w:pPr>
            <w:r>
              <w:rPr>
                <w:rFonts w:hint="eastAsia"/>
              </w:rPr>
              <w:t>2</w:t>
            </w:r>
          </w:p>
        </w:tc>
        <w:tc>
          <w:tcPr>
            <w:tcW w:w="2333" w:type="dxa"/>
            <w:shd w:val="clear" w:color="auto" w:fill="auto"/>
          </w:tcPr>
          <w:p>
            <w:pPr>
              <w:pStyle w:val="180"/>
            </w:pPr>
            <w:r>
              <w:rPr>
                <w:rFonts w:hint="eastAsia"/>
              </w:rPr>
              <w:t>连接节点</w:t>
            </w:r>
          </w:p>
        </w:tc>
        <w:tc>
          <w:tcPr>
            <w:tcW w:w="2333" w:type="dxa"/>
            <w:shd w:val="clear" w:color="auto" w:fill="auto"/>
          </w:tcPr>
          <w:p>
            <w:pPr>
              <w:pStyle w:val="180"/>
            </w:pPr>
            <w:r>
              <w:rPr>
                <w:rFonts w:hint="eastAsia"/>
              </w:rPr>
              <w:t>随机抽查10％</w:t>
            </w:r>
          </w:p>
        </w:tc>
        <w:tc>
          <w:tcPr>
            <w:tcW w:w="2334" w:type="dxa"/>
            <w:shd w:val="clear" w:color="auto" w:fill="auto"/>
          </w:tcPr>
          <w:p>
            <w:pPr>
              <w:pStyle w:val="180"/>
            </w:pPr>
            <w:r>
              <w:rPr>
                <w:rFonts w:hint="eastAsia"/>
              </w:rPr>
              <w:t>连接牢固，无明显外观缺陷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784" w:type="dxa"/>
            <w:shd w:val="clear" w:color="auto" w:fill="auto"/>
          </w:tcPr>
          <w:p>
            <w:pPr>
              <w:pStyle w:val="180"/>
            </w:pPr>
            <w:r>
              <w:rPr>
                <w:rFonts w:hint="eastAsia"/>
              </w:rPr>
              <w:t>3</w:t>
            </w:r>
          </w:p>
        </w:tc>
        <w:tc>
          <w:tcPr>
            <w:tcW w:w="2333" w:type="dxa"/>
            <w:shd w:val="clear" w:color="auto" w:fill="auto"/>
          </w:tcPr>
          <w:p>
            <w:pPr>
              <w:pStyle w:val="180"/>
            </w:pPr>
            <w:r>
              <w:rPr>
                <w:rFonts w:hint="eastAsia"/>
              </w:rPr>
              <w:t>工作范围内的障碍物</w:t>
            </w:r>
          </w:p>
        </w:tc>
        <w:tc>
          <w:tcPr>
            <w:tcW w:w="2333" w:type="dxa"/>
            <w:shd w:val="clear" w:color="auto" w:fill="auto"/>
          </w:tcPr>
          <w:p>
            <w:pPr>
              <w:pStyle w:val="180"/>
            </w:pPr>
            <w:r>
              <w:rPr>
                <w:rFonts w:hint="eastAsia"/>
              </w:rPr>
              <w:t>随机抽查10％</w:t>
            </w:r>
          </w:p>
        </w:tc>
        <w:tc>
          <w:tcPr>
            <w:tcW w:w="2334" w:type="dxa"/>
            <w:shd w:val="clear" w:color="auto" w:fill="auto"/>
          </w:tcPr>
          <w:p>
            <w:pPr>
              <w:pStyle w:val="180"/>
            </w:pPr>
            <w:r>
              <w:rPr>
                <w:rFonts w:hint="eastAsia"/>
              </w:rPr>
              <w:t>在工作范围内无障碍物</w:t>
            </w:r>
          </w:p>
        </w:tc>
      </w:tr>
    </w:tbl>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11.6.2~11.6.3</w:t>
      </w:r>
      <w:r>
        <w:rPr>
          <w:rFonts w:hint="eastAsia" w:ascii="华文楷体" w:hAnsi="华文楷体" w:eastAsia="华文楷体" w:cs="华文楷体"/>
          <w:color w:val="0000FF"/>
          <w:szCs w:val="20"/>
        </w:rPr>
        <w:t>在消能部件子分部工程的质量验收中，为便于该子分部工程有关安全及使用功能的见证取样检测和检验的可操作性，本条根据现行国家标准《钢结构工程施工质量验收规范》</w:t>
      </w:r>
      <w:r>
        <w:rPr>
          <w:rFonts w:ascii="华文楷体" w:hAnsi="华文楷体" w:eastAsia="华文楷体" w:cs="华文楷体"/>
          <w:color w:val="0000FF"/>
          <w:szCs w:val="20"/>
        </w:rPr>
        <w:t xml:space="preserve"> GB 50205</w:t>
      </w:r>
      <w:r>
        <w:rPr>
          <w:rFonts w:hint="eastAsia" w:ascii="华文楷体" w:hAnsi="华文楷体" w:eastAsia="华文楷体" w:cs="华文楷体"/>
          <w:color w:val="0000FF"/>
          <w:szCs w:val="20"/>
        </w:rPr>
        <w:t>，结合消能部件子分部工程的施工安装特点，规定了具体检测项目。</w:t>
      </w:r>
    </w:p>
    <w:p>
      <w:pPr>
        <w:pStyle w:val="107"/>
        <w:spacing w:before="156" w:after="156"/>
        <w:jc w:val="center"/>
      </w:pPr>
      <w:r>
        <w:rPr>
          <w:rFonts w:hint="eastAsia"/>
        </w:rPr>
        <w:t>消能器维护</w:t>
      </w:r>
    </w:p>
    <w:p>
      <w:pPr>
        <w:pStyle w:val="167"/>
      </w:pPr>
      <w:r>
        <w:rPr>
          <w:rFonts w:hint="eastAsia"/>
        </w:rPr>
        <w:t>消能部件的检查根据检查时间或时机可分为定期检查和应急检查，根据检查方法也可分为目测检查和抽样检验。</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11.7.1</w:t>
      </w:r>
      <w:r>
        <w:rPr>
          <w:rFonts w:hint="eastAsia" w:ascii="华文楷体" w:hAnsi="华文楷体" w:eastAsia="华文楷体" w:cs="华文楷体"/>
          <w:color w:val="0000FF"/>
          <w:szCs w:val="20"/>
        </w:rPr>
        <w:t>为保证消能部件在地震作用下能正常发挥其预定功能，确保建筑结构的安全，并为以后工程应用和标准修订积累经验，业主或房产管理部门等应在建筑结构使用过程中进行维护管理。</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本条根据美国《新建房屋抗震设计推荐性规范》</w:t>
      </w:r>
      <w:r>
        <w:rPr>
          <w:rFonts w:ascii="华文楷体" w:hAnsi="华文楷体" w:eastAsia="华文楷体" w:cs="华文楷体"/>
          <w:color w:val="0000FF"/>
          <w:szCs w:val="20"/>
        </w:rPr>
        <w:t xml:space="preserve"> FEMA368-2000</w:t>
      </w:r>
      <w:r>
        <w:rPr>
          <w:rFonts w:hint="eastAsia" w:ascii="华文楷体" w:hAnsi="华文楷体" w:eastAsia="华文楷体" w:cs="华文楷体"/>
          <w:color w:val="0000FF"/>
          <w:szCs w:val="20"/>
        </w:rPr>
        <w:t>、日本</w:t>
      </w:r>
      <w:r>
        <w:rPr>
          <w:rFonts w:ascii="华文楷体" w:hAnsi="华文楷体" w:eastAsia="华文楷体" w:cs="华文楷体"/>
          <w:color w:val="0000FF"/>
          <w:szCs w:val="20"/>
        </w:rPr>
        <w:t>JSSI</w:t>
      </w:r>
      <w:r>
        <w:rPr>
          <w:rFonts w:hint="eastAsia" w:ascii="华文楷体" w:hAnsi="华文楷体" w:eastAsia="华文楷体" w:cs="华文楷体"/>
          <w:color w:val="0000FF"/>
          <w:szCs w:val="20"/>
        </w:rPr>
        <w:t>《被动减震结构设计与施工手册》等文献关于消能减震结构的规定，经综合整理而制定。</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定期检查是由物业管理部门对消能部件本身及其与建筑物连接的状况进行的正常检查，其目的是力求尽早发现可能的异常以避免消能部件不能正常工作。</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应急检查是指在发生强震、强风、火灾、洪水等灾害后立即实施的检查，目的是检查确认上述灾害对消能部件性能有无影响。</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其中，抽样检测是消能部件的检查方法之一。所谓抽样检测，是指在定期检查或应急检查中，在结构中抽取在役的典型消能器，对其基本性能进行原位测试或实验室测试，目的是反映消能器在使用过程中可能发生的性能参数变化，并推定消能器能否达到设计使用年限等。</w:t>
      </w:r>
    </w:p>
    <w:p>
      <w:pPr>
        <w:pStyle w:val="167"/>
      </w:pPr>
      <w:r>
        <w:rPr>
          <w:rFonts w:hint="eastAsia"/>
        </w:rPr>
        <w:t>消能部件应根据消能器的类型、使用期间的具体情况、消能器设计使用年限和设计文件要求等进行定期检查。金属消能器、屈曲约束支撑在正常使用情况下可不进行定期检查；黏滞消能器在正常使用情况下一般10年或二次装修时应进行目测检查，在达到设计使用年限时应进行抽样检验。消能部件在遭遇地震、强风、火灾等灾害后应进行抽样检验。</w:t>
      </w:r>
    </w:p>
    <w:p>
      <w:pPr>
        <w:pStyle w:val="167"/>
      </w:pPr>
      <w:r>
        <w:rPr>
          <w:rFonts w:hint="eastAsia"/>
        </w:rPr>
        <w:t>消能器目测检查时，应观察消能器、支撑及连接构件等的外观、变形及其它问题。目测检查内容及维护方法应符合表11.7.3的规定。</w:t>
      </w:r>
    </w:p>
    <w:p>
      <w:pPr>
        <w:pStyle w:val="114"/>
        <w:numPr>
          <w:ilvl w:val="0"/>
          <w:numId w:val="0"/>
        </w:numPr>
        <w:spacing w:before="156" w:after="156"/>
      </w:pPr>
      <w:r>
        <w:rPr>
          <w:rFonts w:hint="eastAsia"/>
        </w:rPr>
        <w:t>表11.7.3  消能器目测检查内容及维护方法</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90"/>
        <w:gridCol w:w="5051"/>
        <w:gridCol w:w="11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790" w:type="dxa"/>
            <w:tcBorders>
              <w:top w:val="single" w:color="auto" w:sz="8" w:space="0"/>
              <w:bottom w:val="single" w:color="auto" w:sz="8" w:space="0"/>
            </w:tcBorders>
            <w:shd w:val="clear" w:color="auto" w:fill="auto"/>
            <w:vAlign w:val="center"/>
          </w:tcPr>
          <w:p>
            <w:pPr>
              <w:pStyle w:val="180"/>
            </w:pPr>
            <w:r>
              <w:rPr>
                <w:rFonts w:hint="eastAsia"/>
              </w:rPr>
              <w:t>序号</w:t>
            </w:r>
          </w:p>
        </w:tc>
        <w:tc>
          <w:tcPr>
            <w:tcW w:w="5051" w:type="dxa"/>
            <w:tcBorders>
              <w:top w:val="single" w:color="auto" w:sz="8" w:space="0"/>
              <w:bottom w:val="single" w:color="auto" w:sz="8" w:space="0"/>
            </w:tcBorders>
            <w:shd w:val="clear" w:color="auto" w:fill="auto"/>
            <w:vAlign w:val="center"/>
          </w:tcPr>
          <w:p>
            <w:pPr>
              <w:pStyle w:val="180"/>
            </w:pPr>
            <w:r>
              <w:rPr>
                <w:rFonts w:hint="eastAsia"/>
              </w:rPr>
              <w:t>检  查  内  容</w:t>
            </w:r>
          </w:p>
        </w:tc>
        <w:tc>
          <w:tcPr>
            <w:tcW w:w="1173" w:type="dxa"/>
            <w:tcBorders>
              <w:top w:val="single" w:color="auto" w:sz="8" w:space="0"/>
              <w:bottom w:val="single" w:color="auto" w:sz="8" w:space="0"/>
            </w:tcBorders>
            <w:shd w:val="clear" w:color="auto" w:fill="auto"/>
            <w:vAlign w:val="center"/>
          </w:tcPr>
          <w:p>
            <w:pPr>
              <w:pStyle w:val="180"/>
            </w:pPr>
            <w:r>
              <w:rPr>
                <w:rFonts w:hint="eastAsia"/>
              </w:rPr>
              <w:t>维护方法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90" w:type="dxa"/>
            <w:tcBorders>
              <w:top w:val="single" w:color="auto" w:sz="8" w:space="0"/>
            </w:tcBorders>
            <w:shd w:val="clear" w:color="auto" w:fill="auto"/>
            <w:vAlign w:val="center"/>
          </w:tcPr>
          <w:p>
            <w:pPr>
              <w:pStyle w:val="180"/>
            </w:pPr>
            <w:r>
              <w:rPr>
                <w:rFonts w:hint="eastAsia"/>
              </w:rPr>
              <w:t>1</w:t>
            </w:r>
          </w:p>
        </w:tc>
        <w:tc>
          <w:tcPr>
            <w:tcW w:w="5051" w:type="dxa"/>
            <w:tcBorders>
              <w:top w:val="single" w:color="auto" w:sz="8" w:space="0"/>
            </w:tcBorders>
            <w:shd w:val="clear" w:color="auto" w:fill="auto"/>
            <w:vAlign w:val="center"/>
          </w:tcPr>
          <w:p>
            <w:pPr>
              <w:pStyle w:val="180"/>
            </w:pPr>
            <w:r>
              <w:rPr>
                <w:rFonts w:hint="eastAsia"/>
              </w:rPr>
              <w:t>黏滞消能器的导杆上漏油，黏滞阻尼材料泄漏</w:t>
            </w:r>
          </w:p>
        </w:tc>
        <w:tc>
          <w:tcPr>
            <w:tcW w:w="1173" w:type="dxa"/>
            <w:tcBorders>
              <w:top w:val="single" w:color="auto" w:sz="8" w:space="0"/>
            </w:tcBorders>
            <w:shd w:val="clear" w:color="auto" w:fill="auto"/>
            <w:vAlign w:val="center"/>
          </w:tcPr>
          <w:p>
            <w:pPr>
              <w:pStyle w:val="180"/>
            </w:pPr>
            <w:r>
              <w:rPr>
                <w:rFonts w:hint="eastAsia"/>
              </w:rPr>
              <w:t>更换消能器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90" w:type="dxa"/>
            <w:shd w:val="clear" w:color="auto" w:fill="auto"/>
            <w:vAlign w:val="center"/>
          </w:tcPr>
          <w:p>
            <w:pPr>
              <w:pStyle w:val="180"/>
            </w:pPr>
            <w:r>
              <w:rPr>
                <w:rFonts w:hint="eastAsia"/>
              </w:rPr>
              <w:t>2</w:t>
            </w:r>
          </w:p>
        </w:tc>
        <w:tc>
          <w:tcPr>
            <w:tcW w:w="5051" w:type="dxa"/>
            <w:shd w:val="clear" w:color="auto" w:fill="auto"/>
            <w:vAlign w:val="center"/>
          </w:tcPr>
          <w:p>
            <w:pPr>
              <w:pStyle w:val="180"/>
            </w:pPr>
            <w:r>
              <w:rPr>
                <w:rFonts w:hint="eastAsia"/>
              </w:rPr>
              <w:t>金属消能器产生明显的累积损伤和变形</w:t>
            </w:r>
          </w:p>
        </w:tc>
        <w:tc>
          <w:tcPr>
            <w:tcW w:w="1173" w:type="dxa"/>
            <w:shd w:val="clear" w:color="auto" w:fill="auto"/>
            <w:vAlign w:val="center"/>
          </w:tcPr>
          <w:p>
            <w:pPr>
              <w:pStyle w:val="180"/>
            </w:pPr>
            <w:r>
              <w:rPr>
                <w:rFonts w:hint="eastAsia"/>
              </w:rPr>
              <w:t>更换消能器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90" w:type="dxa"/>
            <w:shd w:val="clear" w:color="auto" w:fill="auto"/>
            <w:vAlign w:val="center"/>
          </w:tcPr>
          <w:p>
            <w:pPr>
              <w:pStyle w:val="180"/>
            </w:pPr>
            <w:r>
              <w:rPr>
                <w:rFonts w:hint="eastAsia"/>
              </w:rPr>
              <w:t>3</w:t>
            </w:r>
          </w:p>
        </w:tc>
        <w:tc>
          <w:tcPr>
            <w:tcW w:w="5051" w:type="dxa"/>
            <w:shd w:val="clear" w:color="auto" w:fill="auto"/>
            <w:vAlign w:val="center"/>
          </w:tcPr>
          <w:p>
            <w:pPr>
              <w:pStyle w:val="180"/>
            </w:pPr>
            <w:r>
              <w:rPr>
                <w:rFonts w:hint="eastAsia"/>
              </w:rPr>
              <w:t>消能器连接部位的螺栓出现松动，或焊缝有损伤</w:t>
            </w:r>
          </w:p>
        </w:tc>
        <w:tc>
          <w:tcPr>
            <w:tcW w:w="1173" w:type="dxa"/>
            <w:shd w:val="clear" w:color="auto" w:fill="auto"/>
            <w:vAlign w:val="center"/>
          </w:tcPr>
          <w:p>
            <w:pPr>
              <w:pStyle w:val="180"/>
            </w:pPr>
            <w:r>
              <w:rPr>
                <w:rFonts w:hint="eastAsia"/>
              </w:rPr>
              <w:t>紧固、补焊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90" w:type="dxa"/>
            <w:shd w:val="clear" w:color="auto" w:fill="auto"/>
            <w:vAlign w:val="center"/>
          </w:tcPr>
          <w:p>
            <w:pPr>
              <w:pStyle w:val="180"/>
            </w:pPr>
            <w:r>
              <w:rPr>
                <w:rFonts w:hint="eastAsia"/>
              </w:rPr>
              <w:t>4</w:t>
            </w:r>
          </w:p>
        </w:tc>
        <w:tc>
          <w:tcPr>
            <w:tcW w:w="5051" w:type="dxa"/>
            <w:shd w:val="clear" w:color="auto" w:fill="auto"/>
            <w:vAlign w:val="center"/>
          </w:tcPr>
          <w:p>
            <w:pPr>
              <w:pStyle w:val="180"/>
            </w:pPr>
            <w:r>
              <w:rPr>
                <w:rFonts w:hint="eastAsia"/>
              </w:rPr>
              <w:t>黏滞消能器的导杆出现腐蚀、表面污垢硬化结斑结块</w:t>
            </w:r>
          </w:p>
        </w:tc>
        <w:tc>
          <w:tcPr>
            <w:tcW w:w="1173" w:type="dxa"/>
            <w:shd w:val="clear" w:color="auto" w:fill="auto"/>
            <w:vAlign w:val="center"/>
          </w:tcPr>
          <w:p>
            <w:pPr>
              <w:pStyle w:val="180"/>
            </w:pPr>
            <w:r>
              <w:rPr>
                <w:rFonts w:hint="eastAsia"/>
              </w:rPr>
              <w:t>清除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90" w:type="dxa"/>
            <w:shd w:val="clear" w:color="auto" w:fill="auto"/>
            <w:vAlign w:val="center"/>
          </w:tcPr>
          <w:p>
            <w:pPr>
              <w:pStyle w:val="180"/>
            </w:pPr>
            <w:r>
              <w:rPr>
                <w:rFonts w:hint="eastAsia"/>
              </w:rPr>
              <w:t>5</w:t>
            </w:r>
          </w:p>
        </w:tc>
        <w:tc>
          <w:tcPr>
            <w:tcW w:w="5051" w:type="dxa"/>
            <w:shd w:val="clear" w:color="auto" w:fill="auto"/>
            <w:vAlign w:val="center"/>
          </w:tcPr>
          <w:p>
            <w:pPr>
              <w:pStyle w:val="180"/>
            </w:pPr>
            <w:r>
              <w:rPr>
                <w:rFonts w:hint="eastAsia"/>
              </w:rPr>
              <w:t>消能器被涂装的金属表面外露、锈蚀或损伤，防腐或防火涂装层出现裂纹、起皮、剥落、老化等</w:t>
            </w:r>
          </w:p>
        </w:tc>
        <w:tc>
          <w:tcPr>
            <w:tcW w:w="1173" w:type="dxa"/>
            <w:shd w:val="clear" w:color="auto" w:fill="auto"/>
            <w:vAlign w:val="center"/>
          </w:tcPr>
          <w:p>
            <w:pPr>
              <w:pStyle w:val="180"/>
            </w:pPr>
            <w:r>
              <w:rPr>
                <w:rFonts w:hint="eastAsia"/>
              </w:rPr>
              <w:t>重新涂装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90" w:type="dxa"/>
            <w:shd w:val="clear" w:color="auto" w:fill="auto"/>
            <w:vAlign w:val="center"/>
          </w:tcPr>
          <w:p>
            <w:pPr>
              <w:pStyle w:val="180"/>
            </w:pPr>
            <w:r>
              <w:rPr>
                <w:rFonts w:hint="eastAsia"/>
              </w:rPr>
              <w:t>6</w:t>
            </w:r>
          </w:p>
        </w:tc>
        <w:tc>
          <w:tcPr>
            <w:tcW w:w="5051" w:type="dxa"/>
            <w:shd w:val="clear" w:color="auto" w:fill="auto"/>
            <w:vAlign w:val="center"/>
          </w:tcPr>
          <w:p>
            <w:pPr>
              <w:pStyle w:val="180"/>
            </w:pPr>
            <w:r>
              <w:rPr>
                <w:rFonts w:hint="eastAsia"/>
              </w:rPr>
              <w:t>消能器产生弯曲、局部变形</w:t>
            </w:r>
          </w:p>
        </w:tc>
        <w:tc>
          <w:tcPr>
            <w:tcW w:w="1173" w:type="dxa"/>
            <w:shd w:val="clear" w:color="auto" w:fill="auto"/>
            <w:vAlign w:val="center"/>
          </w:tcPr>
          <w:p>
            <w:pPr>
              <w:pStyle w:val="180"/>
            </w:pPr>
            <w:r>
              <w:rPr>
                <w:rFonts w:hint="eastAsia"/>
              </w:rPr>
              <w:t>更换消能器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90" w:type="dxa"/>
            <w:shd w:val="clear" w:color="auto" w:fill="auto"/>
            <w:vAlign w:val="center"/>
          </w:tcPr>
          <w:p>
            <w:pPr>
              <w:pStyle w:val="180"/>
            </w:pPr>
            <w:r>
              <w:rPr>
                <w:rFonts w:hint="eastAsia"/>
              </w:rPr>
              <w:t>7</w:t>
            </w:r>
          </w:p>
        </w:tc>
        <w:tc>
          <w:tcPr>
            <w:tcW w:w="5051" w:type="dxa"/>
            <w:shd w:val="clear" w:color="auto" w:fill="auto"/>
            <w:vAlign w:val="center"/>
          </w:tcPr>
          <w:p>
            <w:pPr>
              <w:pStyle w:val="180"/>
            </w:pPr>
            <w:r>
              <w:rPr>
                <w:rFonts w:hint="eastAsia"/>
              </w:rPr>
              <w:t>消能器周围存在可能限制消能器正常工作的障碍物</w:t>
            </w:r>
          </w:p>
        </w:tc>
        <w:tc>
          <w:tcPr>
            <w:tcW w:w="1173" w:type="dxa"/>
            <w:shd w:val="clear" w:color="auto" w:fill="auto"/>
            <w:vAlign w:val="center"/>
          </w:tcPr>
          <w:p>
            <w:pPr>
              <w:pStyle w:val="180"/>
            </w:pPr>
            <w:r>
              <w:rPr>
                <w:rFonts w:hint="eastAsia"/>
              </w:rPr>
              <w:t>清除</w:t>
            </w:r>
          </w:p>
        </w:tc>
      </w:tr>
    </w:tbl>
    <w:p>
      <w:pPr>
        <w:pStyle w:val="167"/>
      </w:pPr>
      <w:r>
        <w:rPr>
          <w:rFonts w:hint="eastAsia"/>
        </w:rPr>
        <w:t>支撑目测检查时，应检查支撑、连接部位变形和外观及其他问题等，目测检查内容及维护处理方法应符合表11.7.4的规定：</w:t>
      </w:r>
    </w:p>
    <w:p>
      <w:pPr>
        <w:pStyle w:val="114"/>
        <w:numPr>
          <w:ilvl w:val="0"/>
          <w:numId w:val="0"/>
        </w:numPr>
        <w:spacing w:before="156" w:after="156"/>
      </w:pPr>
      <w:r>
        <w:rPr>
          <w:rFonts w:hint="eastAsia"/>
        </w:rPr>
        <w:t>表11.7.4  支撑目测内容及维护</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90"/>
        <w:gridCol w:w="5051"/>
        <w:gridCol w:w="11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790" w:type="dxa"/>
            <w:tcBorders>
              <w:top w:val="single" w:color="auto" w:sz="8" w:space="0"/>
              <w:bottom w:val="single" w:color="auto" w:sz="8" w:space="0"/>
            </w:tcBorders>
            <w:shd w:val="clear" w:color="auto" w:fill="auto"/>
            <w:vAlign w:val="center"/>
          </w:tcPr>
          <w:p>
            <w:pPr>
              <w:pStyle w:val="180"/>
            </w:pPr>
            <w:r>
              <w:rPr>
                <w:rFonts w:hint="eastAsia"/>
              </w:rPr>
              <w:t>序号</w:t>
            </w:r>
          </w:p>
        </w:tc>
        <w:tc>
          <w:tcPr>
            <w:tcW w:w="5051" w:type="dxa"/>
            <w:tcBorders>
              <w:top w:val="single" w:color="auto" w:sz="8" w:space="0"/>
              <w:bottom w:val="single" w:color="auto" w:sz="8" w:space="0"/>
            </w:tcBorders>
            <w:shd w:val="clear" w:color="auto" w:fill="auto"/>
            <w:vAlign w:val="center"/>
          </w:tcPr>
          <w:p>
            <w:pPr>
              <w:pStyle w:val="180"/>
            </w:pPr>
            <w:r>
              <w:rPr>
                <w:rFonts w:hint="eastAsia"/>
              </w:rPr>
              <w:t>目测检查内容</w:t>
            </w:r>
          </w:p>
        </w:tc>
        <w:tc>
          <w:tcPr>
            <w:tcW w:w="1173" w:type="dxa"/>
            <w:tcBorders>
              <w:top w:val="single" w:color="auto" w:sz="8" w:space="0"/>
              <w:bottom w:val="single" w:color="auto" w:sz="8" w:space="0"/>
            </w:tcBorders>
            <w:shd w:val="clear" w:color="auto" w:fill="auto"/>
            <w:vAlign w:val="center"/>
          </w:tcPr>
          <w:p>
            <w:pPr>
              <w:pStyle w:val="180"/>
            </w:pPr>
            <w:r>
              <w:rPr>
                <w:rFonts w:hint="eastAsia"/>
              </w:rPr>
              <w:t>维护方法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90" w:type="dxa"/>
            <w:tcBorders>
              <w:top w:val="single" w:color="auto" w:sz="8" w:space="0"/>
            </w:tcBorders>
            <w:shd w:val="clear" w:color="auto" w:fill="auto"/>
            <w:vAlign w:val="center"/>
          </w:tcPr>
          <w:p>
            <w:pPr>
              <w:pStyle w:val="180"/>
            </w:pPr>
            <w:r>
              <w:rPr>
                <w:rFonts w:hint="eastAsia"/>
              </w:rPr>
              <w:t>1</w:t>
            </w:r>
          </w:p>
        </w:tc>
        <w:tc>
          <w:tcPr>
            <w:tcW w:w="5051" w:type="dxa"/>
            <w:tcBorders>
              <w:top w:val="single" w:color="auto" w:sz="8" w:space="0"/>
            </w:tcBorders>
            <w:shd w:val="clear" w:color="auto" w:fill="auto"/>
            <w:vAlign w:val="center"/>
          </w:tcPr>
          <w:p>
            <w:pPr>
              <w:pStyle w:val="180"/>
            </w:pPr>
            <w:r>
              <w:rPr>
                <w:rFonts w:hint="eastAsia"/>
              </w:rPr>
              <w:t>出现弯曲、扭曲</w:t>
            </w:r>
          </w:p>
        </w:tc>
        <w:tc>
          <w:tcPr>
            <w:tcW w:w="1173" w:type="dxa"/>
            <w:tcBorders>
              <w:top w:val="single" w:color="auto" w:sz="8" w:space="0"/>
            </w:tcBorders>
            <w:shd w:val="clear" w:color="auto" w:fill="auto"/>
            <w:vAlign w:val="center"/>
          </w:tcPr>
          <w:p>
            <w:pPr>
              <w:pStyle w:val="180"/>
            </w:pPr>
            <w:r>
              <w:rPr>
                <w:rFonts w:hint="eastAsia"/>
              </w:rPr>
              <w:t>更换支撑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90" w:type="dxa"/>
            <w:shd w:val="clear" w:color="auto" w:fill="auto"/>
            <w:vAlign w:val="center"/>
          </w:tcPr>
          <w:p>
            <w:pPr>
              <w:pStyle w:val="180"/>
            </w:pPr>
            <w:r>
              <w:rPr>
                <w:rFonts w:hint="eastAsia"/>
              </w:rPr>
              <w:t>2</w:t>
            </w:r>
          </w:p>
        </w:tc>
        <w:tc>
          <w:tcPr>
            <w:tcW w:w="5051" w:type="dxa"/>
            <w:shd w:val="clear" w:color="auto" w:fill="auto"/>
            <w:vAlign w:val="center"/>
          </w:tcPr>
          <w:p>
            <w:pPr>
              <w:pStyle w:val="180"/>
            </w:pPr>
            <w:r>
              <w:rPr>
                <w:rFonts w:hint="eastAsia"/>
              </w:rPr>
              <w:t>焊缝有裂纹、螺栓、锚栓的螺母松动或出现间隙，连接件出现错动移位、松动等</w:t>
            </w:r>
          </w:p>
        </w:tc>
        <w:tc>
          <w:tcPr>
            <w:tcW w:w="1173" w:type="dxa"/>
            <w:shd w:val="clear" w:color="auto" w:fill="auto"/>
            <w:vAlign w:val="center"/>
          </w:tcPr>
          <w:p>
            <w:pPr>
              <w:pStyle w:val="180"/>
            </w:pPr>
            <w:r>
              <w:rPr>
                <w:rFonts w:hint="eastAsia"/>
              </w:rPr>
              <w:t>拧紧、补焊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90" w:type="dxa"/>
            <w:shd w:val="clear" w:color="auto" w:fill="auto"/>
            <w:vAlign w:val="center"/>
          </w:tcPr>
          <w:p>
            <w:pPr>
              <w:pStyle w:val="180"/>
            </w:pPr>
            <w:r>
              <w:rPr>
                <w:rFonts w:hint="eastAsia"/>
              </w:rPr>
              <w:t>3</w:t>
            </w:r>
          </w:p>
        </w:tc>
        <w:tc>
          <w:tcPr>
            <w:tcW w:w="5051" w:type="dxa"/>
            <w:shd w:val="clear" w:color="auto" w:fill="auto"/>
            <w:vAlign w:val="center"/>
          </w:tcPr>
          <w:p>
            <w:pPr>
              <w:pStyle w:val="180"/>
            </w:pPr>
            <w:r>
              <w:rPr>
                <w:rFonts w:hint="eastAsia"/>
              </w:rPr>
              <w:t>支撑和连接部位被涂装的金属表面、焊缝或紧固件表面上，出现金属外露、锈蚀或损伤等</w:t>
            </w:r>
          </w:p>
        </w:tc>
        <w:tc>
          <w:tcPr>
            <w:tcW w:w="1173" w:type="dxa"/>
            <w:shd w:val="clear" w:color="auto" w:fill="auto"/>
            <w:vAlign w:val="center"/>
          </w:tcPr>
          <w:p>
            <w:pPr>
              <w:pStyle w:val="180"/>
            </w:pPr>
            <w:r>
              <w:rPr>
                <w:rFonts w:hint="eastAsia"/>
              </w:rPr>
              <w:t>重新涂装</w:t>
            </w:r>
          </w:p>
        </w:tc>
      </w:tr>
    </w:tbl>
    <w:p>
      <w:pPr>
        <w:pStyle w:val="167"/>
      </w:pPr>
      <w:r>
        <w:rPr>
          <w:rFonts w:hint="eastAsia"/>
        </w:rPr>
        <w:t>消能部件抽样检验时，应在结构中抽取在役的典型黏滞消能器，对其基本性能进行原位测试或实验室测试，测试内容应能反映消能器在使用期间可能发生的性能参数变化，并应能推定可否达到预定的使用年限。</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条文说明</w:t>
      </w:r>
      <w:r>
        <w:rPr>
          <w:rFonts w:ascii="华文楷体" w:hAnsi="华文楷体" w:eastAsia="华文楷体" w:cs="华文楷体"/>
          <w:color w:val="0000FF"/>
          <w:szCs w:val="20"/>
        </w:rPr>
        <w:t>11.7.5</w:t>
      </w:r>
      <w:r>
        <w:rPr>
          <w:rFonts w:hint="eastAsia" w:ascii="华文楷体" w:hAnsi="华文楷体" w:eastAsia="华文楷体" w:cs="华文楷体"/>
          <w:color w:val="0000FF"/>
          <w:szCs w:val="20"/>
        </w:rPr>
        <w:t>消能部件正常维护中，定期目测检查的周期主要根据消能部件中关键部件</w:t>
      </w:r>
      <w:r>
        <w:rPr>
          <w:rFonts w:ascii="华文楷体" w:hAnsi="华文楷体" w:eastAsia="华文楷体" w:cs="华文楷体"/>
          <w:color w:val="0000FF"/>
          <w:szCs w:val="20"/>
        </w:rPr>
        <w:t>——</w:t>
      </w:r>
      <w:r>
        <w:rPr>
          <w:rFonts w:hint="eastAsia" w:ascii="华文楷体" w:hAnsi="华文楷体" w:eastAsia="华文楷体" w:cs="华文楷体"/>
          <w:color w:val="0000FF"/>
          <w:szCs w:val="20"/>
        </w:rPr>
        <w:t>消能器的设计使用年限，并参照现有一般结构构件的维护实践经验确定。一般结构构件实际检查周期大致为</w:t>
      </w:r>
      <w:r>
        <w:rPr>
          <w:rFonts w:ascii="华文楷体" w:hAnsi="华文楷体" w:eastAsia="华文楷体" w:cs="华文楷体"/>
          <w:color w:val="0000FF"/>
          <w:szCs w:val="20"/>
        </w:rPr>
        <w:t>10</w:t>
      </w:r>
      <w:r>
        <w:rPr>
          <w:rFonts w:hint="eastAsia" w:ascii="华文楷体" w:hAnsi="华文楷体" w:eastAsia="华文楷体" w:cs="华文楷体"/>
          <w:color w:val="0000FF"/>
          <w:szCs w:val="20"/>
        </w:rPr>
        <w:t>～</w:t>
      </w:r>
      <w:r>
        <w:rPr>
          <w:rFonts w:ascii="华文楷体" w:hAnsi="华文楷体" w:eastAsia="华文楷体" w:cs="华文楷体"/>
          <w:color w:val="0000FF"/>
          <w:szCs w:val="20"/>
        </w:rPr>
        <w:t>15</w:t>
      </w:r>
      <w:r>
        <w:rPr>
          <w:rFonts w:hint="eastAsia" w:ascii="华文楷体" w:hAnsi="华文楷体" w:eastAsia="华文楷体" w:cs="华文楷体"/>
          <w:color w:val="0000FF"/>
          <w:szCs w:val="20"/>
        </w:rPr>
        <w:t>年，约为结构设计使用年限的</w:t>
      </w:r>
      <w:r>
        <w:rPr>
          <w:rFonts w:ascii="华文楷体" w:hAnsi="华文楷体" w:eastAsia="华文楷体" w:cs="华文楷体"/>
          <w:color w:val="0000FF"/>
          <w:szCs w:val="20"/>
        </w:rPr>
        <w:t>1/5</w:t>
      </w:r>
      <w:r>
        <w:rPr>
          <w:rFonts w:hint="eastAsia" w:ascii="华文楷体" w:hAnsi="华文楷体" w:eastAsia="华文楷体" w:cs="华文楷体"/>
          <w:color w:val="0000FF"/>
          <w:szCs w:val="20"/>
        </w:rPr>
        <w:t>～</w:t>
      </w:r>
      <w:r>
        <w:rPr>
          <w:rFonts w:ascii="华文楷体" w:hAnsi="华文楷体" w:eastAsia="华文楷体" w:cs="华文楷体"/>
          <w:color w:val="0000FF"/>
          <w:szCs w:val="20"/>
        </w:rPr>
        <w:t>1/3</w:t>
      </w:r>
      <w:r>
        <w:rPr>
          <w:rFonts w:hint="eastAsia" w:ascii="华文楷体" w:hAnsi="华文楷体" w:eastAsia="华文楷体" w:cs="华文楷体"/>
          <w:color w:val="0000FF"/>
          <w:szCs w:val="20"/>
        </w:rPr>
        <w:t>。在正常使用与正常维护下，不同类型消能器的设计使用年限虽然不同，然而，定期检查的周期以消能器的设计使用年限为基础取其</w:t>
      </w:r>
      <w:r>
        <w:rPr>
          <w:rFonts w:ascii="华文楷体" w:hAnsi="华文楷体" w:eastAsia="华文楷体" w:cs="华文楷体"/>
          <w:color w:val="0000FF"/>
          <w:szCs w:val="20"/>
        </w:rPr>
        <w:t>1/5</w:t>
      </w:r>
      <w:r>
        <w:rPr>
          <w:rFonts w:hint="eastAsia" w:ascii="华文楷体" w:hAnsi="华文楷体" w:eastAsia="华文楷体" w:cs="华文楷体"/>
          <w:color w:val="0000FF"/>
          <w:szCs w:val="20"/>
        </w:rPr>
        <w:t>～</w:t>
      </w:r>
      <w:r>
        <w:rPr>
          <w:rFonts w:ascii="华文楷体" w:hAnsi="华文楷体" w:eastAsia="华文楷体" w:cs="华文楷体"/>
          <w:color w:val="0000FF"/>
          <w:szCs w:val="20"/>
        </w:rPr>
        <w:t>1/3</w:t>
      </w:r>
      <w:r>
        <w:rPr>
          <w:rFonts w:hint="eastAsia" w:ascii="华文楷体" w:hAnsi="华文楷体" w:eastAsia="华文楷体" w:cs="华文楷体"/>
          <w:color w:val="0000FF"/>
          <w:szCs w:val="20"/>
        </w:rPr>
        <w:t>，即约为</w:t>
      </w:r>
      <w:r>
        <w:rPr>
          <w:rFonts w:ascii="华文楷体" w:hAnsi="华文楷体" w:eastAsia="华文楷体" w:cs="华文楷体"/>
          <w:color w:val="0000FF"/>
          <w:szCs w:val="20"/>
        </w:rPr>
        <w:t>10</w:t>
      </w:r>
      <w:r>
        <w:rPr>
          <w:rFonts w:hint="eastAsia" w:ascii="华文楷体" w:hAnsi="华文楷体" w:eastAsia="华文楷体" w:cs="华文楷体"/>
          <w:color w:val="0000FF"/>
          <w:szCs w:val="20"/>
        </w:rPr>
        <w:t>年，应该属于一个较正常的时间间隔。但由于建筑使用的特殊性，进行定期检查时会影响建筑使用，为此，对于金属消能器和屈曲约束支撑等金属材料耗能的消能器，在正常使用情况下可不进行定期检查；黏滞消能器在正常使用情况下一般</w:t>
      </w:r>
      <w:r>
        <w:rPr>
          <w:rFonts w:ascii="华文楷体" w:hAnsi="华文楷体" w:eastAsia="华文楷体" w:cs="华文楷体"/>
          <w:color w:val="0000FF"/>
          <w:szCs w:val="20"/>
        </w:rPr>
        <w:t>10</w:t>
      </w:r>
      <w:r>
        <w:rPr>
          <w:rFonts w:hint="eastAsia" w:ascii="华文楷体" w:hAnsi="华文楷体" w:eastAsia="华文楷体" w:cs="华文楷体"/>
          <w:color w:val="0000FF"/>
          <w:szCs w:val="20"/>
        </w:rPr>
        <w:t>年或二次装修时应进行目测检查，在达到设计使用年限时应进行抽样检查。</w:t>
      </w:r>
    </w:p>
    <w:p>
      <w:pPr>
        <w:adjustRightInd/>
        <w:spacing w:line="240" w:lineRule="auto"/>
        <w:rPr>
          <w:rFonts w:ascii="华文楷体" w:hAnsi="华文楷体" w:eastAsia="华文楷体" w:cs="华文楷体"/>
          <w:color w:val="0000FF"/>
          <w:szCs w:val="20"/>
        </w:rPr>
      </w:pPr>
      <w:r>
        <w:rPr>
          <w:rFonts w:hint="eastAsia" w:ascii="华文楷体" w:hAnsi="华文楷体" w:eastAsia="华文楷体" w:cs="华文楷体"/>
          <w:color w:val="0000FF"/>
          <w:szCs w:val="20"/>
        </w:rPr>
        <w:t>消能部件的应急检查，包括应急目测检查和应急抽样检测，与主结构的应急检查要求是一致的，即在地震及其它外部扰动发生后（如地震、强风、火灾等灾害后），同样应对消能部件实施应急检查。通过应急检查，确认消能器是否超过极限能力或是否受到超过预估的损伤，以判断是否需要修理或更换。另外，即使消能器经检查未遭受到损伤，也要估计其附加支撑、连接件可能受到的影响。虽然消能部件一般是根据其设计使用年限内的累积地震损伤要求来设计制造的，但由于国内外消能减震工程应用实践的时间短，几乎没有大震下的实测性能数据及震害破坏经验，因而进行应急检查是必要的。</w:t>
      </w:r>
    </w:p>
    <w:p>
      <w:pPr>
        <w:pStyle w:val="167"/>
        <w:numPr>
          <w:ilvl w:val="0"/>
          <w:numId w:val="0"/>
        </w:numPr>
      </w:pPr>
    </w:p>
    <w:p>
      <w:pPr>
        <w:widowControl/>
        <w:adjustRightInd/>
        <w:spacing w:line="240" w:lineRule="auto"/>
        <w:jc w:val="left"/>
        <w:rPr>
          <w:rFonts w:ascii="黑体" w:hAnsi="Times New Roman" w:eastAsia="黑体"/>
          <w:kern w:val="0"/>
          <w:szCs w:val="20"/>
        </w:rPr>
      </w:pPr>
      <w:r>
        <w:br w:type="page"/>
      </w:r>
    </w:p>
    <w:p>
      <w:pPr>
        <w:pStyle w:val="106"/>
        <w:spacing w:before="312" w:after="312"/>
        <w:jc w:val="center"/>
      </w:pPr>
      <w:bookmarkStart w:id="60" w:name="_Toc92414102"/>
      <w:r>
        <w:rPr>
          <w:rFonts w:hint="eastAsia"/>
        </w:rPr>
        <w:t>隔震结构基本规定</w:t>
      </w:r>
      <w:bookmarkEnd w:id="60"/>
    </w:p>
    <w:p>
      <w:pPr>
        <w:pStyle w:val="107"/>
        <w:spacing w:before="156" w:after="156"/>
        <w:jc w:val="center"/>
      </w:pPr>
      <w:r>
        <w:rPr>
          <w:rFonts w:hint="eastAsia"/>
        </w:rPr>
        <w:t>一般规定</w:t>
      </w:r>
    </w:p>
    <w:p>
      <w:pPr>
        <w:pStyle w:val="67"/>
        <w:spacing w:before="156" w:after="156"/>
      </w:pPr>
      <w:r>
        <w:rPr>
          <w:rFonts w:hint="eastAsia"/>
        </w:rPr>
        <w:t>隔震结构设计可分为新建隔震结构设计和既有建筑隔震加固设计。</w:t>
      </w:r>
    </w:p>
    <w:p>
      <w:pPr>
        <w:rPr>
          <w:rFonts w:hint="eastAsia" w:ascii="华文楷体" w:hAnsi="华文楷体" w:eastAsia="华文楷体" w:cs="华文楷体"/>
          <w:color w:val="0000FF"/>
          <w:kern w:val="0"/>
          <w:szCs w:val="20"/>
        </w:rPr>
      </w:pPr>
      <w:r>
        <w:rPr>
          <w:rFonts w:hint="eastAsia" w:ascii="华文楷体" w:hAnsi="华文楷体" w:eastAsia="华文楷体" w:cs="华文楷体"/>
          <w:color w:val="0000FF"/>
          <w:kern w:val="0"/>
          <w:szCs w:val="20"/>
        </w:rPr>
        <w:t>条文说明：装配式建筑隔震结构也可参照执行。</w:t>
      </w:r>
    </w:p>
    <w:p>
      <w:pPr>
        <w:pStyle w:val="67"/>
        <w:spacing w:before="156" w:after="156"/>
      </w:pPr>
      <w:r>
        <w:rPr>
          <w:rFonts w:hint="eastAsia"/>
        </w:rPr>
        <w:t>隔震建筑应符合下列要求：</w:t>
      </w:r>
    </w:p>
    <w:p>
      <w:pPr>
        <w:pStyle w:val="111"/>
        <w:numPr>
          <w:ilvl w:val="1"/>
          <w:numId w:val="33"/>
        </w:numPr>
      </w:pPr>
      <w:r>
        <w:rPr>
          <w:rFonts w:hint="eastAsia"/>
        </w:rPr>
        <w:t>风荷载和其他非地震作用的水平荷载标准值产生的总水平力不宜超过结构总重力荷载代表值的10%；</w:t>
      </w:r>
    </w:p>
    <w:p>
      <w:pPr>
        <w:pStyle w:val="111"/>
        <w:numPr>
          <w:ilvl w:val="1"/>
          <w:numId w:val="33"/>
        </w:numPr>
      </w:pPr>
      <w:r>
        <w:rPr>
          <w:rFonts w:hint="eastAsia"/>
        </w:rPr>
        <w:t>隔震层应具备必要的竖向承载力、侧向刚度、弹性恢复力和阻尼；</w:t>
      </w:r>
    </w:p>
    <w:p>
      <w:pPr>
        <w:pStyle w:val="111"/>
        <w:numPr>
          <w:ilvl w:val="1"/>
          <w:numId w:val="33"/>
        </w:numPr>
      </w:pPr>
      <w:r>
        <w:rPr>
          <w:rFonts w:hint="eastAsia"/>
        </w:rPr>
        <w:t>穿过隔震层的设备配管、配线，应采用柔性连接或其他有效措施以适应隔震层的罕遇地震水平位移。</w:t>
      </w:r>
    </w:p>
    <w:p>
      <w:pPr>
        <w:pStyle w:val="58"/>
        <w:ind w:firstLine="0" w:firstLineChars="0"/>
        <w:rPr>
          <w:rFonts w:ascii="华文楷体" w:hAnsi="华文楷体" w:eastAsia="华文楷体" w:cs="华文楷体"/>
          <w:color w:val="0000FF"/>
        </w:rPr>
      </w:pPr>
      <w:r>
        <w:rPr>
          <w:rFonts w:hint="eastAsia" w:ascii="华文楷体" w:hAnsi="华文楷体" w:eastAsia="华文楷体" w:cs="华文楷体"/>
          <w:color w:val="0000FF"/>
        </w:rPr>
        <w:t>条文说明：穿过隔震层的柔性管道，应满足《建筑隔震柔性管道》（JG/T 541-2017）规定。</w:t>
      </w:r>
    </w:p>
    <w:p>
      <w:pPr>
        <w:pStyle w:val="67"/>
        <w:spacing w:before="156" w:after="156"/>
      </w:pPr>
      <w:r>
        <w:rPr>
          <w:rFonts w:hint="eastAsia"/>
        </w:rPr>
        <w:t>隔震层中承重构件，包括隔震支座、支墩、支柱及连接件等的设计使用年限不应低于建筑结构的设计使用年限。隔震层中的非承重构件或部件的设计使用年限若低于建筑结构的设计使用年限时，在设计中应注明并预设可更换措施。</w:t>
      </w:r>
    </w:p>
    <w:p>
      <w:pPr>
        <w:pStyle w:val="58"/>
        <w:ind w:firstLine="0" w:firstLineChars="0"/>
      </w:pPr>
      <w:r>
        <w:rPr>
          <w:rFonts w:hint="eastAsia" w:ascii="华文楷体" w:hAnsi="华文楷体" w:eastAsia="华文楷体" w:cs="华文楷体"/>
          <w:color w:val="0000FF"/>
        </w:rPr>
        <w:t xml:space="preserve"> </w:t>
      </w:r>
    </w:p>
    <w:p>
      <w:pPr>
        <w:pStyle w:val="107"/>
        <w:spacing w:before="156" w:after="156"/>
        <w:jc w:val="center"/>
      </w:pPr>
      <w:r>
        <w:rPr>
          <w:rFonts w:hint="eastAsia"/>
        </w:rPr>
        <w:t>场地、地基和基础</w:t>
      </w:r>
    </w:p>
    <w:p>
      <w:pPr>
        <w:pStyle w:val="67"/>
        <w:spacing w:before="156" w:after="156"/>
      </w:pPr>
      <w:r>
        <w:rPr>
          <w:rFonts w:hint="eastAsia"/>
        </w:rPr>
        <w:t>隔震建筑场地宜为I、II、III类，当场地为IV类时，应采取有效措施，作详细分析论证。</w:t>
      </w:r>
    </w:p>
    <w:p>
      <w:pPr>
        <w:rPr>
          <w:rFonts w:hint="eastAsia" w:ascii="华文楷体" w:hAnsi="华文楷体" w:eastAsia="华文楷体" w:cs="华文楷体"/>
          <w:color w:val="0000FF"/>
          <w:kern w:val="0"/>
          <w:szCs w:val="20"/>
        </w:rPr>
      </w:pPr>
      <w:r>
        <w:rPr>
          <w:rFonts w:hint="eastAsia" w:ascii="华文楷体" w:hAnsi="华文楷体" w:eastAsia="华文楷体" w:cs="华文楷体"/>
          <w:color w:val="0000FF"/>
          <w:kern w:val="0"/>
          <w:szCs w:val="20"/>
        </w:rPr>
        <w:t>条文说明：《建筑抗震设计规范》GB50011中12.1.3条，对于Ⅳ类场地建造隔震房屋时，应进行专门研究和专项审查。可以采取的有效措施包括在上部结构中设置减震装置，在隔震层中设置更合理的阻尼装置等。考虑到西藏自治区地质条件较为复杂，当建筑不可避免地选址在IV类场地时，应采取有效措施，并进行专项审查。</w:t>
      </w:r>
    </w:p>
    <w:p>
      <w:pPr>
        <w:pStyle w:val="67"/>
        <w:spacing w:before="156" w:after="156"/>
      </w:pPr>
      <w:r>
        <w:rPr>
          <w:rFonts w:hint="eastAsia"/>
        </w:rPr>
        <w:t>隔震建筑的地基应稳定可靠，对不满足要求的地基，应进行详细的结构分析并采取可靠的措施。</w:t>
      </w:r>
    </w:p>
    <w:p>
      <w:pPr>
        <w:rPr>
          <w:rFonts w:hint="eastAsia"/>
        </w:rPr>
      </w:pPr>
      <w:r>
        <w:rPr>
          <w:rFonts w:hint="eastAsia" w:ascii="华文楷体" w:hAnsi="华文楷体" w:eastAsia="华文楷体" w:cs="华文楷体"/>
          <w:color w:val="0000FF"/>
          <w:kern w:val="0"/>
          <w:szCs w:val="20"/>
        </w:rPr>
        <w:t>条文说明：隔震建筑的地基与基础的变形应该整体协调、一致，当地基情况不利时，应采取相应的措施加强地基基础的整体性。</w:t>
      </w:r>
    </w:p>
    <w:p>
      <w:pPr>
        <w:pStyle w:val="67"/>
        <w:spacing w:before="156" w:after="156"/>
      </w:pPr>
      <w:r>
        <w:rPr>
          <w:rFonts w:hint="eastAsia"/>
        </w:rPr>
        <w:t>隔震建筑地基基础的抗震验算和地基处理应满足本地区抗震设防烈度地震作用的要求，隔震建筑地基基础的构造措施，应符合《建筑抗震设计规范》GB50011的规定，对于重点设防类建筑的地基抗液化措施，应按提高一个液化等级确定，直至全部消除液化沉陷。</w:t>
      </w:r>
    </w:p>
    <w:p>
      <w:pPr>
        <w:rPr>
          <w:rFonts w:hint="eastAsia"/>
        </w:rPr>
      </w:pPr>
      <w:r>
        <w:rPr>
          <w:rFonts w:hint="eastAsia" w:ascii="华文楷体" w:hAnsi="华文楷体" w:eastAsia="华文楷体" w:cs="华文楷体"/>
          <w:color w:val="0000FF"/>
          <w:kern w:val="0"/>
          <w:szCs w:val="20"/>
        </w:rPr>
        <w:t xml:space="preserve"> 条文说明：本标准中隔震结构采用中震设计，相应的地基基础验算采用设防烈度地震作用。对于特殊设防类建筑的地基抗液化措施应进行专门研究，且不应低于重点设防类建筑的相应要求，直至全部消除液化沉陷。</w:t>
      </w:r>
    </w:p>
    <w:p>
      <w:pPr>
        <w:pStyle w:val="107"/>
        <w:spacing w:before="156" w:after="156"/>
        <w:jc w:val="center"/>
      </w:pPr>
      <w:r>
        <w:rPr>
          <w:rFonts w:hint="eastAsia"/>
        </w:rPr>
        <w:t>隔震支座</w:t>
      </w:r>
    </w:p>
    <w:p>
      <w:pPr>
        <w:pStyle w:val="67"/>
        <w:spacing w:before="156" w:after="156"/>
      </w:pPr>
      <w:r>
        <w:rPr>
          <w:rFonts w:hint="eastAsia"/>
        </w:rPr>
        <w:t>隔震结构应采用成熟的隔震支座类型，主要包括：天然橡胶支座（LNR），铅芯橡胶支座（LRB），高阻尼橡胶支座（HDR），弹性滑板支座（ESB），摩擦摆隔震支座(FPS)及其它隔震支座。</w:t>
      </w:r>
    </w:p>
    <w:p>
      <w:pPr>
        <w:rPr>
          <w:rFonts w:hint="eastAsia" w:ascii="华文楷体" w:hAnsi="华文楷体" w:eastAsia="华文楷体" w:cs="华文楷体"/>
          <w:color w:val="0000FF"/>
          <w:kern w:val="0"/>
          <w:szCs w:val="20"/>
        </w:rPr>
      </w:pPr>
      <w:r>
        <w:rPr>
          <w:rFonts w:hint="eastAsia" w:ascii="华文楷体" w:hAnsi="华文楷体" w:eastAsia="华文楷体" w:cs="华文楷体"/>
          <w:color w:val="0000FF"/>
          <w:kern w:val="0"/>
          <w:szCs w:val="20"/>
        </w:rPr>
        <w:t>条文说明：采用技术成熟的隔震支座产品，有利于保证工程质量，便于工程质量验收控制，有利于产品招标采购控制。因此本标准中建议采用有明确产品标准的隔震支座产品。本标准中主要针对采用“天然橡胶支座（LNR），铅芯橡胶支座（LRB），高阻尼橡胶支座（HDR），弹性滑板支座（ESB），摩擦摆隔震支座(FPS)”的隔震结构进行指导规范。</w:t>
      </w:r>
    </w:p>
    <w:p>
      <w:pPr>
        <w:pStyle w:val="67"/>
        <w:spacing w:before="156" w:after="156"/>
      </w:pPr>
      <w:r>
        <w:rPr>
          <w:rFonts w:hint="eastAsia"/>
        </w:rPr>
        <w:t>隔震支座产品应具有符合设计要求的型式检验报告。</w:t>
      </w:r>
    </w:p>
    <w:p>
      <w:pPr>
        <w:pStyle w:val="111"/>
        <w:numPr>
          <w:ilvl w:val="1"/>
          <w:numId w:val="34"/>
        </w:numPr>
      </w:pPr>
      <w:r>
        <w:rPr>
          <w:rFonts w:hint="eastAsia"/>
        </w:rPr>
        <w:t>建筑隔震橡胶支座在300%剪切应变50%轴向拉应变作用下，支座抗拉承载力不低于1.8MPa。。</w:t>
      </w:r>
    </w:p>
    <w:p>
      <w:pPr>
        <w:pStyle w:val="111"/>
        <w:numPr>
          <w:ilvl w:val="1"/>
          <w:numId w:val="34"/>
        </w:numPr>
      </w:pPr>
      <w:r>
        <w:rPr>
          <w:rFonts w:hint="eastAsia"/>
        </w:rPr>
        <w:t>建筑隔震橡胶支座厂家需具备专业的产品认证证书，且证书授权的范围可以涵盖项目中的所有型号方可使用。</w:t>
      </w:r>
    </w:p>
    <w:p>
      <w:pPr>
        <w:pStyle w:val="111"/>
        <w:numPr>
          <w:ilvl w:val="1"/>
          <w:numId w:val="34"/>
        </w:numPr>
      </w:pPr>
      <w:r>
        <w:rPr>
          <w:rFonts w:hint="eastAsia"/>
        </w:rPr>
        <w:t>摩擦摆隔震支座型检报告应包含标准中所提及到的橡胶围板、滑动材料等支座用材料的试验项目。</w:t>
      </w:r>
    </w:p>
    <w:p>
      <w:pPr>
        <w:pStyle w:val="111"/>
        <w:numPr>
          <w:ilvl w:val="1"/>
          <w:numId w:val="34"/>
        </w:numPr>
      </w:pPr>
      <w:r>
        <w:rPr>
          <w:rFonts w:hint="eastAsia"/>
        </w:rPr>
        <w:t>出具型检报告的检测机构应具备相应资质认证。</w:t>
      </w:r>
    </w:p>
    <w:p>
      <w:pPr>
        <w:rPr>
          <w:rFonts w:hint="eastAsia" w:ascii="华文楷体" w:hAnsi="华文楷体" w:eastAsia="华文楷体" w:cs="华文楷体"/>
          <w:color w:val="0000FF"/>
          <w:kern w:val="0"/>
          <w:szCs w:val="20"/>
        </w:rPr>
      </w:pPr>
      <w:r>
        <w:rPr>
          <w:rFonts w:hint="eastAsia" w:ascii="华文楷体" w:hAnsi="华文楷体" w:eastAsia="华文楷体" w:cs="华文楷体"/>
          <w:color w:val="0000FF"/>
          <w:kern w:val="0"/>
          <w:szCs w:val="20"/>
        </w:rPr>
        <w:t>条文说明：依据隔震支座产品规范，隔震支座产品应进行出厂检验和型式检验。型式检验合格后方可进行生产。考虑到西藏自治区高烈度区多，隔震结构设计中，隔震支座所承受的拉应力不超过1.0MPa，对于产品的检测要求应予以适当提高，此处规定支座抗拉承载力不低于1.8MPa。</w:t>
      </w:r>
    </w:p>
    <w:p>
      <w:pPr>
        <w:pStyle w:val="67"/>
        <w:spacing w:before="156" w:after="156"/>
      </w:pPr>
      <w:r>
        <w:rPr>
          <w:rFonts w:hint="eastAsia"/>
        </w:rPr>
        <w:t>隔震支座应符合下列要求：</w:t>
      </w:r>
    </w:p>
    <w:p>
      <w:pPr>
        <w:pStyle w:val="111"/>
        <w:numPr>
          <w:ilvl w:val="1"/>
          <w:numId w:val="35"/>
        </w:numPr>
      </w:pPr>
      <w:r>
        <w:rPr>
          <w:rFonts w:hint="eastAsia"/>
        </w:rPr>
        <w:t>支座在设计压应力值作用下，应具有满足要求的极限水平变形能力。</w:t>
      </w:r>
    </w:p>
    <w:p>
      <w:pPr>
        <w:pStyle w:val="111"/>
        <w:numPr>
          <w:ilvl w:val="1"/>
          <w:numId w:val="35"/>
        </w:numPr>
      </w:pPr>
      <w:r>
        <w:rPr>
          <w:rFonts w:hint="eastAsia"/>
        </w:rPr>
        <w:t xml:space="preserve">支座应具有一定的耗能能力。若支座提供的耗能能力不足，可设置附加耗能装置。 </w:t>
      </w:r>
    </w:p>
    <w:p>
      <w:pPr>
        <w:pStyle w:val="111"/>
        <w:numPr>
          <w:ilvl w:val="1"/>
          <w:numId w:val="35"/>
        </w:numPr>
      </w:pPr>
      <w:r>
        <w:rPr>
          <w:rFonts w:hint="eastAsia"/>
        </w:rPr>
        <w:t>支座应具有合理的水平刚度特性。支座的水平刚度值既应满足延长结构周期要求，也应满足控制极限位移和结构抵御风荷载等要求，并应为隔震层提供自动复位能力。</w:t>
      </w:r>
    </w:p>
    <w:p>
      <w:pPr>
        <w:pStyle w:val="111"/>
        <w:numPr>
          <w:ilvl w:val="1"/>
          <w:numId w:val="35"/>
        </w:numPr>
      </w:pPr>
      <w:r>
        <w:rPr>
          <w:rFonts w:hint="eastAsia"/>
        </w:rPr>
        <w:t>隔震装置的设置部位，应采取便于检查和替换的措施。</w:t>
      </w:r>
    </w:p>
    <w:p>
      <w:pPr>
        <w:pStyle w:val="67"/>
        <w:spacing w:before="156" w:after="156"/>
      </w:pPr>
      <w:r>
        <w:rPr>
          <w:rFonts w:hint="eastAsia"/>
        </w:rPr>
        <w:t>隔震支座应进行竖向承载力验算和罕遇地震作用下水平位移和抗震承载力的验算；其水平刚度、竖向刚度、阻尼、荷载-位移关系等特性应根据相应规范规程的要求经试验确定。</w:t>
      </w:r>
    </w:p>
    <w:p>
      <w:r>
        <w:rPr>
          <w:rFonts w:hint="eastAsia" w:ascii="华文楷体" w:hAnsi="华文楷体" w:eastAsia="华文楷体" w:cs="华文楷体"/>
          <w:color w:val="0000FF"/>
          <w:kern w:val="0"/>
          <w:szCs w:val="20"/>
        </w:rPr>
        <w:t>条文说明：上部结构的底部剪力通过隔震支座传给基础结构。因此，上部结构与隔震支座的连接件应具有罕遇地震作用下传递上部结构最大底部剪力和弯矩的能力。</w:t>
      </w:r>
    </w:p>
    <w:p>
      <w:pPr>
        <w:pStyle w:val="58"/>
        <w:ind w:firstLine="420"/>
        <w:rPr>
          <w:rFonts w:hint="eastAsia"/>
        </w:rPr>
      </w:pPr>
    </w:p>
    <w:p>
      <w:pPr>
        <w:pStyle w:val="107"/>
        <w:spacing w:before="156" w:after="156"/>
        <w:jc w:val="center"/>
      </w:pPr>
      <w:r>
        <w:rPr>
          <w:rFonts w:hint="eastAsia"/>
        </w:rPr>
        <w:t>结构计算</w:t>
      </w:r>
    </w:p>
    <w:p>
      <w:pPr>
        <w:pStyle w:val="67"/>
        <w:spacing w:before="156" w:after="156"/>
      </w:pPr>
      <w:r>
        <w:rPr>
          <w:rFonts w:hint="eastAsia"/>
        </w:rPr>
        <w:t>建筑结构隔震地震作用应符合下列规定：</w:t>
      </w:r>
    </w:p>
    <w:p>
      <w:pPr>
        <w:pStyle w:val="111"/>
        <w:numPr>
          <w:ilvl w:val="1"/>
          <w:numId w:val="36"/>
        </w:numPr>
      </w:pPr>
      <w:r>
        <w:rPr>
          <w:rFonts w:hint="eastAsia"/>
        </w:rPr>
        <w:t>砌体结构及基本周期与其相当的结构，水平地震作用可采用底部剪力法计算；</w:t>
      </w:r>
    </w:p>
    <w:p>
      <w:pPr>
        <w:pStyle w:val="111"/>
        <w:numPr>
          <w:ilvl w:val="1"/>
          <w:numId w:val="36"/>
        </w:numPr>
      </w:pPr>
      <w:r>
        <w:rPr>
          <w:rFonts w:hint="eastAsia"/>
        </w:rPr>
        <w:t>除第1款以外的结构应采用第4章振型分解反应谱法计算；</w:t>
      </w:r>
    </w:p>
    <w:p>
      <w:pPr>
        <w:pStyle w:val="111"/>
        <w:numPr>
          <w:ilvl w:val="1"/>
          <w:numId w:val="36"/>
        </w:numPr>
      </w:pPr>
      <w:r>
        <w:rPr>
          <w:rFonts w:hint="eastAsia"/>
        </w:rPr>
        <w:t>对于房屋高度大于 60m 的隔震建筑，不规则的建筑，或隔震层隔震支座、阻尼装置及其他装置的组合复杂的隔震建筑，尚应采用时程分析法进行补充计算。</w:t>
      </w:r>
    </w:p>
    <w:p>
      <w:r>
        <w:rPr>
          <w:rFonts w:hint="eastAsia" w:ascii="华文楷体" w:hAnsi="华文楷体" w:eastAsia="华文楷体" w:cs="华文楷体"/>
          <w:color w:val="0000FF"/>
          <w:kern w:val="0"/>
          <w:szCs w:val="20"/>
        </w:rPr>
        <w:t>条文说明：底部剪力法一般用于分析高度不超过24米,上部结构以剪切变形为主且质量和刚度沿高度分布比较均匀的隔震建筑，此处对底部剪力法的适用情况予以限制。时程分析法相应的分析工具已经较为成熟丰富，且时程分析法更适合于隔震结构分析，因此推荐使用时程分析法。</w:t>
      </w:r>
    </w:p>
    <w:p>
      <w:pPr>
        <w:pStyle w:val="67"/>
        <w:spacing w:before="156" w:after="156"/>
      </w:pPr>
      <w:r>
        <w:rPr>
          <w:rFonts w:hint="eastAsia"/>
        </w:rPr>
        <w:t>建筑结构隔震分析模型应符合下列规定：</w:t>
      </w:r>
    </w:p>
    <w:p>
      <w:pPr>
        <w:pStyle w:val="111"/>
        <w:numPr>
          <w:ilvl w:val="1"/>
          <w:numId w:val="37"/>
        </w:numPr>
      </w:pPr>
      <w:r>
        <w:rPr>
          <w:rFonts w:hint="eastAsia"/>
        </w:rPr>
        <w:t>隔震结构计算模型应包括上部结构、隔震层和下部结构；</w:t>
      </w:r>
    </w:p>
    <w:p>
      <w:pPr>
        <w:pStyle w:val="111"/>
        <w:numPr>
          <w:ilvl w:val="1"/>
          <w:numId w:val="37"/>
        </w:numPr>
      </w:pPr>
      <w:r>
        <w:rPr>
          <w:rFonts w:hint="eastAsia"/>
        </w:rPr>
        <w:t>隔震层以上结构的质心与隔震层刚度中心的偏心率大于3%时，应计入扭转效应的影响；</w:t>
      </w:r>
    </w:p>
    <w:p>
      <w:pPr>
        <w:pStyle w:val="111"/>
        <w:numPr>
          <w:ilvl w:val="1"/>
          <w:numId w:val="37"/>
        </w:numPr>
      </w:pPr>
      <w:r>
        <w:rPr>
          <w:rFonts w:hint="eastAsia"/>
        </w:rPr>
        <w:t>隔震层顶部的梁板结构，应作为其上部结构的一部分参与计算分析。</w:t>
      </w:r>
    </w:p>
    <w:p>
      <w:pPr>
        <w:pStyle w:val="67"/>
        <w:spacing w:before="156" w:after="156"/>
      </w:pPr>
      <w:r>
        <w:rPr>
          <w:rFonts w:hint="eastAsia"/>
        </w:rPr>
        <w:t>采用底部剪力法或振型分解反应谱法计算时，隔震支座和消能器计算参数符合下列规定：</w:t>
      </w:r>
    </w:p>
    <w:p>
      <w:pPr>
        <w:pStyle w:val="111"/>
        <w:numPr>
          <w:ilvl w:val="1"/>
          <w:numId w:val="38"/>
        </w:numPr>
      </w:pPr>
      <w:r>
        <w:rPr>
          <w:rFonts w:hint="eastAsia"/>
        </w:rPr>
        <w:t>普通橡胶隔震支座直接取支座弹性刚度；</w:t>
      </w:r>
    </w:p>
    <w:p>
      <w:pPr>
        <w:pStyle w:val="111"/>
        <w:numPr>
          <w:ilvl w:val="1"/>
          <w:numId w:val="38"/>
        </w:numPr>
      </w:pPr>
      <w:r>
        <w:rPr>
          <w:rFonts w:hint="eastAsia"/>
        </w:rPr>
        <w:t>铅芯橡胶隔震支座和高阻尼橡胶隔震支座取剪切变形100%时的等效刚度和等效阻尼，或取采用叠代方法计算设防烈度地震作用下支座变形下的等效刚度和等效阻尼比；</w:t>
      </w:r>
    </w:p>
    <w:p>
      <w:pPr>
        <w:pStyle w:val="111"/>
        <w:numPr>
          <w:ilvl w:val="1"/>
          <w:numId w:val="38"/>
        </w:numPr>
      </w:pPr>
      <w:r>
        <w:rPr>
          <w:rFonts w:hint="eastAsia"/>
        </w:rPr>
        <w:t>弹性滑板支座和摩擦摆隔震支座取采用叠代方法计算的设防烈度地震作用下支座变形的等效刚度和等效阻尼比；</w:t>
      </w:r>
    </w:p>
    <w:p>
      <w:pPr>
        <w:pStyle w:val="111"/>
        <w:numPr>
          <w:ilvl w:val="1"/>
          <w:numId w:val="38"/>
        </w:numPr>
      </w:pPr>
      <w:r>
        <w:rPr>
          <w:rFonts w:hint="eastAsia"/>
        </w:rPr>
        <w:t>非线性黏滞消能器取采用叠代方法设防烈度地震作用下隔震层质心处变形的等效阻尼比。</w:t>
      </w:r>
    </w:p>
    <w:p>
      <w:pPr>
        <w:pStyle w:val="67"/>
        <w:spacing w:before="156" w:after="156"/>
        <w:rPr>
          <w:highlight w:val="yellow"/>
        </w:rPr>
      </w:pPr>
      <w:r>
        <w:rPr>
          <w:rFonts w:hint="eastAsia"/>
          <w:highlight w:val="yellow"/>
        </w:rPr>
        <w:t>隔震结构按设防烈度地震作用计算后，上部结构地震作用效应应取0.35的折减系数折减后，按第4.4.1条进行组合。下部结构地震作用效应直接按第4.4.1进行组合。</w:t>
      </w:r>
    </w:p>
    <w:p>
      <w:pPr>
        <w:pStyle w:val="107"/>
        <w:spacing w:before="156" w:after="156"/>
        <w:jc w:val="center"/>
      </w:pPr>
      <w:r>
        <w:rPr>
          <w:rFonts w:hint="eastAsia"/>
        </w:rPr>
        <w:t>试验和观测</w:t>
      </w:r>
    </w:p>
    <w:p>
      <w:pPr>
        <w:pStyle w:val="67"/>
        <w:spacing w:before="156" w:after="156"/>
      </w:pPr>
      <w:r>
        <w:rPr>
          <w:rFonts w:hint="eastAsia"/>
        </w:rPr>
        <w:t>对甲类建筑，体型复杂或有特殊要求的隔震建筑，应采用结构模型的模拟地震振动台试验对隔震方案进行验证。</w:t>
      </w:r>
    </w:p>
    <w:p>
      <w:pPr>
        <w:pStyle w:val="67"/>
        <w:spacing w:before="156" w:after="156"/>
      </w:pPr>
      <w:r>
        <w:rPr>
          <w:rFonts w:hint="eastAsia"/>
        </w:rPr>
        <w:t>对较重要或有特殊要求的隔震建筑，应设置地震反应观测系统。</w:t>
      </w:r>
    </w:p>
    <w:p>
      <w:pPr>
        <w:pStyle w:val="67"/>
        <w:spacing w:before="156" w:after="156"/>
      </w:pPr>
      <w:r>
        <w:rPr>
          <w:rFonts w:hint="eastAsia"/>
        </w:rPr>
        <w:t>地震监测设施和地震观测环境的保护应满足《西藏自治区地震监测设施和地震观测环境保护办法》的要求。</w:t>
      </w:r>
    </w:p>
    <w:p>
      <w:pPr>
        <w:widowControl/>
        <w:adjustRightInd/>
        <w:spacing w:line="240" w:lineRule="auto"/>
        <w:jc w:val="left"/>
        <w:rPr>
          <w:rFonts w:ascii="宋体" w:hAnsi="Times New Roman"/>
          <w:kern w:val="0"/>
          <w:szCs w:val="20"/>
        </w:rPr>
      </w:pPr>
      <w:r>
        <w:br w:type="page"/>
      </w:r>
    </w:p>
    <w:p>
      <w:pPr>
        <w:pStyle w:val="106"/>
        <w:spacing w:before="312" w:after="312"/>
        <w:jc w:val="center"/>
      </w:pPr>
      <w:bookmarkStart w:id="61" w:name="_Toc92414103"/>
      <w:r>
        <w:rPr>
          <w:rFonts w:hint="eastAsia"/>
        </w:rPr>
        <w:t>隔震支座技术性能</w:t>
      </w:r>
      <w:bookmarkEnd w:id="61"/>
    </w:p>
    <w:p>
      <w:pPr>
        <w:pStyle w:val="107"/>
        <w:spacing w:before="156" w:after="156"/>
        <w:jc w:val="center"/>
      </w:pPr>
      <w:r>
        <w:rPr>
          <w:rFonts w:hint="eastAsia"/>
        </w:rPr>
        <w:t>一般规定</w:t>
      </w:r>
    </w:p>
    <w:p>
      <w:pPr>
        <w:pStyle w:val="67"/>
        <w:spacing w:before="156" w:after="156"/>
      </w:pPr>
      <w:r>
        <w:rPr>
          <w:rFonts w:hint="eastAsia"/>
        </w:rPr>
        <w:t>隔震设计时，隔震装置应符合下列要求：</w:t>
      </w:r>
    </w:p>
    <w:p>
      <w:pPr>
        <w:pStyle w:val="111"/>
        <w:numPr>
          <w:ilvl w:val="1"/>
          <w:numId w:val="39"/>
        </w:numPr>
      </w:pPr>
      <w:r>
        <w:rPr>
          <w:rFonts w:hint="eastAsia"/>
        </w:rPr>
        <w:t xml:space="preserve">隔震装置的性能参数应经试验确定。 </w:t>
      </w:r>
    </w:p>
    <w:p>
      <w:pPr>
        <w:pStyle w:val="111"/>
        <w:numPr>
          <w:ilvl w:val="1"/>
          <w:numId w:val="39"/>
        </w:numPr>
      </w:pPr>
      <w:r>
        <w:rPr>
          <w:rFonts w:hint="eastAsia"/>
        </w:rPr>
        <w:t>设计文件上应注明隔震装置的安装位置及其性能要求，安装前应对工程中各种类型和规格的隔震装置进行抽检，检验要求应符合本规程相关章节要求。</w:t>
      </w:r>
    </w:p>
    <w:p>
      <w:pPr>
        <w:pStyle w:val="67"/>
        <w:spacing w:before="156" w:after="156"/>
      </w:pPr>
      <w:r>
        <w:rPr>
          <w:rFonts w:hint="eastAsia"/>
        </w:rPr>
        <w:t>隔震支座的技术性能和试验应符合本章的相关要求，并应符合相关产品标准的规定。</w:t>
      </w:r>
    </w:p>
    <w:p>
      <w:r>
        <w:rPr>
          <w:rFonts w:hint="eastAsia" w:ascii="华文楷体" w:hAnsi="华文楷体" w:eastAsia="华文楷体" w:cs="华文楷体"/>
          <w:color w:val="0000FF"/>
          <w:kern w:val="0"/>
          <w:szCs w:val="20"/>
        </w:rPr>
        <w:t>条文说明：橡胶隔震支座的检测应严格按照相应的产品标准进行检验，橡胶隔震支座可按照产品国家标准《建筑隔震橡胶支座》GB20688.3的规定执行，弹性滑板隔震支座ESB可按照产品国家标准《橡胶支座 第5部分：建筑隔震弹性滑板支座》 GB 20688.5执行。</w:t>
      </w:r>
    </w:p>
    <w:p>
      <w:pPr>
        <w:pStyle w:val="67"/>
        <w:spacing w:before="156" w:after="156"/>
      </w:pPr>
      <w:r>
        <w:rPr>
          <w:rFonts w:hint="eastAsia"/>
        </w:rPr>
        <w:t>隔震支座及隔震层阻尼装置产品的型式检验、见证检验及出厂检验，应符合相关标准的规定，检验确定的产品性能应满足设计要求，极限性能不应低于隔震层各相应设计性能。</w:t>
      </w:r>
    </w:p>
    <w:p>
      <w:pPr>
        <w:pStyle w:val="67"/>
        <w:spacing w:before="156" w:after="156"/>
      </w:pPr>
      <w:r>
        <w:rPr>
          <w:rFonts w:hint="eastAsia"/>
        </w:rPr>
        <w:t>各种类型隔震支座尺寸及力学性能参见附录B</w:t>
      </w:r>
    </w:p>
    <w:p>
      <w:pPr>
        <w:pStyle w:val="107"/>
        <w:spacing w:before="156" w:after="156"/>
        <w:jc w:val="center"/>
      </w:pPr>
      <w:r>
        <w:rPr>
          <w:rFonts w:hint="eastAsia"/>
        </w:rPr>
        <w:t>天然橡胶支座</w:t>
      </w:r>
    </w:p>
    <w:p>
      <w:pPr>
        <w:pStyle w:val="67"/>
        <w:spacing w:before="156" w:after="156"/>
      </w:pPr>
      <w:r>
        <w:rPr>
          <w:rFonts w:hint="eastAsia"/>
        </w:rPr>
        <w:t>隔震橡胶支座的外观要求，允许偏差和检验规则等应符合现行国家标准《橡胶支座第</w:t>
      </w:r>
      <w:r>
        <w:t>3</w:t>
      </w:r>
      <w:r>
        <w:rPr>
          <w:rFonts w:hint="eastAsia"/>
        </w:rPr>
        <w:t>部分：建筑隔震橡胶支座》GB 20688.</w:t>
      </w:r>
      <w:r>
        <w:t>3</w:t>
      </w:r>
      <w:r>
        <w:rPr>
          <w:rFonts w:hint="eastAsia"/>
        </w:rPr>
        <w:t>或行业标准《建筑隔震橡胶支座》JG/T 118的规定。</w:t>
      </w:r>
    </w:p>
    <w:p>
      <w:pPr>
        <w:pStyle w:val="67"/>
        <w:spacing w:before="156" w:after="156"/>
      </w:pPr>
      <w:r>
        <w:rPr>
          <w:rFonts w:hint="eastAsia"/>
        </w:rPr>
        <w:t>橡胶材料的物理性能包括拉伸性能、老化性能、硬度、粘合性能、压缩性能、剪切性 能、脆性性能、抗臭氧性能和低温结晶性能等。上述性能的具体要求和试验方法应符合现行国家标准《橡胶支座第</w:t>
      </w:r>
      <w:r>
        <w:t>3</w:t>
      </w:r>
      <w:r>
        <w:rPr>
          <w:rFonts w:hint="eastAsia"/>
        </w:rPr>
        <w:t>部分：建筑隔震橡胶支座》GB 20688.</w:t>
      </w:r>
      <w:r>
        <w:t>3</w:t>
      </w:r>
      <w:r>
        <w:rPr>
          <w:rFonts w:hint="eastAsia"/>
        </w:rPr>
        <w:t>或行业标准《建筑隔震橡胶支座》JG/T 118的规定。</w:t>
      </w:r>
    </w:p>
    <w:p>
      <w:pPr>
        <w:pStyle w:val="107"/>
        <w:spacing w:before="156" w:after="156"/>
        <w:jc w:val="center"/>
      </w:pPr>
      <w:r>
        <w:rPr>
          <w:rFonts w:hint="eastAsia"/>
        </w:rPr>
        <w:t>高阻尼橡胶支座</w:t>
      </w:r>
    </w:p>
    <w:p>
      <w:pPr>
        <w:pStyle w:val="67"/>
        <w:spacing w:before="156" w:after="156"/>
      </w:pPr>
      <w:r>
        <w:rPr>
          <w:rFonts w:hint="eastAsia"/>
        </w:rPr>
        <w:t>高阻尼橡胶支座的外观要求，允许偏差和检验规则等应符合行业标准《建筑隔震橡胶支座》</w:t>
      </w:r>
      <w:r>
        <w:t>JG/T 118</w:t>
      </w:r>
      <w:r>
        <w:rPr>
          <w:rFonts w:hint="eastAsia"/>
        </w:rPr>
        <w:t>的规定。</w:t>
      </w:r>
    </w:p>
    <w:p>
      <w:pPr>
        <w:pStyle w:val="67"/>
        <w:spacing w:before="156" w:after="156"/>
      </w:pPr>
      <w:r>
        <w:rPr>
          <w:rFonts w:hint="eastAsia"/>
        </w:rPr>
        <w:t>橡胶材料的物理性能包括拉伸性能、老化性能、硬度、粘合性能、压缩性能、剪切性 能、脆性性能、抗臭氧性能和低温结晶性能等。上述性能的具体要求和试验方法应符合现行行业标准《建筑隔震橡胶支座》</w:t>
      </w:r>
      <w:r>
        <w:t>JG/T 118</w:t>
      </w:r>
      <w:r>
        <w:rPr>
          <w:rFonts w:hint="eastAsia"/>
        </w:rPr>
        <w:t>的规定。</w:t>
      </w:r>
    </w:p>
    <w:p>
      <w:pPr>
        <w:pStyle w:val="67"/>
        <w:spacing w:before="156" w:after="156"/>
      </w:pPr>
      <w:r>
        <w:rPr>
          <w:rFonts w:hint="eastAsia"/>
        </w:rPr>
        <w:t>隔震橡胶支座的力学性能包括压缩性能、剪切性能、极限性能等。上述性能的具体要求和试验方法应符合现行行业标准《建筑隔震橡胶支座》</w:t>
      </w:r>
      <w:r>
        <w:t>JG/T 118</w:t>
      </w:r>
      <w:r>
        <w:rPr>
          <w:rFonts w:hint="eastAsia"/>
        </w:rPr>
        <w:t>的规定。</w:t>
      </w:r>
    </w:p>
    <w:p>
      <w:pPr>
        <w:pStyle w:val="107"/>
        <w:spacing w:before="156" w:after="156"/>
        <w:jc w:val="center"/>
      </w:pPr>
      <w:r>
        <w:rPr>
          <w:rFonts w:hint="eastAsia"/>
        </w:rPr>
        <w:t>弹性滑板支座</w:t>
      </w:r>
    </w:p>
    <w:p>
      <w:pPr>
        <w:pStyle w:val="67"/>
        <w:spacing w:before="156" w:after="156"/>
      </w:pPr>
      <w:r>
        <w:rPr>
          <w:rFonts w:hint="eastAsia"/>
        </w:rPr>
        <w:t>弹性滑板支座的外观要求，允许偏差和检验规则等应符合现行国家标准《橡胶支座第 5 部分：建筑隔震弹性滑板支座》GB</w:t>
      </w:r>
      <w:r>
        <w:t xml:space="preserve"> </w:t>
      </w:r>
      <w:r>
        <w:rPr>
          <w:rFonts w:hint="eastAsia"/>
        </w:rPr>
        <w:t>20688.5 的规定。</w:t>
      </w:r>
    </w:p>
    <w:p>
      <w:pPr>
        <w:pStyle w:val="67"/>
        <w:spacing w:before="156" w:after="156"/>
      </w:pPr>
      <w:r>
        <w:rPr>
          <w:rFonts w:hint="eastAsia"/>
        </w:rPr>
        <w:t>橡胶材料的物理性能包括拉伸性能、老化性能、硬度、粘合性能、压缩性能、剪切性 能、脆性性能、抗臭氧性能和低温结晶性能等。上述性能的具体要求和试验方法应符合现行国家标准《橡胶支座第 5 部分：建筑隔震弹性滑板支座》GB</w:t>
      </w:r>
      <w:r>
        <w:t xml:space="preserve"> </w:t>
      </w:r>
      <w:r>
        <w:rPr>
          <w:rFonts w:hint="eastAsia"/>
        </w:rPr>
        <w:t>20688.5 的规定。 双阶滑移滑板支座参照GB</w:t>
      </w:r>
      <w:r>
        <w:t xml:space="preserve"> </w:t>
      </w:r>
      <w:r>
        <w:rPr>
          <w:rFonts w:hint="eastAsia"/>
        </w:rPr>
        <w:t>20688.5执行。防倾覆弹性滑板支座执行标准《防倾覆弹性滑板支座》T/HQPA 5-2019。</w:t>
      </w:r>
    </w:p>
    <w:p>
      <w:pPr>
        <w:pStyle w:val="67"/>
        <w:spacing w:before="156" w:after="156"/>
      </w:pPr>
      <w:r>
        <w:rPr>
          <w:rFonts w:hint="eastAsia"/>
        </w:rPr>
        <w:t>弹性滑板支座的力学性能包括压缩性能、剪切性能、剪切性能相关性、压缩性能相关 性、极限性能和耐久性能等。上述性能的具体要求和试验方法应符合现行国家标准《橡胶支座第5部分：建筑隔震弹性滑板支座》GB 20688.5 的规定。 双阶滑移滑板支座参照GB20688.5执行。防倾覆弹性滑板支座执行《防倾覆弹性滑板支座》T/HQPA 5-2019。</w:t>
      </w:r>
    </w:p>
    <w:p>
      <w:pPr>
        <w:pStyle w:val="67"/>
        <w:spacing w:before="156" w:after="156"/>
      </w:pPr>
      <w:r>
        <w:rPr>
          <w:rFonts w:hint="eastAsia"/>
        </w:rPr>
        <w:t>弹性滑板支座滑移时橡胶支座部设计水平剪应变不宜大于50%。弹性滑板支座的橡胶支座部的最小直径（或边长）尺寸不宜小于300mm，第1形状 系数不宜小于30，第2形状系数应不小于7。</w:t>
      </w:r>
    </w:p>
    <w:p>
      <w:pPr>
        <w:pStyle w:val="107"/>
        <w:spacing w:before="156" w:after="156"/>
        <w:jc w:val="center"/>
      </w:pPr>
      <w:r>
        <w:rPr>
          <w:rFonts w:hint="eastAsia"/>
        </w:rPr>
        <w:t>摩擦摆隔震支座</w:t>
      </w:r>
    </w:p>
    <w:p>
      <w:pPr>
        <w:pStyle w:val="67"/>
        <w:spacing w:before="156" w:after="156"/>
      </w:pPr>
      <w:r>
        <w:rPr>
          <w:rFonts w:hint="eastAsia"/>
        </w:rPr>
        <w:t>摩擦摆隔震支座按滑动摩擦面结构形式，可分为两类：Ⅰ型为单主滑动摩擦面型；Ⅱ型为双主滑动摩擦面型。</w:t>
      </w:r>
    </w:p>
    <w:p>
      <w:pPr>
        <w:pStyle w:val="67"/>
        <w:spacing w:before="156" w:after="156"/>
      </w:pPr>
      <w:r>
        <w:rPr>
          <w:rFonts w:hint="eastAsia"/>
        </w:rPr>
        <w:t>摩擦摆隔震支座由上下锚固装置、上座板、上滑动摩擦面、球冠体、下滑动摩擦面和下座板等组成。</w:t>
      </w:r>
    </w:p>
    <w:p>
      <w:pPr>
        <w:pStyle w:val="67"/>
        <w:spacing w:before="156" w:after="156"/>
      </w:pPr>
      <w:r>
        <w:rPr>
          <w:rFonts w:hint="eastAsia"/>
        </w:rPr>
        <w:t>支座的竖向承载力分级、极限位移量分级和摆动周期分级等应满足现行国家标准《建筑摩擦摆隔震支座》GB/T</w:t>
      </w:r>
      <w:r>
        <w:t xml:space="preserve"> </w:t>
      </w:r>
      <w:r>
        <w:rPr>
          <w:rFonts w:hint="eastAsia"/>
        </w:rPr>
        <w:t>37358 的规定。</w:t>
      </w:r>
    </w:p>
    <w:p>
      <w:pPr>
        <w:pStyle w:val="67"/>
        <w:spacing w:before="156" w:after="156"/>
      </w:pPr>
      <w:r>
        <w:rPr>
          <w:rFonts w:hint="eastAsia"/>
        </w:rPr>
        <w:t>摩擦摆隔震支座的外观要求，允许偏差和检验规则等应符合现行国家标准《建筑摩擦摆隔震支座》GB/T</w:t>
      </w:r>
      <w:r>
        <w:t xml:space="preserve"> </w:t>
      </w:r>
      <w:r>
        <w:rPr>
          <w:rFonts w:hint="eastAsia"/>
        </w:rPr>
        <w:t>37358 的规定。</w:t>
      </w:r>
    </w:p>
    <w:p>
      <w:pPr>
        <w:pStyle w:val="67"/>
        <w:spacing w:before="156" w:after="156"/>
      </w:pPr>
      <w:r>
        <w:rPr>
          <w:rFonts w:hint="eastAsia"/>
        </w:rPr>
        <w:t>支座的初始刚度、等效刚度、等效周期、阻尼比、摆动周期、屈后刚度、回复力等的计算方法应符合现行国家标准《建筑摩擦摆隔震支座》GB/T</w:t>
      </w:r>
      <w:r>
        <w:t xml:space="preserve"> </w:t>
      </w:r>
      <w:r>
        <w:rPr>
          <w:rFonts w:hint="eastAsia"/>
        </w:rPr>
        <w:t xml:space="preserve">37358 附录 A 的规定。 </w:t>
      </w:r>
    </w:p>
    <w:p>
      <w:pPr>
        <w:pStyle w:val="67"/>
        <w:spacing w:before="156" w:after="156"/>
      </w:pPr>
      <w:r>
        <w:rPr>
          <w:rFonts w:hint="eastAsia"/>
        </w:rPr>
        <w:t>支座用摩擦材料、钢材、不锈钢板、黏结剂和防尘橡胶等材料的物理机械性能应符合现行国家标准《建筑摩擦摆隔震支座》GB/T</w:t>
      </w:r>
      <w:r>
        <w:t xml:space="preserve"> </w:t>
      </w:r>
      <w:r>
        <w:rPr>
          <w:rFonts w:hint="eastAsia"/>
        </w:rPr>
        <w:t xml:space="preserve">37358 的规定。 </w:t>
      </w:r>
    </w:p>
    <w:p>
      <w:pPr>
        <w:pStyle w:val="67"/>
        <w:spacing w:before="156" w:after="156"/>
      </w:pPr>
      <w:r>
        <w:rPr>
          <w:rFonts w:hint="eastAsia"/>
        </w:rPr>
        <w:t>摩擦摆隔震支座的力学性能包括压缩性能、剪切性能、剪切性能相关性、水平极限变形能力等。上述性能的具体要求和试验方法应符合现行国家标准《建筑摩擦摆隔震支座》 GB/T</w:t>
      </w:r>
      <w:r>
        <w:t xml:space="preserve"> </w:t>
      </w:r>
      <w:r>
        <w:rPr>
          <w:rFonts w:hint="eastAsia"/>
        </w:rPr>
        <w:t>37358 的规定。</w:t>
      </w:r>
    </w:p>
    <w:p>
      <w:pPr>
        <w:pStyle w:val="107"/>
        <w:spacing w:before="156" w:after="156"/>
        <w:jc w:val="center"/>
      </w:pPr>
      <w:r>
        <w:rPr>
          <w:rFonts w:hint="eastAsia"/>
        </w:rPr>
        <w:t>隔震支座产品检验及要求</w:t>
      </w:r>
    </w:p>
    <w:p>
      <w:pPr>
        <w:pStyle w:val="67"/>
        <w:spacing w:before="156" w:after="156"/>
      </w:pPr>
      <w:r>
        <w:rPr>
          <w:rFonts w:hint="eastAsia"/>
        </w:rPr>
        <w:t>隔震结构工程中所使用的隔震支座产品应按照现行国家标准《橡胶支座第</w:t>
      </w:r>
      <w:r>
        <w:t>3</w:t>
      </w:r>
      <w:r>
        <w:rPr>
          <w:rFonts w:hint="eastAsia"/>
        </w:rPr>
        <w:t>部分：建筑隔震橡胶支 座》GB/T</w:t>
      </w:r>
      <w:r>
        <w:t xml:space="preserve"> </w:t>
      </w:r>
      <w:r>
        <w:rPr>
          <w:rFonts w:hint="eastAsia"/>
        </w:rPr>
        <w:t>20688.</w:t>
      </w:r>
      <w:r>
        <w:t>3</w:t>
      </w:r>
      <w:r>
        <w:rPr>
          <w:rFonts w:hint="eastAsia"/>
        </w:rPr>
        <w:t xml:space="preserve"> 和《建筑隔震橡胶支座》JG</w:t>
      </w:r>
      <w:r>
        <w:t>/</w:t>
      </w:r>
      <w:r>
        <w:rPr>
          <w:rFonts w:hint="eastAsia"/>
        </w:rPr>
        <w:t>T</w:t>
      </w:r>
      <w:r>
        <w:t xml:space="preserve"> </w:t>
      </w:r>
      <w:r>
        <w:rPr>
          <w:rFonts w:hint="eastAsia"/>
        </w:rPr>
        <w:t>118、 现行国家标准《橡胶支座第 5 部分：建筑隔震弹性滑板支座》GB 20688.5 和《建筑摩擦摆隔震支座》GB/T</w:t>
      </w:r>
      <w:r>
        <w:t xml:space="preserve"> </w:t>
      </w:r>
      <w:r>
        <w:rPr>
          <w:rFonts w:hint="eastAsia"/>
        </w:rPr>
        <w:t>37358 的要求进行出厂检验。还应依据工程所在地气象温度，增加低温下支座性能检验。</w:t>
      </w:r>
    </w:p>
    <w:p>
      <w:pPr>
        <w:rPr>
          <w:rFonts w:hint="eastAsia"/>
        </w:rPr>
      </w:pPr>
      <w:r>
        <w:rPr>
          <w:rFonts w:hint="eastAsia" w:ascii="华文楷体" w:hAnsi="华文楷体" w:eastAsia="华文楷体" w:cs="华文楷体"/>
          <w:color w:val="0000FF"/>
          <w:kern w:val="0"/>
          <w:szCs w:val="20"/>
        </w:rPr>
        <w:t>条文说明：西藏自治区温差较大，为了保证支座在低温下的性能，应进行针对性地检测。</w:t>
      </w:r>
    </w:p>
    <w:p>
      <w:pPr>
        <w:pStyle w:val="67"/>
        <w:spacing w:before="156" w:after="156"/>
      </w:pPr>
      <w:r>
        <w:rPr>
          <w:rFonts w:hint="eastAsia"/>
        </w:rPr>
        <w:t>隔震结构工程中的隔震支座出厂检验数量应符合下列规定：</w:t>
      </w:r>
    </w:p>
    <w:p>
      <w:pPr>
        <w:pStyle w:val="111"/>
        <w:numPr>
          <w:ilvl w:val="1"/>
          <w:numId w:val="40"/>
        </w:numPr>
      </w:pPr>
      <w:r>
        <w:rPr>
          <w:rFonts w:hint="eastAsia"/>
        </w:rPr>
        <w:t>特殊设防类、重点设防类建筑，每种规格产品抽样数量应为1</w:t>
      </w:r>
      <w:r>
        <w:t>00%</w:t>
      </w:r>
      <w:r>
        <w:rPr>
          <w:rFonts w:hint="eastAsia"/>
        </w:rPr>
        <w:t>。</w:t>
      </w:r>
    </w:p>
    <w:p>
      <w:pPr>
        <w:pStyle w:val="111"/>
        <w:numPr>
          <w:ilvl w:val="1"/>
          <w:numId w:val="40"/>
        </w:numPr>
      </w:pPr>
      <w:r>
        <w:rPr>
          <w:rFonts w:hint="eastAsia"/>
        </w:rPr>
        <w:t>标准设防类建筑，每种规格产品抽样数量不应少于总数的5</w:t>
      </w:r>
      <w:r>
        <w:t>0%</w:t>
      </w:r>
      <w:r>
        <w:rPr>
          <w:rFonts w:hint="eastAsia"/>
        </w:rPr>
        <w:t>；有不合格试件时，应1</w:t>
      </w:r>
      <w:r>
        <w:t>00%</w:t>
      </w:r>
      <w:r>
        <w:rPr>
          <w:rFonts w:hint="eastAsia"/>
        </w:rPr>
        <w:t>检测。</w:t>
      </w:r>
    </w:p>
    <w:p>
      <w:pPr>
        <w:pStyle w:val="111"/>
        <w:numPr>
          <w:ilvl w:val="1"/>
          <w:numId w:val="40"/>
        </w:numPr>
      </w:pPr>
      <w:r>
        <w:rPr>
          <w:rFonts w:hint="eastAsia"/>
        </w:rPr>
        <w:t>每项工程抽样总数不应少于2</w:t>
      </w:r>
      <w:r>
        <w:t>0</w:t>
      </w:r>
      <w:r>
        <w:rPr>
          <w:rFonts w:hint="eastAsia"/>
        </w:rPr>
        <w:t>件，每种规格的产品抽样数量不应少于4件，当产品少于4件时，应全部进行检验。</w:t>
      </w:r>
    </w:p>
    <w:p>
      <w:pPr>
        <w:pStyle w:val="67"/>
        <w:spacing w:before="156" w:after="156"/>
      </w:pPr>
      <w:r>
        <w:rPr>
          <w:rFonts w:hint="eastAsia"/>
        </w:rPr>
        <w:t>隔震工程中所使用的隔震支座产品在安装前应进行见证检验，检验数量应符合下列规定：</w:t>
      </w:r>
    </w:p>
    <w:p>
      <w:pPr>
        <w:pStyle w:val="111"/>
        <w:numPr>
          <w:ilvl w:val="1"/>
          <w:numId w:val="41"/>
        </w:numPr>
      </w:pPr>
      <w:r>
        <w:rPr>
          <w:rFonts w:hint="eastAsia"/>
        </w:rPr>
        <w:t>同一生产厂家、同一类型、同一规格的产品，取总数量的2%且不少于</w:t>
      </w:r>
      <w:r>
        <w:t>3</w:t>
      </w:r>
      <w:r>
        <w:rPr>
          <w:rFonts w:hint="eastAsia"/>
        </w:rPr>
        <w:t>个进行隔震支座压缩性能和剪切性能试验，其中检查总数量的每</w:t>
      </w:r>
      <w:r>
        <w:t>3</w:t>
      </w:r>
      <w:r>
        <w:rPr>
          <w:rFonts w:hint="eastAsia"/>
        </w:rPr>
        <w:t>个支座中，取</w:t>
      </w:r>
      <w:r>
        <w:t>1</w:t>
      </w:r>
      <w:r>
        <w:rPr>
          <w:rFonts w:hint="eastAsia"/>
        </w:rPr>
        <w:t xml:space="preserve">个进行水平极限剪切性能试验。 </w:t>
      </w:r>
    </w:p>
    <w:p>
      <w:pPr>
        <w:pStyle w:val="111"/>
        <w:numPr>
          <w:ilvl w:val="1"/>
          <w:numId w:val="41"/>
        </w:numPr>
      </w:pPr>
      <w:r>
        <w:rPr>
          <w:rFonts w:hint="eastAsia"/>
        </w:rPr>
        <w:t xml:space="preserve">对于特殊设防类、重点设防类建筑，不同型号的橡胶隔震支座水平极限剪应变均不应小于400%。 </w:t>
      </w:r>
    </w:p>
    <w:p>
      <w:pPr>
        <w:pStyle w:val="111"/>
        <w:numPr>
          <w:ilvl w:val="1"/>
          <w:numId w:val="41"/>
        </w:numPr>
      </w:pPr>
      <w:r>
        <w:rPr>
          <w:rFonts w:hint="eastAsia"/>
        </w:rPr>
        <w:t xml:space="preserve">对于标准设防类建筑，不同型号的隔震支座水平极限剪应变均不应小于400%。 </w:t>
      </w:r>
    </w:p>
    <w:p>
      <w:pPr>
        <w:rPr>
          <w:rFonts w:hint="eastAsia"/>
        </w:rPr>
      </w:pPr>
      <w:r>
        <w:rPr>
          <w:rFonts w:hint="eastAsia" w:ascii="华文楷体" w:hAnsi="华文楷体" w:eastAsia="华文楷体" w:cs="华文楷体"/>
          <w:color w:val="0000FF"/>
          <w:kern w:val="0"/>
          <w:szCs w:val="20"/>
        </w:rPr>
        <w:t>条文说明（1</w:t>
      </w:r>
      <w:r>
        <w:rPr>
          <w:rFonts w:ascii="华文楷体" w:hAnsi="华文楷体" w:eastAsia="华文楷体" w:cs="华文楷体"/>
          <w:color w:val="0000FF"/>
          <w:kern w:val="0"/>
          <w:szCs w:val="20"/>
        </w:rPr>
        <w:t>3.6.2  13.6.3</w:t>
      </w:r>
      <w:r>
        <w:rPr>
          <w:rFonts w:hint="eastAsia" w:ascii="华文楷体" w:hAnsi="华文楷体" w:eastAsia="华文楷体" w:cs="华文楷体"/>
          <w:color w:val="0000FF"/>
          <w:kern w:val="0"/>
          <w:szCs w:val="20"/>
        </w:rPr>
        <w:t>）：见证检验数量可冲抵部分出厂检验，但检验项目应覆盖出厂检验全部检测项目。</w:t>
      </w:r>
    </w:p>
    <w:p>
      <w:pPr>
        <w:widowControl/>
        <w:adjustRightInd/>
        <w:spacing w:line="240" w:lineRule="auto"/>
        <w:jc w:val="left"/>
        <w:rPr>
          <w:rFonts w:ascii="宋体" w:hAnsi="Times New Roman"/>
          <w:kern w:val="0"/>
          <w:szCs w:val="20"/>
        </w:rPr>
      </w:pPr>
      <w:r>
        <w:br w:type="page"/>
      </w:r>
    </w:p>
    <w:p>
      <w:pPr>
        <w:pStyle w:val="106"/>
        <w:spacing w:before="312" w:after="312"/>
        <w:jc w:val="center"/>
      </w:pPr>
      <w:bookmarkStart w:id="62" w:name="_Toc92414104"/>
      <w:r>
        <w:rPr>
          <w:rFonts w:hint="eastAsia"/>
        </w:rPr>
        <w:t>隔震层设计</w:t>
      </w:r>
      <w:bookmarkEnd w:id="62"/>
    </w:p>
    <w:p>
      <w:pPr>
        <w:pStyle w:val="107"/>
        <w:spacing w:before="156" w:after="156"/>
        <w:jc w:val="center"/>
      </w:pPr>
      <w:r>
        <w:rPr>
          <w:rFonts w:hint="eastAsia"/>
        </w:rPr>
        <w:t>隔震层布置与验算</w:t>
      </w:r>
    </w:p>
    <w:p>
      <w:pPr>
        <w:pStyle w:val="67"/>
        <w:spacing w:before="156" w:after="156"/>
      </w:pPr>
      <w:r>
        <w:rPr>
          <w:rFonts w:hint="eastAsia"/>
        </w:rPr>
        <w:t>隔震层的布置应符合下列要求：</w:t>
      </w:r>
    </w:p>
    <w:p>
      <w:pPr>
        <w:pStyle w:val="111"/>
        <w:numPr>
          <w:ilvl w:val="1"/>
          <w:numId w:val="42"/>
        </w:numPr>
      </w:pPr>
      <w:r>
        <w:rPr>
          <w:rFonts w:hint="eastAsia"/>
        </w:rPr>
        <w:t>隔震层可由隔震支座、阻尼装置、抗风装置和抗拉装置组成。阻尼装置和抗风装置可与隔震支座合为一体，亦可单独设置，必要时可设置限位装置和抗拉装置；</w:t>
      </w:r>
    </w:p>
    <w:p>
      <w:pPr>
        <w:pStyle w:val="111"/>
        <w:numPr>
          <w:ilvl w:val="1"/>
          <w:numId w:val="42"/>
        </w:numPr>
      </w:pPr>
      <w:r>
        <w:rPr>
          <w:rFonts w:hint="eastAsia"/>
        </w:rPr>
        <w:t>隔震层宜设置在结构的底部或下部，其橡胶隔震支座应设置在受力较大的位置，其规格、数量和分布应根据竖向承载力、侧向刚度和阻尼的要求通过计算确定；</w:t>
      </w:r>
    </w:p>
    <w:p>
      <w:pPr>
        <w:pStyle w:val="111"/>
        <w:numPr>
          <w:ilvl w:val="1"/>
          <w:numId w:val="42"/>
        </w:numPr>
      </w:pPr>
      <w:r>
        <w:rPr>
          <w:rFonts w:hint="eastAsia"/>
        </w:rPr>
        <w:t>隔震层所有隔震支座的刚心与上部结构的质心偏心率不宜大于3%；</w:t>
      </w:r>
    </w:p>
    <w:p>
      <w:pPr>
        <w:pStyle w:val="111"/>
        <w:numPr>
          <w:ilvl w:val="1"/>
          <w:numId w:val="42"/>
        </w:numPr>
      </w:pPr>
      <w:r>
        <w:rPr>
          <w:rFonts w:hint="eastAsia"/>
        </w:rPr>
        <w:t>隔震支座的平面布置宜与上部结构和下部结构中竖向受力构件的平面位置相对应。隔震支座底面宜布置在相同标高位置上，必要时也可布置在不同的标高位置上；</w:t>
      </w:r>
    </w:p>
    <w:p>
      <w:pPr>
        <w:pStyle w:val="111"/>
        <w:numPr>
          <w:ilvl w:val="1"/>
          <w:numId w:val="42"/>
        </w:numPr>
      </w:pPr>
      <w:r>
        <w:rPr>
          <w:rFonts w:hint="eastAsia"/>
        </w:rPr>
        <w:t>同一房屋选用多种规格的隔震支座时，应注意充分发挥每个隔震支座的承载力和水平变形能力。在重力荷载代表值作用下的竖向变形值与平均变形值的偏差不宜大于30%；</w:t>
      </w:r>
    </w:p>
    <w:p>
      <w:pPr>
        <w:pStyle w:val="111"/>
        <w:numPr>
          <w:ilvl w:val="1"/>
          <w:numId w:val="42"/>
        </w:numPr>
      </w:pPr>
      <w:r>
        <w:rPr>
          <w:rFonts w:hint="eastAsia"/>
        </w:rPr>
        <w:t>当隔震层采用隔震支座和阻尼器时，应确保隔震层在地震后基本恢复原位，在罕遇地震作用下其总水平弹性恢复力与总水平摩阻力之比不应小于1.2。</w:t>
      </w:r>
    </w:p>
    <w:p>
      <w:pPr>
        <w:pStyle w:val="111"/>
        <w:numPr>
          <w:ilvl w:val="1"/>
          <w:numId w:val="42"/>
        </w:numPr>
      </w:pPr>
      <w:r>
        <w:rPr>
          <w:rFonts w:hint="eastAsia"/>
        </w:rPr>
        <w:t>同一支承处选用多个隔震支座时，隔震支座之间的净距应大于安装和更换所需的空间尺寸；</w:t>
      </w:r>
    </w:p>
    <w:p>
      <w:pPr>
        <w:pStyle w:val="111"/>
        <w:numPr>
          <w:ilvl w:val="1"/>
          <w:numId w:val="42"/>
        </w:numPr>
      </w:pPr>
      <w:r>
        <w:rPr>
          <w:rFonts w:hint="eastAsia"/>
        </w:rPr>
        <w:t>隔震支座底面宜布置在相同标高位置上；当隔震层的隔震装置处于不同标高时，应保证隔震装置共同工作，在罕遇地震作用下，不同标高的相邻隔震层的层间剪切位移角不应大于1/2000；</w:t>
      </w:r>
    </w:p>
    <w:p>
      <w:pPr>
        <w:pStyle w:val="111"/>
        <w:numPr>
          <w:ilvl w:val="1"/>
          <w:numId w:val="42"/>
        </w:numPr>
      </w:pPr>
      <w:r>
        <w:rPr>
          <w:rFonts w:hint="eastAsia"/>
        </w:rPr>
        <w:t>设置在隔震层的抗风装置宜对称、分散地布置在建筑物的周边。</w:t>
      </w:r>
    </w:p>
    <w:p>
      <w:pPr>
        <w:pStyle w:val="111"/>
        <w:numPr>
          <w:ilvl w:val="1"/>
          <w:numId w:val="42"/>
        </w:numPr>
      </w:pPr>
      <w:r>
        <w:rPr>
          <w:rFonts w:hint="eastAsia"/>
        </w:rPr>
        <w:t>隔震层顶板，应有足够的平面内水平刚度，在罕遇地震作用下应保持弹性。当采用混凝土结构时，板厚不应小于160mm；</w:t>
      </w:r>
    </w:p>
    <w:p>
      <w:pPr>
        <w:rPr>
          <w:rFonts w:ascii="华文楷体" w:hAnsi="华文楷体" w:eastAsia="华文楷体" w:cs="华文楷体"/>
          <w:color w:val="0000FF"/>
          <w:kern w:val="0"/>
          <w:szCs w:val="20"/>
        </w:rPr>
      </w:pPr>
      <w:r>
        <w:rPr>
          <w:rFonts w:hint="eastAsia" w:ascii="华文楷体" w:hAnsi="华文楷体" w:eastAsia="华文楷体" w:cs="华文楷体"/>
          <w:color w:val="0000FF"/>
          <w:kern w:val="0"/>
          <w:szCs w:val="20"/>
        </w:rPr>
        <w:t>条文说明：</w:t>
      </w:r>
    </w:p>
    <w:p>
      <w:pPr>
        <w:pStyle w:val="67"/>
        <w:spacing w:before="156" w:after="156"/>
      </w:pPr>
      <w:r>
        <w:rPr>
          <w:rFonts w:hint="eastAsia"/>
        </w:rPr>
        <w:t>隔震层的水平刚度和阻尼比计算应符合下列规定：</w:t>
      </w:r>
    </w:p>
    <w:p>
      <w:pPr>
        <w:pStyle w:val="111"/>
        <w:numPr>
          <w:ilvl w:val="1"/>
          <w:numId w:val="43"/>
        </w:numPr>
      </w:pPr>
      <w:r>
        <w:rPr>
          <w:rFonts w:hint="eastAsia"/>
        </w:rPr>
        <w:t>隔震层的水平等效刚度和等效阻尼比，可按下列公式计算：</w:t>
      </w:r>
    </w:p>
    <w:p>
      <w:pPr>
        <w:pStyle w:val="115"/>
      </w:pPr>
      <w:r>
        <w:tab/>
      </w:r>
      <m:oMath>
        <m:sSub>
          <m:sSubPr>
            <m:ctrlPr>
              <w:rPr>
                <w:rFonts w:ascii="Cambria Math" w:hAnsi="Cambria Math"/>
                <w:i/>
              </w:rPr>
            </m:ctrlPr>
          </m:sSubPr>
          <m:e>
            <m:r>
              <m:rPr/>
              <w:rPr>
                <w:rFonts w:hint="eastAsia" w:ascii="Cambria Math" w:hAnsi="Cambria Math"/>
              </w:rPr>
              <m:t>K</m:t>
            </m:r>
            <m:ctrlPr>
              <w:rPr>
                <w:rFonts w:ascii="Cambria Math" w:hAnsi="Cambria Math"/>
                <w:i/>
              </w:rPr>
            </m:ctrlPr>
          </m:e>
          <m:sub>
            <m:r>
              <m:rPr/>
              <w:rPr>
                <w:rFonts w:hint="eastAsia" w:ascii="Cambria Math" w:hAnsi="Cambria Math"/>
              </w:rPr>
              <m:t>eq</m:t>
            </m:r>
            <m:ctrlPr>
              <w:rPr>
                <w:rFonts w:ascii="Cambria Math" w:hAnsi="Cambria Math"/>
                <w:i/>
              </w:rPr>
            </m:ctrlPr>
          </m:sub>
        </m:sSub>
        <m:r>
          <m:rPr/>
          <w:rPr>
            <w:rFonts w:ascii="Cambria Math" w:hAnsi="Cambria Math"/>
          </w:rPr>
          <m:t>=</m:t>
        </m:r>
        <m:nary>
          <m:naryPr>
            <m:chr m:val="∑"/>
            <m:limLoc m:val="undOvr"/>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sSub>
              <m:sSubPr>
                <m:ctrlPr>
                  <w:rPr>
                    <w:rFonts w:ascii="Cambria Math" w:hAnsi="Cambria Math"/>
                    <w:i/>
                  </w:rPr>
                </m:ctrlPr>
              </m:sSubPr>
              <m:e>
                <m:r>
                  <m:rPr/>
                  <w:rPr>
                    <w:rFonts w:ascii="Cambria Math" w:hAnsi="Cambria Math"/>
                  </w:rPr>
                  <m:t>k</m:t>
                </m:r>
                <m:ctrlPr>
                  <w:rPr>
                    <w:rFonts w:ascii="Cambria Math" w:hAnsi="Cambria Math"/>
                    <w:i/>
                  </w:rPr>
                </m:ctrlPr>
              </m:e>
              <m:sub>
                <m:r>
                  <m:rPr/>
                  <w:rPr>
                    <w:rFonts w:ascii="Cambria Math" w:hAnsi="Cambria Math"/>
                  </w:rPr>
                  <m:t>j</m:t>
                </m:r>
                <m:ctrlPr>
                  <w:rPr>
                    <w:rFonts w:ascii="Cambria Math" w:hAnsi="Cambria Math"/>
                    <w:i/>
                  </w:rPr>
                </m:ctrlPr>
              </m:sub>
            </m:sSub>
            <m:ctrlPr>
              <w:rPr>
                <w:rFonts w:ascii="Cambria Math" w:hAnsi="Cambria Math"/>
                <w:i/>
              </w:rPr>
            </m:ctrlPr>
          </m:e>
        </m:nary>
      </m:oMath>
      <w:r>
        <w:rPr>
          <w:rFonts w:ascii="微软雅黑" w:hAnsi="微软雅黑" w:eastAsia="微软雅黑"/>
        </w:rPr>
        <w:tab/>
      </w:r>
      <w:r>
        <w:t>(</w:t>
      </w:r>
      <w:r>
        <w:rPr>
          <w:sz w:val="18"/>
          <w:szCs w:val="18"/>
        </w:rPr>
        <w:t>14.1.2</w:t>
      </w:r>
      <w:r>
        <w:t>-</w:t>
      </w:r>
      <w:r>
        <w:fldChar w:fldCharType="begin"/>
      </w:r>
      <w:r>
        <w:instrText xml:space="preserve"> AUTONUM </w:instrText>
      </w:r>
      <w:r>
        <w:fldChar w:fldCharType="end"/>
      </w:r>
      <w:r>
        <w:t>)</w:t>
      </w:r>
    </w:p>
    <w:p>
      <w:pPr>
        <w:pStyle w:val="115"/>
      </w:pPr>
      <w:r>
        <w:tab/>
      </w:r>
      <m:oMath>
        <m:sSub>
          <m:sSubPr>
            <m:ctrlPr>
              <w:rPr>
                <w:rFonts w:ascii="Cambria Math" w:hAnsi="Cambria Math"/>
                <w:i/>
              </w:rPr>
            </m:ctrlPr>
          </m:sSubPr>
          <m:e>
            <m:r>
              <m:rPr/>
              <w:rPr>
                <w:rFonts w:ascii="Cambria Math" w:hAnsi="Cambria Math"/>
              </w:rPr>
              <m:t>ζ</m:t>
            </m:r>
            <m:ctrlPr>
              <w:rPr>
                <w:rFonts w:ascii="Cambria Math" w:hAnsi="Cambria Math"/>
                <w:i/>
              </w:rPr>
            </m:ctrlPr>
          </m:e>
          <m:sub>
            <m:r>
              <m:rPr/>
              <w:rPr>
                <w:rFonts w:ascii="Cambria Math" w:hAnsi="Cambria Math"/>
              </w:rPr>
              <m:t>eq</m:t>
            </m:r>
            <m:ctrlPr>
              <w:rPr>
                <w:rFonts w:ascii="Cambria Math" w:hAnsi="Cambria Math"/>
                <w:i/>
              </w:rPr>
            </m:ctrlPr>
          </m:sub>
        </m:sSub>
        <m:r>
          <m:rPr/>
          <w:rPr>
            <w:rFonts w:ascii="Cambria Math" w:hAnsi="Cambria Math"/>
          </w:rPr>
          <m:t>=</m:t>
        </m:r>
        <m:nary>
          <m:naryPr>
            <m:chr m:val="∑"/>
            <m:limLoc m:val="undOvr"/>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sSub>
              <m:sSubPr>
                <m:ctrlPr>
                  <w:rPr>
                    <w:rFonts w:ascii="Cambria Math" w:hAnsi="Cambria Math"/>
                    <w:i/>
                  </w:rPr>
                </m:ctrlPr>
              </m:sSubPr>
              <m:e>
                <m:r>
                  <m:rPr/>
                  <w:rPr>
                    <w:rFonts w:ascii="Cambria Math" w:hAnsi="Cambria Math"/>
                  </w:rPr>
                  <m:t>k</m:t>
                </m:r>
                <m:ctrlPr>
                  <w:rPr>
                    <w:rFonts w:ascii="Cambria Math" w:hAnsi="Cambria Math"/>
                    <w:i/>
                  </w:rPr>
                </m:ctrlPr>
              </m:e>
              <m:sub>
                <m:r>
                  <m:rPr/>
                  <w:rPr>
                    <w:rFonts w:ascii="Cambria Math" w:hAnsi="Cambria Math"/>
                  </w:rPr>
                  <m:t>j</m:t>
                </m:r>
                <m:ctrlPr>
                  <w:rPr>
                    <w:rFonts w:ascii="Cambria Math" w:hAnsi="Cambria Math"/>
                    <w:i/>
                  </w:rPr>
                </m:ctrlPr>
              </m:sub>
            </m:sSub>
            <m:sSub>
              <m:sSubPr>
                <m:ctrlPr>
                  <w:rPr>
                    <w:rFonts w:ascii="Cambria Math" w:hAnsi="Cambria Math"/>
                    <w:i/>
                  </w:rPr>
                </m:ctrlPr>
              </m:sSubPr>
              <m:e>
                <m:r>
                  <m:rPr/>
                  <w:rPr>
                    <w:rFonts w:ascii="Cambria Math" w:hAnsi="Cambria Math"/>
                  </w:rPr>
                  <m:t>ζ</m:t>
                </m:r>
                <m:ctrlPr>
                  <w:rPr>
                    <w:rFonts w:ascii="Cambria Math" w:hAnsi="Cambria Math"/>
                    <w:i/>
                  </w:rPr>
                </m:ctrlPr>
              </m:e>
              <m:sub>
                <m:r>
                  <m:rPr/>
                  <w:rPr>
                    <w:rFonts w:ascii="Cambria Math" w:hAnsi="Cambria Math"/>
                  </w:rPr>
                  <m:t>j</m:t>
                </m:r>
                <m:ctrlPr>
                  <w:rPr>
                    <w:rFonts w:ascii="Cambria Math" w:hAnsi="Cambria Math"/>
                    <w:i/>
                  </w:rPr>
                </m:ctrlPr>
              </m:sub>
            </m:sSub>
            <m:ctrlPr>
              <w:rPr>
                <w:rFonts w:ascii="Cambria Math" w:hAnsi="Cambria Math"/>
                <w:i/>
              </w:rPr>
            </m:ctrlPr>
          </m:e>
        </m:nary>
        <m:r>
          <m:rPr/>
          <w:rPr>
            <w:rFonts w:ascii="Cambria Math" w:hAnsi="Cambria Math"/>
          </w:rPr>
          <m:t>/</m:t>
        </m:r>
        <m:sSub>
          <m:sSubPr>
            <m:ctrlPr>
              <w:rPr>
                <w:rFonts w:ascii="Cambria Math" w:hAnsi="Cambria Math"/>
                <w:i/>
              </w:rPr>
            </m:ctrlPr>
          </m:sSubPr>
          <m:e>
            <m:r>
              <m:rPr/>
              <w:rPr>
                <w:rFonts w:hint="eastAsia" w:ascii="Cambria Math" w:hAnsi="Cambria Math"/>
              </w:rPr>
              <m:t>K</m:t>
            </m:r>
            <m:ctrlPr>
              <w:rPr>
                <w:rFonts w:ascii="Cambria Math" w:hAnsi="Cambria Math"/>
                <w:i/>
              </w:rPr>
            </m:ctrlPr>
          </m:e>
          <m:sub>
            <m:r>
              <m:rPr/>
              <w:rPr>
                <w:rFonts w:hint="eastAsia" w:ascii="Cambria Math" w:hAnsi="Cambria Math"/>
              </w:rPr>
              <m:t>eq</m:t>
            </m:r>
            <m:ctrlPr>
              <w:rPr>
                <w:rFonts w:ascii="Cambria Math" w:hAnsi="Cambria Math"/>
                <w:i/>
              </w:rPr>
            </m:ctrlPr>
          </m:sub>
        </m:sSub>
      </m:oMath>
      <w:r>
        <w:rPr>
          <w:rFonts w:ascii="微软雅黑" w:hAnsi="微软雅黑" w:eastAsia="微软雅黑"/>
        </w:rPr>
        <w:tab/>
      </w:r>
      <w:r>
        <w:t>(</w:t>
      </w:r>
      <w:r>
        <w:rPr>
          <w:sz w:val="18"/>
          <w:szCs w:val="18"/>
        </w:rPr>
        <w:t>14.1.2</w:t>
      </w:r>
      <w:r>
        <w:t>-</w:t>
      </w:r>
      <w:r>
        <w:fldChar w:fldCharType="begin"/>
      </w:r>
      <w:r>
        <w:instrText xml:space="preserve"> AUTONUM </w:instrText>
      </w:r>
      <w:r>
        <w:fldChar w:fldCharType="end"/>
      </w:r>
      <w:r>
        <w:t>)</w:t>
      </w:r>
    </w:p>
    <w:p>
      <w:pPr>
        <w:pStyle w:val="57"/>
        <w:ind w:left="420" w:firstLine="420"/>
      </w:pPr>
      <w:r>
        <w:rPr>
          <w:rFonts w:hint="eastAsia"/>
        </w:rPr>
        <w:t>式中：</w:t>
      </w:r>
      <m:oMath>
        <m:sSub>
          <m:sSubPr>
            <m:ctrlPr>
              <w:rPr>
                <w:rFonts w:ascii="Cambria Math" w:hAnsi="Cambria Math"/>
                <w:i/>
                <w:kern w:val="2"/>
              </w:rPr>
            </m:ctrlPr>
          </m:sSubPr>
          <m:e>
            <m:r>
              <m:rPr/>
              <w:rPr>
                <w:rFonts w:ascii="Cambria Math" w:hAnsi="Cambria Math"/>
              </w:rPr>
              <m:t>ζ</m:t>
            </m:r>
            <m:ctrlPr>
              <w:rPr>
                <w:rFonts w:ascii="Cambria Math" w:hAnsi="Cambria Math"/>
                <w:i/>
                <w:kern w:val="2"/>
              </w:rPr>
            </m:ctrlPr>
          </m:e>
          <m:sub>
            <m:r>
              <m:rPr/>
              <w:rPr>
                <w:rFonts w:ascii="Cambria Math" w:hAnsi="Cambria Math"/>
              </w:rPr>
              <m:t>eq</m:t>
            </m:r>
            <m:ctrlPr>
              <w:rPr>
                <w:rFonts w:ascii="Cambria Math" w:hAnsi="Cambria Math"/>
                <w:i/>
                <w:kern w:val="2"/>
              </w:rPr>
            </m:ctrlPr>
          </m:sub>
        </m:sSub>
      </m:oMath>
      <w:r>
        <w:t xml:space="preserve"> —— </w:t>
      </w:r>
      <w:r>
        <w:rPr>
          <w:rFonts w:hint="eastAsia"/>
        </w:rPr>
        <w:t>隔震层等效阻尼比；</w:t>
      </w:r>
    </w:p>
    <w:p>
      <w:pPr>
        <w:pStyle w:val="58"/>
        <w:ind w:left="840" w:firstLine="630" w:firstLineChars="300"/>
      </w:pPr>
      <m:oMath>
        <m:sSub>
          <m:sSubPr>
            <m:ctrlPr>
              <w:rPr>
                <w:rFonts w:ascii="Cambria Math" w:hAnsi="Cambria Math"/>
                <w:i/>
                <w:kern w:val="2"/>
                <w:szCs w:val="21"/>
              </w:rPr>
            </m:ctrlPr>
          </m:sSubPr>
          <m:e>
            <m:r>
              <m:rPr/>
              <w:rPr>
                <w:rFonts w:hint="eastAsia" w:ascii="Cambria Math" w:hAnsi="Cambria Math"/>
              </w:rPr>
              <m:t>K</m:t>
            </m:r>
            <m:ctrlPr>
              <w:rPr>
                <w:rFonts w:ascii="Cambria Math" w:hAnsi="Cambria Math"/>
                <w:i/>
                <w:kern w:val="2"/>
                <w:szCs w:val="21"/>
              </w:rPr>
            </m:ctrlPr>
          </m:e>
          <m:sub>
            <m:r>
              <m:rPr/>
              <w:rPr>
                <w:rFonts w:hint="eastAsia" w:ascii="Cambria Math" w:hAnsi="Cambria Math"/>
              </w:rPr>
              <m:t>eq</m:t>
            </m:r>
            <m:ctrlPr>
              <w:rPr>
                <w:rFonts w:ascii="Cambria Math" w:hAnsi="Cambria Math"/>
                <w:i/>
                <w:kern w:val="2"/>
                <w:szCs w:val="21"/>
              </w:rPr>
            </m:ctrlPr>
          </m:sub>
        </m:sSub>
      </m:oMath>
      <w:r>
        <w:rPr>
          <w:rFonts w:hint="eastAsia"/>
        </w:rPr>
        <w:t>——隔震层水平等效刚度；</w:t>
      </w:r>
    </w:p>
    <w:p>
      <w:pPr>
        <w:pStyle w:val="58"/>
        <w:ind w:left="1050" w:firstLine="420"/>
      </w:pPr>
      <m:oMath>
        <m:sSub>
          <m:sSubPr>
            <m:ctrlPr>
              <w:rPr>
                <w:rFonts w:ascii="Cambria Math" w:hAnsi="Cambria Math"/>
                <w:i/>
                <w:kern w:val="2"/>
                <w:szCs w:val="21"/>
              </w:rPr>
            </m:ctrlPr>
          </m:sSubPr>
          <m:e>
            <m:r>
              <m:rPr/>
              <w:rPr>
                <w:rFonts w:ascii="Cambria Math" w:hAnsi="Cambria Math"/>
              </w:rPr>
              <m:t>ζ</m:t>
            </m:r>
            <m:ctrlPr>
              <w:rPr>
                <w:rFonts w:ascii="Cambria Math" w:hAnsi="Cambria Math"/>
                <w:i/>
                <w:kern w:val="2"/>
                <w:szCs w:val="21"/>
              </w:rPr>
            </m:ctrlPr>
          </m:e>
          <m:sub>
            <m:r>
              <m:rPr/>
              <w:rPr>
                <w:rFonts w:ascii="Cambria Math" w:hAnsi="Cambria Math"/>
              </w:rPr>
              <m:t>j</m:t>
            </m:r>
            <m:ctrlPr>
              <w:rPr>
                <w:rFonts w:ascii="Cambria Math" w:hAnsi="Cambria Math"/>
                <w:i/>
                <w:kern w:val="2"/>
                <w:szCs w:val="21"/>
              </w:rPr>
            </m:ctrlPr>
          </m:sub>
        </m:sSub>
      </m:oMath>
      <w:r>
        <w:rPr>
          <w:rFonts w:hint="eastAsia"/>
          <w:kern w:val="2"/>
          <w:szCs w:val="21"/>
        </w:rPr>
        <w:t xml:space="preserve"> </w:t>
      </w:r>
      <w:r>
        <w:rPr>
          <w:kern w:val="2"/>
          <w:szCs w:val="21"/>
        </w:rPr>
        <w:t xml:space="preserve"> </w:t>
      </w:r>
      <w:r>
        <w:rPr>
          <w:rFonts w:hint="eastAsia"/>
        </w:rPr>
        <w:t>——j 隔震支座的等效阻尼比；</w:t>
      </w:r>
    </w:p>
    <w:p>
      <w:pPr>
        <w:pStyle w:val="58"/>
        <w:ind w:left="1050" w:firstLine="420"/>
      </w:pPr>
      <m:oMath>
        <m:sSub>
          <m:sSubPr>
            <m:ctrlPr>
              <w:rPr>
                <w:rFonts w:ascii="Cambria Math" w:hAnsi="Cambria Math"/>
                <w:i/>
                <w:kern w:val="2"/>
                <w:szCs w:val="21"/>
              </w:rPr>
            </m:ctrlPr>
          </m:sSubPr>
          <m:e>
            <m:r>
              <m:rPr/>
              <w:rPr>
                <w:rFonts w:ascii="Cambria Math" w:hAnsi="Cambria Math"/>
              </w:rPr>
              <m:t>k</m:t>
            </m:r>
            <m:ctrlPr>
              <w:rPr>
                <w:rFonts w:ascii="Cambria Math" w:hAnsi="Cambria Math"/>
                <w:i/>
                <w:kern w:val="2"/>
                <w:szCs w:val="21"/>
              </w:rPr>
            </m:ctrlPr>
          </m:e>
          <m:sub>
            <m:r>
              <m:rPr/>
              <w:rPr>
                <w:rFonts w:ascii="Cambria Math" w:hAnsi="Cambria Math"/>
              </w:rPr>
              <m:t>j</m:t>
            </m:r>
            <m:ctrlPr>
              <w:rPr>
                <w:rFonts w:ascii="Cambria Math" w:hAnsi="Cambria Math"/>
                <w:i/>
                <w:kern w:val="2"/>
                <w:szCs w:val="21"/>
              </w:rPr>
            </m:ctrlPr>
          </m:sub>
        </m:sSub>
      </m:oMath>
      <w:r>
        <w:rPr>
          <w:rFonts w:hint="eastAsia"/>
          <w:kern w:val="2"/>
          <w:szCs w:val="21"/>
        </w:rPr>
        <w:t xml:space="preserve"> </w:t>
      </w:r>
      <w:r>
        <w:rPr>
          <w:kern w:val="2"/>
          <w:szCs w:val="21"/>
        </w:rPr>
        <w:t xml:space="preserve"> </w:t>
      </w:r>
      <w:r>
        <w:rPr>
          <w:rFonts w:hint="eastAsia"/>
        </w:rPr>
        <w:t>—— 隔震支座 j（含阻尼器）由试验确定的水平等效刚度；</w:t>
      </w:r>
    </w:p>
    <w:p>
      <w:pPr>
        <w:pStyle w:val="111"/>
      </w:pPr>
      <w:r>
        <w:rPr>
          <w:rFonts w:hint="eastAsia"/>
        </w:rPr>
        <w:t>当隔震层设有附加阻尼装置时，尚应计入阻尼装置的等效阻尼比。</w:t>
      </w:r>
    </w:p>
    <w:p>
      <w:pPr>
        <w:pStyle w:val="67"/>
        <w:spacing w:before="156" w:after="156"/>
      </w:pPr>
      <w:r>
        <w:rPr>
          <w:rFonts w:hint="eastAsia"/>
        </w:rPr>
        <w:t>正常使用下隔震支座应符合下列要求：</w:t>
      </w:r>
    </w:p>
    <w:p>
      <w:pPr>
        <w:pStyle w:val="111"/>
        <w:numPr>
          <w:ilvl w:val="1"/>
          <w:numId w:val="44"/>
        </w:numPr>
      </w:pPr>
      <w:r>
        <w:rPr>
          <w:rFonts w:hint="eastAsia"/>
        </w:rPr>
        <w:t>隔震支座在重力荷载代表值作用下，竖向压应力设计值不应超过表14.1.3的规定。</w:t>
      </w:r>
    </w:p>
    <w:p>
      <w:pPr>
        <w:pStyle w:val="111"/>
        <w:numPr>
          <w:ilvl w:val="1"/>
          <w:numId w:val="44"/>
        </w:numPr>
      </w:pPr>
      <w:r>
        <w:rPr>
          <w:rFonts w:hint="eastAsia"/>
        </w:rPr>
        <w:t>隔震橡胶支座，当第二形状系数(有效直径与橡胶层总厚之比)小于5.0时，应降低平均压应力限值：小于5不小于4时降低20%，小于4不小于3时降低40%；标准设防类建筑外径小于300mm的支座，其压应力限值为10Mpa。</w:t>
      </w:r>
    </w:p>
    <w:p>
      <w:pPr>
        <w:pStyle w:val="111"/>
        <w:numPr>
          <w:ilvl w:val="1"/>
          <w:numId w:val="44"/>
        </w:numPr>
      </w:pPr>
      <w:r>
        <w:rPr>
          <w:rFonts w:hint="eastAsia"/>
        </w:rPr>
        <w:t>弹性滑板支座，橡胶支座部应满足表14.2.3，支座部外径不宜小于 300mm。</w:t>
      </w:r>
    </w:p>
    <w:p>
      <w:pPr>
        <w:pStyle w:val="111"/>
        <w:numPr>
          <w:ilvl w:val="1"/>
          <w:numId w:val="44"/>
        </w:numPr>
      </w:pPr>
      <w:r>
        <w:rPr>
          <w:rFonts w:hint="eastAsia"/>
        </w:rPr>
        <w:t>在建筑设计工作年限内，隔震支座刚度、阻尼特性变化不应超过初期值的±20％；橡胶支座的徐变量不应超过内部橡胶总厚度的5%。</w:t>
      </w:r>
    </w:p>
    <w:p>
      <w:pPr>
        <w:pStyle w:val="114"/>
        <w:numPr>
          <w:ilvl w:val="0"/>
          <w:numId w:val="0"/>
        </w:numPr>
        <w:spacing w:before="156" w:after="156"/>
      </w:pPr>
      <w:r>
        <w:rPr>
          <w:rFonts w:hint="eastAsia"/>
        </w:rPr>
        <w:t>表14.1.3隔震支座在重力荷载代表值作用下的压应力限值（MPa）</w:t>
      </w:r>
    </w:p>
    <w:tbl>
      <w:tblPr>
        <w:tblStyle w:val="27"/>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2347"/>
        <w:gridCol w:w="2340"/>
        <w:gridCol w:w="2340"/>
        <w:gridCol w:w="234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1252" w:type="pct"/>
            <w:tcBorders>
              <w:top w:val="single" w:color="000000" w:sz="8" w:space="0"/>
              <w:bottom w:val="single" w:color="000000" w:sz="8" w:space="0"/>
            </w:tcBorders>
            <w:shd w:val="clear" w:color="auto" w:fill="auto"/>
            <w:vAlign w:val="center"/>
          </w:tcPr>
          <w:p>
            <w:pPr>
              <w:adjustRightInd/>
              <w:spacing w:line="240" w:lineRule="auto"/>
              <w:jc w:val="center"/>
              <w:rPr>
                <w:rFonts w:ascii="宋体" w:hAnsi="宋体" w:cs="宋体"/>
                <w:sz w:val="18"/>
              </w:rPr>
            </w:pPr>
            <w:r>
              <w:rPr>
                <w:rFonts w:hint="eastAsia" w:ascii="宋体" w:hAnsi="宋体" w:cs="宋体"/>
                <w:sz w:val="18"/>
              </w:rPr>
              <w:t>支座类型</w:t>
            </w:r>
          </w:p>
        </w:tc>
        <w:tc>
          <w:tcPr>
            <w:tcW w:w="1248" w:type="pct"/>
            <w:tcBorders>
              <w:top w:val="single" w:color="000000" w:sz="8" w:space="0"/>
              <w:bottom w:val="single" w:color="000000" w:sz="8" w:space="0"/>
            </w:tcBorders>
            <w:shd w:val="clear" w:color="auto" w:fill="auto"/>
            <w:vAlign w:val="center"/>
          </w:tcPr>
          <w:p>
            <w:pPr>
              <w:adjustRightInd/>
              <w:spacing w:line="240" w:lineRule="auto"/>
              <w:jc w:val="center"/>
              <w:rPr>
                <w:rFonts w:ascii="宋体" w:hAnsi="宋体" w:cs="宋体"/>
                <w:sz w:val="18"/>
              </w:rPr>
            </w:pPr>
            <w:r>
              <w:rPr>
                <w:rFonts w:hint="eastAsia" w:ascii="宋体" w:hAnsi="宋体" w:cs="宋体"/>
                <w:sz w:val="18"/>
              </w:rPr>
              <w:t>特殊设防类建筑</w:t>
            </w:r>
          </w:p>
        </w:tc>
        <w:tc>
          <w:tcPr>
            <w:tcW w:w="1248" w:type="pct"/>
            <w:tcBorders>
              <w:top w:val="single" w:color="000000" w:sz="8" w:space="0"/>
              <w:bottom w:val="single" w:color="000000" w:sz="8" w:space="0"/>
            </w:tcBorders>
            <w:shd w:val="clear" w:color="auto" w:fill="auto"/>
            <w:vAlign w:val="center"/>
          </w:tcPr>
          <w:p>
            <w:pPr>
              <w:adjustRightInd/>
              <w:spacing w:line="240" w:lineRule="auto"/>
              <w:jc w:val="center"/>
              <w:rPr>
                <w:rFonts w:ascii="宋体" w:hAnsi="宋体" w:cs="宋体"/>
                <w:sz w:val="18"/>
              </w:rPr>
            </w:pPr>
            <w:r>
              <w:rPr>
                <w:rFonts w:hint="eastAsia" w:ascii="宋体" w:hAnsi="宋体" w:cs="宋体"/>
                <w:sz w:val="18"/>
              </w:rPr>
              <w:t>重点设防类建筑</w:t>
            </w:r>
          </w:p>
        </w:tc>
        <w:tc>
          <w:tcPr>
            <w:tcW w:w="1252" w:type="pct"/>
            <w:tcBorders>
              <w:top w:val="single" w:color="000000" w:sz="8" w:space="0"/>
              <w:bottom w:val="single" w:color="000000" w:sz="8" w:space="0"/>
            </w:tcBorders>
            <w:shd w:val="clear" w:color="auto" w:fill="auto"/>
            <w:vAlign w:val="center"/>
          </w:tcPr>
          <w:p>
            <w:pPr>
              <w:adjustRightInd/>
              <w:spacing w:line="240" w:lineRule="auto"/>
              <w:jc w:val="center"/>
              <w:rPr>
                <w:rFonts w:ascii="宋体" w:hAnsi="宋体" w:cs="宋体"/>
                <w:sz w:val="18"/>
              </w:rPr>
            </w:pPr>
            <w:r>
              <w:rPr>
                <w:rFonts w:hint="eastAsia" w:ascii="宋体" w:hAnsi="宋体" w:cs="宋体"/>
                <w:sz w:val="18"/>
              </w:rPr>
              <w:t>标准设防类建筑</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1252" w:type="pct"/>
            <w:tcBorders>
              <w:top w:val="single" w:color="000000" w:sz="8" w:space="0"/>
            </w:tcBorders>
            <w:shd w:val="clear" w:color="auto" w:fill="auto"/>
            <w:vAlign w:val="center"/>
          </w:tcPr>
          <w:p>
            <w:pPr>
              <w:adjustRightInd/>
              <w:spacing w:line="240" w:lineRule="auto"/>
              <w:jc w:val="center"/>
              <w:rPr>
                <w:rFonts w:ascii="宋体" w:hAnsi="宋体" w:cs="宋体"/>
                <w:sz w:val="18"/>
              </w:rPr>
            </w:pPr>
            <w:r>
              <w:rPr>
                <w:rFonts w:hint="eastAsia" w:ascii="宋体" w:hAnsi="宋体" w:cs="宋体"/>
                <w:sz w:val="18"/>
              </w:rPr>
              <w:t>隔震橡胶支座</w:t>
            </w:r>
          </w:p>
        </w:tc>
        <w:tc>
          <w:tcPr>
            <w:tcW w:w="1248" w:type="pct"/>
            <w:tcBorders>
              <w:top w:val="single" w:color="000000" w:sz="8" w:space="0"/>
            </w:tcBorders>
            <w:shd w:val="clear" w:color="auto" w:fill="auto"/>
            <w:vAlign w:val="center"/>
          </w:tcPr>
          <w:p>
            <w:pPr>
              <w:adjustRightInd/>
              <w:spacing w:line="240" w:lineRule="auto"/>
              <w:jc w:val="center"/>
              <w:rPr>
                <w:rFonts w:ascii="宋体" w:hAnsi="宋体" w:cs="宋体"/>
                <w:sz w:val="18"/>
              </w:rPr>
            </w:pPr>
            <w:r>
              <w:rPr>
                <w:rFonts w:ascii="宋体" w:hAnsi="宋体" w:cs="宋体"/>
                <w:sz w:val="18"/>
              </w:rPr>
              <w:t>10</w:t>
            </w:r>
          </w:p>
        </w:tc>
        <w:tc>
          <w:tcPr>
            <w:tcW w:w="1248" w:type="pct"/>
            <w:tcBorders>
              <w:top w:val="single" w:color="000000" w:sz="8" w:space="0"/>
            </w:tcBorders>
            <w:shd w:val="clear" w:color="auto" w:fill="auto"/>
            <w:vAlign w:val="center"/>
          </w:tcPr>
          <w:p>
            <w:pPr>
              <w:adjustRightInd/>
              <w:spacing w:line="240" w:lineRule="auto"/>
              <w:jc w:val="center"/>
              <w:rPr>
                <w:rFonts w:ascii="宋体" w:hAnsi="宋体" w:cs="宋体"/>
                <w:sz w:val="18"/>
              </w:rPr>
            </w:pPr>
            <w:r>
              <w:rPr>
                <w:rFonts w:ascii="宋体" w:hAnsi="宋体" w:cs="宋体"/>
                <w:sz w:val="18"/>
              </w:rPr>
              <w:t>12</w:t>
            </w:r>
          </w:p>
        </w:tc>
        <w:tc>
          <w:tcPr>
            <w:tcW w:w="1252" w:type="pct"/>
            <w:tcBorders>
              <w:top w:val="single" w:color="000000" w:sz="8" w:space="0"/>
            </w:tcBorders>
            <w:shd w:val="clear" w:color="auto" w:fill="auto"/>
            <w:vAlign w:val="center"/>
          </w:tcPr>
          <w:p>
            <w:pPr>
              <w:adjustRightInd/>
              <w:spacing w:line="240" w:lineRule="auto"/>
              <w:jc w:val="center"/>
              <w:rPr>
                <w:rFonts w:ascii="宋体" w:hAnsi="宋体" w:cs="宋体"/>
                <w:sz w:val="18"/>
              </w:rPr>
            </w:pPr>
            <w:r>
              <w:rPr>
                <w:rFonts w:ascii="宋体" w:hAnsi="宋体" w:cs="宋体"/>
                <w:sz w:val="18"/>
              </w:rPr>
              <w:t>15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1252" w:type="pct"/>
            <w:shd w:val="clear" w:color="auto" w:fill="auto"/>
            <w:vAlign w:val="center"/>
          </w:tcPr>
          <w:p>
            <w:pPr>
              <w:adjustRightInd/>
              <w:spacing w:line="240" w:lineRule="auto"/>
              <w:jc w:val="center"/>
              <w:rPr>
                <w:rFonts w:ascii="宋体" w:hAnsi="宋体" w:cs="宋体"/>
                <w:sz w:val="18"/>
              </w:rPr>
            </w:pPr>
            <w:r>
              <w:rPr>
                <w:rFonts w:hint="eastAsia" w:ascii="宋体" w:hAnsi="宋体" w:cs="宋体"/>
                <w:sz w:val="18"/>
              </w:rPr>
              <w:t>弹性滑板支座</w:t>
            </w:r>
          </w:p>
        </w:tc>
        <w:tc>
          <w:tcPr>
            <w:tcW w:w="1248" w:type="pct"/>
            <w:shd w:val="clear" w:color="auto" w:fill="auto"/>
            <w:vAlign w:val="center"/>
          </w:tcPr>
          <w:p>
            <w:pPr>
              <w:adjustRightInd/>
              <w:spacing w:line="240" w:lineRule="auto"/>
              <w:jc w:val="center"/>
              <w:rPr>
                <w:rFonts w:ascii="宋体" w:hAnsi="宋体" w:cs="宋体"/>
                <w:sz w:val="18"/>
              </w:rPr>
            </w:pPr>
            <w:r>
              <w:rPr>
                <w:rFonts w:ascii="宋体" w:hAnsi="宋体" w:cs="宋体"/>
                <w:sz w:val="18"/>
              </w:rPr>
              <w:t>12</w:t>
            </w:r>
          </w:p>
        </w:tc>
        <w:tc>
          <w:tcPr>
            <w:tcW w:w="1248" w:type="pct"/>
            <w:shd w:val="clear" w:color="auto" w:fill="auto"/>
            <w:vAlign w:val="center"/>
          </w:tcPr>
          <w:p>
            <w:pPr>
              <w:adjustRightInd/>
              <w:spacing w:line="240" w:lineRule="auto"/>
              <w:jc w:val="center"/>
              <w:rPr>
                <w:rFonts w:ascii="宋体" w:hAnsi="宋体" w:cs="宋体"/>
                <w:sz w:val="18"/>
              </w:rPr>
            </w:pPr>
            <w:r>
              <w:rPr>
                <w:rFonts w:ascii="宋体" w:hAnsi="宋体" w:cs="宋体"/>
                <w:sz w:val="18"/>
              </w:rPr>
              <w:t>15</w:t>
            </w:r>
          </w:p>
        </w:tc>
        <w:tc>
          <w:tcPr>
            <w:tcW w:w="1252" w:type="pct"/>
            <w:shd w:val="clear" w:color="auto" w:fill="auto"/>
            <w:vAlign w:val="center"/>
          </w:tcPr>
          <w:p>
            <w:pPr>
              <w:adjustRightInd/>
              <w:spacing w:line="240" w:lineRule="auto"/>
              <w:jc w:val="center"/>
              <w:rPr>
                <w:rFonts w:ascii="宋体" w:hAnsi="宋体" w:cs="宋体"/>
                <w:sz w:val="18"/>
              </w:rPr>
            </w:pPr>
            <w:r>
              <w:rPr>
                <w:rFonts w:ascii="宋体" w:hAnsi="宋体" w:cs="宋体"/>
                <w:sz w:val="18"/>
              </w:rPr>
              <w:t>20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64" w:hRule="atLeast"/>
          <w:jc w:val="center"/>
        </w:trPr>
        <w:tc>
          <w:tcPr>
            <w:tcW w:w="1252" w:type="pct"/>
            <w:shd w:val="clear" w:color="auto" w:fill="auto"/>
            <w:vAlign w:val="center"/>
          </w:tcPr>
          <w:p>
            <w:pPr>
              <w:adjustRightInd/>
              <w:spacing w:line="240" w:lineRule="auto"/>
              <w:jc w:val="center"/>
              <w:rPr>
                <w:rFonts w:ascii="宋体" w:hAnsi="宋体" w:cs="宋体"/>
                <w:sz w:val="18"/>
              </w:rPr>
            </w:pPr>
            <w:r>
              <w:rPr>
                <w:rFonts w:hint="eastAsia" w:ascii="宋体" w:hAnsi="宋体" w:cs="宋体"/>
                <w:sz w:val="18"/>
              </w:rPr>
              <w:t>摩擦摆隔震支座</w:t>
            </w:r>
          </w:p>
        </w:tc>
        <w:tc>
          <w:tcPr>
            <w:tcW w:w="1248" w:type="pct"/>
            <w:shd w:val="clear" w:color="auto" w:fill="auto"/>
            <w:vAlign w:val="center"/>
          </w:tcPr>
          <w:p>
            <w:pPr>
              <w:adjustRightInd/>
              <w:spacing w:line="240" w:lineRule="auto"/>
              <w:jc w:val="center"/>
              <w:rPr>
                <w:rFonts w:ascii="宋体" w:hAnsi="宋体" w:cs="宋体"/>
                <w:sz w:val="18"/>
              </w:rPr>
            </w:pPr>
            <w:r>
              <w:rPr>
                <w:rFonts w:ascii="宋体" w:hAnsi="宋体" w:cs="宋体"/>
                <w:sz w:val="18"/>
              </w:rPr>
              <w:t>20</w:t>
            </w:r>
          </w:p>
        </w:tc>
        <w:tc>
          <w:tcPr>
            <w:tcW w:w="1248" w:type="pct"/>
            <w:shd w:val="clear" w:color="auto" w:fill="auto"/>
            <w:vAlign w:val="center"/>
          </w:tcPr>
          <w:p>
            <w:pPr>
              <w:adjustRightInd/>
              <w:spacing w:line="240" w:lineRule="auto"/>
              <w:jc w:val="center"/>
              <w:rPr>
                <w:rFonts w:ascii="宋体" w:hAnsi="宋体" w:cs="宋体"/>
                <w:sz w:val="18"/>
              </w:rPr>
            </w:pPr>
            <w:r>
              <w:rPr>
                <w:rFonts w:ascii="宋体" w:hAnsi="宋体" w:cs="宋体"/>
                <w:sz w:val="18"/>
              </w:rPr>
              <w:t>25</w:t>
            </w:r>
          </w:p>
        </w:tc>
        <w:tc>
          <w:tcPr>
            <w:tcW w:w="1252" w:type="pct"/>
            <w:shd w:val="clear" w:color="auto" w:fill="auto"/>
            <w:vAlign w:val="center"/>
          </w:tcPr>
          <w:p>
            <w:pPr>
              <w:adjustRightInd/>
              <w:spacing w:line="240" w:lineRule="auto"/>
              <w:jc w:val="center"/>
              <w:rPr>
                <w:rFonts w:ascii="宋体" w:hAnsi="宋体" w:cs="宋体"/>
                <w:sz w:val="18"/>
              </w:rPr>
            </w:pPr>
            <w:r>
              <w:rPr>
                <w:rFonts w:ascii="宋体" w:hAnsi="宋体" w:cs="宋体"/>
                <w:sz w:val="18"/>
              </w:rPr>
              <w:t>30</w:t>
            </w:r>
          </w:p>
        </w:tc>
      </w:tr>
    </w:tbl>
    <w:p>
      <w:pPr>
        <w:pStyle w:val="176"/>
        <w:numPr>
          <w:ilvl w:val="0"/>
          <w:numId w:val="0"/>
        </w:numPr>
        <w:ind w:left="851" w:hanging="426"/>
      </w:pPr>
      <w:r>
        <w:rPr>
          <w:rFonts w:hint="eastAsia"/>
        </w:rPr>
        <w:t>注：隔震橡胶支座包括橡胶支座、铅芯橡胶支座和高阻尼橡胶支座，直径小于 300mm 时其压应力限值可适当降低。</w:t>
      </w:r>
    </w:p>
    <w:p>
      <w:pPr>
        <w:rPr>
          <w:rFonts w:hint="eastAsia" w:ascii="华文楷体" w:hAnsi="华文楷体" w:eastAsia="华文楷体" w:cs="华文楷体"/>
          <w:color w:val="0000FF"/>
          <w:kern w:val="0"/>
          <w:szCs w:val="20"/>
        </w:rPr>
      </w:pPr>
      <w:r>
        <w:rPr>
          <w:rFonts w:hint="eastAsia" w:ascii="华文楷体" w:hAnsi="华文楷体" w:eastAsia="华文楷体" w:cs="华文楷体"/>
          <w:color w:val="0000FF"/>
          <w:kern w:val="0"/>
          <w:szCs w:val="20"/>
        </w:rPr>
        <w:t>条文说明：橡胶隔震支座第二形状系数小于5时，其竖向承载力将降低，此时其压应力限值随之调整。对于多层与高层建筑隔震设计，所采用隔震支座外径不宜小于300mm，以保证上部结构的稳定性并提供足够的安全储备。</w:t>
      </w:r>
    </w:p>
    <w:p>
      <w:pPr>
        <w:pStyle w:val="67"/>
        <w:spacing w:before="156" w:after="156"/>
      </w:pPr>
      <w:r>
        <w:rPr>
          <w:rFonts w:hint="eastAsia"/>
        </w:rPr>
        <w:t>隔震层抗风装置，应符合下式要求：</w:t>
      </w:r>
    </w:p>
    <w:p>
      <w:pPr>
        <w:pStyle w:val="115"/>
      </w:pPr>
      <w:r>
        <w:tab/>
      </w:r>
      <m:oMath>
        <m:sSub>
          <m:sSubPr>
            <m:ctrlPr>
              <w:rPr>
                <w:rFonts w:ascii="Cambria Math" w:hAnsi="Cambria Math"/>
                <w:i/>
              </w:rPr>
            </m:ctrlPr>
          </m:sSubPr>
          <m:e>
            <m:r>
              <m:rPr/>
              <w:rPr>
                <w:rFonts w:ascii="Cambria Math"/>
              </w:rPr>
              <m:t>γ</m:t>
            </m:r>
            <m:ctrlPr>
              <w:rPr>
                <w:rFonts w:ascii="Cambria Math" w:hAnsi="Cambria Math"/>
                <w:i/>
              </w:rPr>
            </m:ctrlPr>
          </m:e>
          <m:sub>
            <m:r>
              <m:rPr/>
              <w:rPr>
                <w:rFonts w:ascii="Cambria Math"/>
              </w:rPr>
              <m:t>w</m:t>
            </m:r>
            <m:ctrlPr>
              <w:rPr>
                <w:rFonts w:ascii="Cambria Math" w:hAnsi="Cambria Math"/>
                <w:i/>
              </w:rPr>
            </m:ctrlPr>
          </m:sub>
        </m:sSub>
        <m:sSub>
          <m:sSubPr>
            <m:ctrlPr>
              <w:rPr>
                <w:rFonts w:ascii="Cambria Math" w:hAnsi="Cambria Math"/>
                <w:i/>
              </w:rPr>
            </m:ctrlPr>
          </m:sSubPr>
          <m:e>
            <m:r>
              <m:rPr/>
              <w:rPr>
                <w:rFonts w:ascii="Cambria Math"/>
              </w:rPr>
              <m:t>V</m:t>
            </m:r>
            <m:ctrlPr>
              <w:rPr>
                <w:rFonts w:ascii="Cambria Math" w:hAnsi="Cambria Math"/>
                <w:i/>
              </w:rPr>
            </m:ctrlPr>
          </m:e>
          <m:sub>
            <m:r>
              <m:rPr>
                <m:nor/>
                <m:sty m:val="p"/>
              </m:rPr>
              <w:rPr>
                <w:rFonts w:ascii="Cambria Math"/>
              </w:rPr>
              <m:t>wk</m:t>
            </m:r>
            <m:ctrlPr>
              <w:rPr>
                <w:rFonts w:ascii="Cambria Math" w:hAnsi="Cambria Math"/>
              </w:rPr>
            </m:ctrlPr>
          </m:sub>
        </m:sSub>
        <m:r>
          <m:rPr/>
          <w:rPr>
            <w:rFonts w:ascii="Cambria Math"/>
          </w:rPr>
          <m:t>≤</m:t>
        </m:r>
        <m:sSub>
          <m:sSubPr>
            <m:ctrlPr>
              <w:rPr>
                <w:rFonts w:ascii="Cambria Math" w:hAnsi="Cambria Math"/>
                <w:i/>
              </w:rPr>
            </m:ctrlPr>
          </m:sSubPr>
          <m:e>
            <m:r>
              <m:rPr/>
              <w:rPr>
                <w:rFonts w:ascii="Cambria Math"/>
              </w:rPr>
              <m:t>V</m:t>
            </m:r>
            <m:ctrlPr>
              <w:rPr>
                <w:rFonts w:ascii="Cambria Math" w:hAnsi="Cambria Math"/>
                <w:i/>
              </w:rPr>
            </m:ctrlPr>
          </m:e>
          <m:sub>
            <m:r>
              <m:rPr>
                <m:nor/>
                <m:sty m:val="p"/>
              </m:rPr>
              <w:rPr>
                <w:rFonts w:ascii="Cambria Math"/>
              </w:rPr>
              <m:t>Rw</m:t>
            </m:r>
            <m:ctrlPr>
              <w:rPr>
                <w:rFonts w:ascii="Cambria Math" w:hAnsi="Cambria Math"/>
              </w:rPr>
            </m:ctrlPr>
          </m:sub>
        </m:sSub>
        <m:r>
          <m:rPr/>
          <w:rPr>
            <w:rFonts w:ascii="Cambria Math" w:hAnsi="Cambria Math"/>
          </w:rPr>
          <m:t xml:space="preserve"> </m:t>
        </m:r>
      </m:oMath>
      <w:r>
        <w:rPr>
          <w:rFonts w:ascii="微软雅黑" w:hAnsi="微软雅黑" w:eastAsia="微软雅黑"/>
        </w:rPr>
        <w:tab/>
      </w:r>
      <w:r>
        <w:t>(14.1.4)</w:t>
      </w:r>
    </w:p>
    <w:p>
      <w:pPr>
        <w:pStyle w:val="57"/>
        <w:ind w:left="420" w:firstLine="0" w:firstLineChars="0"/>
      </w:pPr>
      <w:r>
        <w:rPr>
          <w:rFonts w:hint="eastAsia"/>
        </w:rPr>
        <w:t>式中：</w:t>
      </w:r>
      <m:oMath>
        <m:sSub>
          <m:sSubPr>
            <m:ctrlPr>
              <w:rPr>
                <w:rFonts w:ascii="Cambria Math" w:hAnsi="Cambria Math"/>
                <w:i/>
              </w:rPr>
            </m:ctrlPr>
          </m:sSubPr>
          <m:e>
            <m:r>
              <m:rPr/>
              <w:rPr>
                <w:rFonts w:ascii="Cambria Math"/>
              </w:rPr>
              <m:t>V</m:t>
            </m:r>
            <m:ctrlPr>
              <w:rPr>
                <w:rFonts w:ascii="Cambria Math" w:hAnsi="Cambria Math"/>
                <w:i/>
              </w:rPr>
            </m:ctrlPr>
          </m:e>
          <m:sub>
            <m:r>
              <m:rPr>
                <m:nor/>
                <m:sty m:val="p"/>
              </m:rPr>
              <w:rPr>
                <w:rFonts w:ascii="Cambria Math"/>
              </w:rPr>
              <m:t>Rw</m:t>
            </m:r>
            <m:ctrlPr>
              <w:rPr>
                <w:rFonts w:ascii="Cambria Math" w:hAnsi="Cambria Math"/>
              </w:rPr>
            </m:ctrlPr>
          </m:sub>
        </m:sSub>
      </m:oMath>
      <w:r>
        <w:rPr>
          <w:rFonts w:hint="eastAsia"/>
        </w:rPr>
        <w:t>——抗风装置的水平承载力设计值（kN）；当抗风装置是隔震支座的组成部分时，可取隔震支座的水平屈服荷载设计值；当抗风装置单独设置时，可取抗风装置的水平承载力，按材料屈服强度设计值确定；</w:t>
      </w:r>
    </w:p>
    <w:p>
      <w:pPr>
        <w:pStyle w:val="57"/>
        <w:ind w:firstLine="420"/>
      </w:pPr>
      <w:r>
        <w:rPr>
          <w:rFonts w:hint="eastAsia"/>
        </w:rPr>
        <w:tab/>
      </w:r>
      <w:r>
        <w:rPr>
          <w:rFonts w:hint="eastAsia"/>
        </w:rPr>
        <w:t xml:space="preserve">   </w:t>
      </w:r>
      <m:oMath>
        <m:sSub>
          <m:sSubPr>
            <m:ctrlPr>
              <w:rPr>
                <w:rFonts w:ascii="Cambria Math" w:hAnsi="Cambria Math"/>
                <w:i/>
              </w:rPr>
            </m:ctrlPr>
          </m:sSubPr>
          <m:e>
            <m:r>
              <m:rPr/>
              <w:rPr>
                <w:rFonts w:ascii="Cambria Math"/>
              </w:rPr>
              <m:t>γ</m:t>
            </m:r>
            <m:ctrlPr>
              <w:rPr>
                <w:rFonts w:ascii="Cambria Math" w:hAnsi="Cambria Math"/>
                <w:i/>
              </w:rPr>
            </m:ctrlPr>
          </m:e>
          <m:sub>
            <m:r>
              <m:rPr/>
              <w:rPr>
                <w:rFonts w:ascii="Cambria Math"/>
              </w:rPr>
              <m:t>w</m:t>
            </m:r>
            <m:ctrlPr>
              <w:rPr>
                <w:rFonts w:ascii="Cambria Math" w:hAnsi="Cambria Math"/>
                <w:i/>
              </w:rPr>
            </m:ctrlPr>
          </m:sub>
        </m:sSub>
      </m:oMath>
      <w:r>
        <w:rPr>
          <w:rFonts w:hint="eastAsia"/>
        </w:rPr>
        <w:t xml:space="preserve"> ——风荷载分项系数，可取1.</w:t>
      </w:r>
      <w:r>
        <w:t>7</w:t>
      </w:r>
      <w:r>
        <w:rPr>
          <w:rFonts w:hint="eastAsia"/>
        </w:rPr>
        <w:t>；</w:t>
      </w:r>
    </w:p>
    <w:p>
      <w:pPr>
        <w:pStyle w:val="57"/>
        <w:ind w:left="840" w:firstLine="420"/>
      </w:pPr>
      <m:oMath>
        <m:sSub>
          <m:sSubPr>
            <m:ctrlPr>
              <w:rPr>
                <w:rFonts w:ascii="Cambria Math" w:hAnsi="Cambria Math"/>
                <w:i/>
              </w:rPr>
            </m:ctrlPr>
          </m:sSubPr>
          <m:e>
            <m:r>
              <m:rPr/>
              <w:rPr>
                <w:rFonts w:ascii="Cambria Math"/>
              </w:rPr>
              <m:t>V</m:t>
            </m:r>
            <m:ctrlPr>
              <w:rPr>
                <w:rFonts w:ascii="Cambria Math" w:hAnsi="Cambria Math"/>
                <w:i/>
              </w:rPr>
            </m:ctrlPr>
          </m:e>
          <m:sub>
            <m:r>
              <m:rPr>
                <m:nor/>
                <m:sty m:val="p"/>
              </m:rPr>
              <w:rPr>
                <w:rFonts w:ascii="Cambria Math"/>
              </w:rPr>
              <m:t>wk</m:t>
            </m:r>
            <m:ctrlPr>
              <w:rPr>
                <w:rFonts w:ascii="Cambria Math" w:hAnsi="Cambria Math"/>
              </w:rPr>
            </m:ctrlPr>
          </m:sub>
        </m:sSub>
      </m:oMath>
      <w:r>
        <w:rPr>
          <w:rFonts w:hint="eastAsia"/>
        </w:rPr>
        <w:t>——风荷载作用下隔震层的水平剪力标准值。</w:t>
      </w:r>
    </w:p>
    <w:p>
      <w:pPr>
        <w:rPr>
          <w:rFonts w:hint="eastAsia"/>
        </w:rPr>
      </w:pPr>
      <w:r>
        <w:rPr>
          <w:rFonts w:hint="eastAsia" w:ascii="华文楷体" w:hAnsi="华文楷体" w:eastAsia="华文楷体" w:cs="华文楷体"/>
          <w:color w:val="0000FF"/>
          <w:kern w:val="0"/>
          <w:szCs w:val="20"/>
        </w:rPr>
        <w:t>条文说明：隔震层应有充分的抗风承载力，隔震支座、阻尼装置和抗风装置的总水平屈服荷载设计值，应大于风荷载作用下隔震层总水平剪力标准值的1.7倍。</w:t>
      </w:r>
    </w:p>
    <w:p>
      <w:pPr>
        <w:pStyle w:val="67"/>
        <w:spacing w:before="156" w:after="156"/>
      </w:pPr>
      <w:r>
        <w:rPr>
          <w:rFonts w:hint="eastAsia"/>
        </w:rPr>
        <w:t>罕遇、极罕遇地震下隔震支座的水平位移、竖向应力宜按三向地震输入进行计算。</w:t>
      </w:r>
    </w:p>
    <w:p>
      <w:pPr>
        <w:rPr>
          <w:rFonts w:hint="eastAsia"/>
        </w:rPr>
      </w:pPr>
      <w:r>
        <w:rPr>
          <w:rFonts w:hint="eastAsia" w:ascii="华文楷体" w:hAnsi="华文楷体" w:eastAsia="华文楷体" w:cs="华文楷体"/>
          <w:color w:val="0000FF"/>
          <w:kern w:val="0"/>
          <w:szCs w:val="20"/>
        </w:rPr>
        <w:t>条文说明：我国大部分结构分析软件均能实现三向地震输入功能，三向地震输入更能真实地反应隔震支座状态。</w:t>
      </w:r>
    </w:p>
    <w:p>
      <w:pPr>
        <w:pStyle w:val="67"/>
        <w:spacing w:before="156" w:after="156"/>
      </w:pPr>
      <w:r>
        <w:rPr>
          <w:rFonts w:hint="eastAsia"/>
        </w:rPr>
        <w:t>罕遇地震下隔震支座的水平位移，应符合下列规定：</w:t>
      </w:r>
    </w:p>
    <w:p>
      <w:pPr>
        <w:pStyle w:val="115"/>
      </w:pPr>
      <w:r>
        <w:tab/>
      </w:r>
      <m:oMath>
        <m:sSub>
          <m:sSubPr>
            <m:ctrlPr>
              <w:rPr>
                <w:rFonts w:ascii="Cambria Math" w:hAnsi="Cambria Math"/>
                <w:i/>
              </w:rPr>
            </m:ctrlPr>
          </m:sSubPr>
          <m:e>
            <m:r>
              <m:rPr/>
              <w:rPr>
                <w:rFonts w:ascii="Cambria Math"/>
              </w:rPr>
              <m:t>u</m:t>
            </m:r>
            <m:ctrlPr>
              <w:rPr>
                <w:rFonts w:ascii="Cambria Math" w:hAnsi="Cambria Math"/>
                <w:i/>
              </w:rPr>
            </m:ctrlPr>
          </m:e>
          <m:sub>
            <m:r>
              <m:rPr/>
              <w:rPr>
                <w:rFonts w:ascii="Cambria Math"/>
              </w:rPr>
              <m:t>ℎi</m:t>
            </m:r>
            <m:ctrlPr>
              <w:rPr>
                <w:rFonts w:ascii="Cambria Math" w:hAnsi="Cambria Math"/>
                <w:i/>
              </w:rPr>
            </m:ctrlPr>
          </m:sub>
        </m:sSub>
        <m:r>
          <m:rPr/>
          <w:rPr>
            <w:rFonts w:ascii="Cambria Math"/>
          </w:rPr>
          <m:t>≤[</m:t>
        </m:r>
        <m:sSub>
          <m:sSubPr>
            <m:ctrlPr>
              <w:rPr>
                <w:rFonts w:ascii="Cambria Math" w:hAnsi="Cambria Math"/>
                <w:i/>
              </w:rPr>
            </m:ctrlPr>
          </m:sSubPr>
          <m:e>
            <m:r>
              <m:rPr/>
              <w:rPr>
                <w:rFonts w:ascii="Cambria Math"/>
              </w:rPr>
              <m:t>u</m:t>
            </m:r>
            <m:ctrlPr>
              <w:rPr>
                <w:rFonts w:ascii="Cambria Math" w:hAnsi="Cambria Math"/>
                <w:i/>
              </w:rPr>
            </m:ctrlPr>
          </m:e>
          <m:sub>
            <m:r>
              <m:rPr/>
              <w:rPr>
                <w:rFonts w:ascii="Cambria Math"/>
              </w:rPr>
              <m:t>ℎi</m:t>
            </m:r>
            <m:ctrlPr>
              <w:rPr>
                <w:rFonts w:ascii="Cambria Math" w:hAnsi="Cambria Math"/>
                <w:i/>
              </w:rPr>
            </m:ctrlPr>
          </m:sub>
        </m:sSub>
        <m:r>
          <m:rPr/>
          <w:rPr>
            <w:rFonts w:ascii="Cambria Math"/>
          </w:rPr>
          <m:t xml:space="preserve">] </m:t>
        </m:r>
      </m:oMath>
      <w:r>
        <w:rPr>
          <w:rFonts w:ascii="微软雅黑" w:hAnsi="微软雅黑" w:eastAsia="微软雅黑"/>
        </w:rPr>
        <w:tab/>
      </w:r>
      <w:r>
        <w:t>(14.1.6)</w:t>
      </w:r>
    </w:p>
    <w:p>
      <w:pPr>
        <w:pStyle w:val="57"/>
        <w:ind w:firstLine="420"/>
        <w:rPr>
          <w:szCs w:val="20"/>
        </w:rPr>
      </w:pPr>
      <w:r>
        <w:rPr>
          <w:rFonts w:hint="eastAsia"/>
        </w:rPr>
        <w:t>式中：</w:t>
      </w:r>
      <w:r>
        <w:rPr>
          <w:rFonts w:ascii="Times New Roman"/>
          <w:position w:val="-12"/>
        </w:rPr>
        <w:object>
          <v:shape id="_x0000_i1268" o:spt="75" type="#_x0000_t75" style="height:18.35pt;width:14.7pt;" o:ole="t" filled="f" o:preferrelative="t" stroked="f" coordsize="21600,21600">
            <v:path/>
            <v:fill on="f" focussize="0,0"/>
            <v:stroke on="f" joinstyle="miter"/>
            <v:imagedata r:id="rId515" o:title=""/>
            <o:lock v:ext="edit" aspectratio="t"/>
            <w10:wrap type="none"/>
            <w10:anchorlock/>
          </v:shape>
          <o:OLEObject Type="Embed" ProgID="Equation.DSMT4" ShapeID="_x0000_i1268" DrawAspect="Content" ObjectID="_1468075968" r:id="rId514">
            <o:LockedField>false</o:LockedField>
          </o:OLEObject>
        </w:object>
      </w:r>
      <w:r>
        <w:rPr>
          <w:rFonts w:ascii="Times New Roman"/>
        </w:rPr>
        <w:t xml:space="preserve"> </w:t>
      </w:r>
      <w:r>
        <w:rPr>
          <w:rFonts w:ascii="Times New Roman" w:hAnsi="Times New Roman"/>
        </w:rPr>
        <w:t xml:space="preserve">—— </w:t>
      </w:r>
      <w:r>
        <w:rPr>
          <w:rFonts w:hint="eastAsia" w:ascii="Times New Roman"/>
        </w:rPr>
        <w:t>罕遇地震</w:t>
      </w:r>
      <w:r>
        <w:rPr>
          <w:rFonts w:hint="eastAsia" w:ascii="Times New Roman"/>
          <w:sz w:val="18"/>
          <w:szCs w:val="18"/>
        </w:rPr>
        <w:t>、</w:t>
      </w:r>
      <w:r>
        <w:rPr>
          <w:rFonts w:hint="eastAsia" w:ascii="Times New Roman"/>
        </w:rPr>
        <w:t>极罕遇地震作用下第</w:t>
      </w:r>
      <w:r>
        <w:rPr>
          <w:rFonts w:ascii="Times New Roman" w:hAnsi="Times New Roman"/>
          <w:i/>
        </w:rPr>
        <w:t>i</w:t>
      </w:r>
      <w:r>
        <w:rPr>
          <w:rFonts w:hint="eastAsia" w:ascii="Times New Roman"/>
        </w:rPr>
        <w:t>个隔震支座考虑扭转水平位移；</w:t>
      </w:r>
    </w:p>
    <w:p>
      <w:pPr>
        <w:pStyle w:val="58"/>
        <w:ind w:firstLine="420"/>
        <w:rPr>
          <w:rFonts w:ascii="Calibri" w:hAnsi="Calibri"/>
        </w:rPr>
      </w:pPr>
      <w:r>
        <w:rPr>
          <w:rFonts w:ascii="Calibri" w:hAnsi="Calibri"/>
        </w:rPr>
        <w:tab/>
      </w:r>
      <w:r>
        <w:rPr>
          <w:rFonts w:ascii="Calibri" w:hAnsi="Calibri"/>
        </w:rPr>
        <w:t xml:space="preserve">  </w:t>
      </w:r>
      <w:r>
        <w:rPr>
          <w:rFonts w:ascii="Times New Roman"/>
          <w:position w:val="-12"/>
        </w:rPr>
        <w:object>
          <v:shape id="_x0000_i1269" o:spt="75" type="#_x0000_t75" style="height:18.35pt;width:23.5pt;" o:ole="t" filled="f" o:preferrelative="t" stroked="f" coordsize="21600,21600">
            <v:path/>
            <v:fill on="f" focussize="0,0"/>
            <v:stroke on="f" joinstyle="miter"/>
            <v:imagedata r:id="rId517" o:title=""/>
            <o:lock v:ext="edit" aspectratio="t"/>
            <w10:wrap type="none"/>
            <w10:anchorlock/>
          </v:shape>
          <o:OLEObject Type="Embed" ProgID="Equation.DSMT4" ShapeID="_x0000_i1269" DrawAspect="Content" ObjectID="_1468075969" r:id="rId516">
            <o:LockedField>false</o:LockedField>
          </o:OLEObject>
        </w:object>
      </w:r>
      <w:r>
        <w:rPr>
          <w:rFonts w:ascii="Times New Roman"/>
        </w:rPr>
        <w:t>——</w:t>
      </w:r>
      <w:r>
        <w:rPr>
          <w:rFonts w:hint="eastAsia" w:ascii="Times New Roman"/>
        </w:rPr>
        <w:t>第</w:t>
      </w:r>
      <w:r>
        <w:rPr>
          <w:rFonts w:ascii="Times New Roman"/>
          <w:i/>
        </w:rPr>
        <w:t>i</w:t>
      </w:r>
      <w:r>
        <w:rPr>
          <w:rFonts w:hint="eastAsia" w:ascii="Times New Roman"/>
        </w:rPr>
        <w:t>个隔震支座的水平位移限值；</w:t>
      </w:r>
    </w:p>
    <w:p>
      <w:pPr>
        <w:pStyle w:val="111"/>
        <w:numPr>
          <w:ilvl w:val="1"/>
          <w:numId w:val="45"/>
        </w:numPr>
      </w:pPr>
      <w:r>
        <w:rPr>
          <w:rFonts w:hint="eastAsia"/>
        </w:rPr>
        <w:t>除特殊规定外，在罕遇地震作用下，隔震橡胶支座的 取值不应大于支座直径的 0.55 倍和各层橡胶厚度之和 3.0 倍二者的较小值；弹性滑板支座的 取值不应大于其产品水平极限位移的 0.75倍；摩擦摆隔震支座的 取值不应大于其产品水平极限位移的0.85 倍。</w:t>
      </w:r>
    </w:p>
    <w:p>
      <w:pPr>
        <w:pStyle w:val="111"/>
        <w:numPr>
          <w:ilvl w:val="1"/>
          <w:numId w:val="45"/>
        </w:numPr>
      </w:pPr>
      <w:r>
        <w:rPr>
          <w:rFonts w:hint="eastAsia"/>
        </w:rPr>
        <w:t>特殊设防类建筑，在极罕遇地震作用下，隔震橡胶支座的值可取各层橡胶厚度之和的 4.0 倍；弹性滑板支座、摩擦摆隔震支座的值可取产品水平极限位移；隔震层宜设置超过极罕遇地震下位移的限位装置。</w:t>
      </w:r>
    </w:p>
    <w:p>
      <w:pPr>
        <w:rPr>
          <w:rFonts w:hint="eastAsia"/>
        </w:rPr>
      </w:pPr>
      <w:r>
        <w:rPr>
          <w:rFonts w:hint="eastAsia" w:ascii="华文楷体" w:hAnsi="华文楷体" w:eastAsia="华文楷体" w:cs="华文楷体"/>
          <w:color w:val="0000FF"/>
          <w:kern w:val="0"/>
          <w:szCs w:val="20"/>
        </w:rPr>
        <w:t>条文说明：隔震支座的水平位移验算均应考虑隔震层的扭转影响。</w:t>
      </w:r>
    </w:p>
    <w:p>
      <w:pPr>
        <w:pStyle w:val="67"/>
        <w:spacing w:before="156" w:after="156"/>
      </w:pPr>
      <w:r>
        <w:rPr>
          <w:rFonts w:hint="eastAsia"/>
        </w:rPr>
        <w:t>罕遇地震作用下隔震支座的竖向受力应符合下列规定：</w:t>
      </w:r>
    </w:p>
    <w:p>
      <w:pPr>
        <w:pStyle w:val="111"/>
        <w:numPr>
          <w:ilvl w:val="1"/>
          <w:numId w:val="46"/>
        </w:numPr>
      </w:pPr>
      <w:r>
        <w:rPr>
          <w:rFonts w:hint="eastAsia"/>
        </w:rPr>
        <w:t>隔震橡胶支座、弹性滑板支座和摩擦摆隔震支座的最大竖向压应力，分别不应超过表 14.1.7-1所规定的限值；</w:t>
      </w:r>
    </w:p>
    <w:p>
      <w:pPr>
        <w:pStyle w:val="111"/>
        <w:numPr>
          <w:ilvl w:val="1"/>
          <w:numId w:val="46"/>
        </w:numPr>
      </w:pPr>
      <w:r>
        <w:rPr>
          <w:rFonts w:hint="eastAsia"/>
        </w:rPr>
        <w:t>隔震橡胶支座竖向拉应力不应超过表14.1.7-2 所规定限值，且同一地震动加速度时程曲线作用下出现拉应力的支座数量不宜超过支座总数的 30%;</w:t>
      </w:r>
    </w:p>
    <w:p>
      <w:pPr>
        <w:pStyle w:val="111"/>
        <w:numPr>
          <w:ilvl w:val="1"/>
          <w:numId w:val="46"/>
        </w:numPr>
      </w:pPr>
      <w:r>
        <w:rPr>
          <w:rFonts w:hint="eastAsia" w:ascii="Times New Roman" w:hAnsi="宋体"/>
        </w:rPr>
        <w:t>弹性滑板支座、摩擦摆隔震支座或其它不能承受竖向拉力的支座，宜保持受压状态；</w:t>
      </w:r>
    </w:p>
    <w:p>
      <w:pPr>
        <w:pStyle w:val="176"/>
        <w:numPr>
          <w:ilvl w:val="0"/>
          <w:numId w:val="0"/>
        </w:numPr>
        <w:ind w:left="851" w:hanging="426"/>
        <w:jc w:val="center"/>
      </w:pPr>
      <w:r>
        <w:rPr>
          <w:rFonts w:hint="eastAsia"/>
        </w:rPr>
        <w:t>表 14.1.7-1 隔震支座在罕遇地震下的最大竖向压应力限值（MPa）</w:t>
      </w:r>
    </w:p>
    <w:tbl>
      <w:tblPr>
        <w:tblStyle w:val="27"/>
        <w:tblW w:w="8327" w:type="dxa"/>
        <w:tblInd w:w="435"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398"/>
        <w:gridCol w:w="1975"/>
        <w:gridCol w:w="1977"/>
        <w:gridCol w:w="197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398" w:type="dxa"/>
            <w:tcBorders>
              <w:top w:val="single" w:color="000000" w:sz="8" w:space="0"/>
              <w:bottom w:val="single" w:color="000000" w:sz="8" w:space="0"/>
            </w:tcBorders>
            <w:shd w:val="clear" w:color="auto" w:fill="auto"/>
            <w:vAlign w:val="center"/>
          </w:tcPr>
          <w:p>
            <w:pPr>
              <w:adjustRightInd/>
              <w:spacing w:line="240" w:lineRule="auto"/>
              <w:jc w:val="center"/>
              <w:rPr>
                <w:rFonts w:ascii="Times New Roman" w:hAnsi="宋体"/>
                <w:sz w:val="18"/>
                <w:szCs w:val="22"/>
              </w:rPr>
            </w:pPr>
            <w:r>
              <w:rPr>
                <w:rFonts w:hint="eastAsia" w:ascii="Times New Roman" w:hAnsi="宋体"/>
                <w:sz w:val="18"/>
                <w:szCs w:val="22"/>
              </w:rPr>
              <w:t>建筑类别</w:t>
            </w:r>
          </w:p>
        </w:tc>
        <w:tc>
          <w:tcPr>
            <w:tcW w:w="1975" w:type="dxa"/>
            <w:tcBorders>
              <w:top w:val="single" w:color="000000" w:sz="8" w:space="0"/>
              <w:bottom w:val="single" w:color="000000" w:sz="8" w:space="0"/>
            </w:tcBorders>
            <w:shd w:val="clear" w:color="auto" w:fill="auto"/>
            <w:vAlign w:val="center"/>
          </w:tcPr>
          <w:p>
            <w:pPr>
              <w:adjustRightInd/>
              <w:spacing w:line="240" w:lineRule="auto"/>
              <w:jc w:val="center"/>
              <w:rPr>
                <w:rFonts w:ascii="Times New Roman" w:hAnsi="宋体"/>
                <w:sz w:val="18"/>
                <w:szCs w:val="22"/>
              </w:rPr>
            </w:pPr>
            <w:r>
              <w:rPr>
                <w:rFonts w:hint="eastAsia" w:ascii="Times New Roman" w:hAnsi="宋体"/>
                <w:sz w:val="18"/>
                <w:szCs w:val="22"/>
              </w:rPr>
              <w:t>特殊设防类建筑</w:t>
            </w:r>
          </w:p>
        </w:tc>
        <w:tc>
          <w:tcPr>
            <w:tcW w:w="1977" w:type="dxa"/>
            <w:tcBorders>
              <w:top w:val="single" w:color="000000" w:sz="8" w:space="0"/>
              <w:bottom w:val="single" w:color="000000" w:sz="8" w:space="0"/>
            </w:tcBorders>
            <w:shd w:val="clear" w:color="auto" w:fill="auto"/>
            <w:vAlign w:val="center"/>
          </w:tcPr>
          <w:p>
            <w:pPr>
              <w:adjustRightInd/>
              <w:spacing w:line="240" w:lineRule="auto"/>
              <w:jc w:val="center"/>
              <w:rPr>
                <w:rFonts w:ascii="Times New Roman" w:hAnsi="宋体"/>
                <w:sz w:val="18"/>
                <w:szCs w:val="22"/>
              </w:rPr>
            </w:pPr>
            <w:r>
              <w:rPr>
                <w:rFonts w:hint="eastAsia" w:ascii="Times New Roman" w:hAnsi="宋体"/>
                <w:sz w:val="18"/>
                <w:szCs w:val="22"/>
              </w:rPr>
              <w:t>重点设防类建筑</w:t>
            </w:r>
          </w:p>
        </w:tc>
        <w:tc>
          <w:tcPr>
            <w:tcW w:w="1977" w:type="dxa"/>
            <w:tcBorders>
              <w:top w:val="single" w:color="000000" w:sz="8" w:space="0"/>
              <w:bottom w:val="single" w:color="000000" w:sz="8" w:space="0"/>
            </w:tcBorders>
            <w:shd w:val="clear" w:color="auto" w:fill="auto"/>
            <w:vAlign w:val="center"/>
          </w:tcPr>
          <w:p>
            <w:pPr>
              <w:adjustRightInd/>
              <w:spacing w:line="240" w:lineRule="auto"/>
              <w:jc w:val="center"/>
              <w:rPr>
                <w:rFonts w:ascii="Times New Roman" w:hAnsi="宋体"/>
                <w:sz w:val="18"/>
                <w:szCs w:val="22"/>
              </w:rPr>
            </w:pPr>
            <w:r>
              <w:rPr>
                <w:rFonts w:hint="eastAsia" w:ascii="Times New Roman" w:hAnsi="宋体"/>
                <w:sz w:val="18"/>
                <w:szCs w:val="22"/>
              </w:rPr>
              <w:t>标准设防类建筑</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2398" w:type="dxa"/>
            <w:tcBorders>
              <w:top w:val="single" w:color="000000" w:sz="8" w:space="0"/>
            </w:tcBorders>
            <w:shd w:val="clear" w:color="auto" w:fill="auto"/>
            <w:vAlign w:val="center"/>
          </w:tcPr>
          <w:p>
            <w:pPr>
              <w:adjustRightInd/>
              <w:spacing w:line="240" w:lineRule="auto"/>
              <w:jc w:val="center"/>
              <w:rPr>
                <w:rFonts w:ascii="Times New Roman" w:hAnsi="宋体"/>
                <w:sz w:val="18"/>
                <w:szCs w:val="22"/>
              </w:rPr>
            </w:pPr>
            <w:r>
              <w:rPr>
                <w:rFonts w:hint="eastAsia" w:ascii="Times New Roman" w:hAnsi="宋体"/>
                <w:sz w:val="18"/>
                <w:szCs w:val="22"/>
              </w:rPr>
              <w:t>隔震橡胶支座</w:t>
            </w:r>
          </w:p>
        </w:tc>
        <w:tc>
          <w:tcPr>
            <w:tcW w:w="1975" w:type="dxa"/>
            <w:tcBorders>
              <w:top w:val="single" w:color="000000" w:sz="8" w:space="0"/>
            </w:tcBorders>
            <w:shd w:val="clear" w:color="auto" w:fill="auto"/>
            <w:vAlign w:val="center"/>
          </w:tcPr>
          <w:p>
            <w:pPr>
              <w:adjustRightInd/>
              <w:spacing w:line="240" w:lineRule="auto"/>
              <w:jc w:val="center"/>
              <w:rPr>
                <w:rFonts w:ascii="Times New Roman" w:hAnsi="宋体"/>
                <w:sz w:val="18"/>
                <w:szCs w:val="22"/>
              </w:rPr>
            </w:pPr>
            <w:r>
              <w:rPr>
                <w:rFonts w:ascii="Times New Roman" w:hAnsi="宋体"/>
                <w:sz w:val="18"/>
                <w:szCs w:val="22"/>
              </w:rPr>
              <w:t>20</w:t>
            </w:r>
          </w:p>
        </w:tc>
        <w:tc>
          <w:tcPr>
            <w:tcW w:w="1977" w:type="dxa"/>
            <w:tcBorders>
              <w:top w:val="single" w:color="000000" w:sz="8" w:space="0"/>
            </w:tcBorders>
            <w:shd w:val="clear" w:color="auto" w:fill="auto"/>
            <w:vAlign w:val="center"/>
          </w:tcPr>
          <w:p>
            <w:pPr>
              <w:adjustRightInd/>
              <w:spacing w:line="240" w:lineRule="auto"/>
              <w:jc w:val="center"/>
              <w:rPr>
                <w:rFonts w:ascii="Times New Roman" w:hAnsi="宋体"/>
                <w:sz w:val="18"/>
                <w:szCs w:val="22"/>
              </w:rPr>
            </w:pPr>
            <w:r>
              <w:rPr>
                <w:rFonts w:ascii="Times New Roman" w:hAnsi="宋体"/>
                <w:sz w:val="18"/>
                <w:szCs w:val="22"/>
              </w:rPr>
              <w:t>25</w:t>
            </w:r>
          </w:p>
        </w:tc>
        <w:tc>
          <w:tcPr>
            <w:tcW w:w="1977" w:type="dxa"/>
            <w:tcBorders>
              <w:top w:val="single" w:color="000000" w:sz="8" w:space="0"/>
            </w:tcBorders>
            <w:shd w:val="clear" w:color="auto" w:fill="auto"/>
            <w:vAlign w:val="center"/>
          </w:tcPr>
          <w:p>
            <w:pPr>
              <w:adjustRightInd/>
              <w:spacing w:line="240" w:lineRule="auto"/>
              <w:jc w:val="center"/>
              <w:rPr>
                <w:rFonts w:ascii="Times New Roman" w:hAnsi="宋体"/>
                <w:sz w:val="18"/>
                <w:szCs w:val="22"/>
              </w:rPr>
            </w:pPr>
            <w:r>
              <w:rPr>
                <w:rFonts w:ascii="Times New Roman" w:hAnsi="宋体"/>
                <w:sz w:val="18"/>
                <w:szCs w:val="22"/>
              </w:rPr>
              <w:t>30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2398" w:type="dxa"/>
            <w:shd w:val="clear" w:color="auto" w:fill="auto"/>
            <w:vAlign w:val="center"/>
          </w:tcPr>
          <w:p>
            <w:pPr>
              <w:adjustRightInd/>
              <w:spacing w:line="240" w:lineRule="auto"/>
              <w:jc w:val="center"/>
              <w:rPr>
                <w:rFonts w:ascii="Times New Roman" w:hAnsi="宋体"/>
                <w:sz w:val="18"/>
                <w:szCs w:val="22"/>
              </w:rPr>
            </w:pPr>
            <w:r>
              <w:rPr>
                <w:rFonts w:hint="eastAsia" w:ascii="Times New Roman" w:hAnsi="宋体"/>
                <w:sz w:val="18"/>
                <w:szCs w:val="22"/>
              </w:rPr>
              <w:t>弹性滑板支座</w:t>
            </w:r>
          </w:p>
        </w:tc>
        <w:tc>
          <w:tcPr>
            <w:tcW w:w="1975" w:type="dxa"/>
            <w:shd w:val="clear" w:color="auto" w:fill="auto"/>
            <w:vAlign w:val="center"/>
          </w:tcPr>
          <w:p>
            <w:pPr>
              <w:adjustRightInd/>
              <w:spacing w:line="240" w:lineRule="auto"/>
              <w:jc w:val="center"/>
              <w:rPr>
                <w:rFonts w:ascii="Times New Roman" w:hAnsi="宋体"/>
                <w:sz w:val="18"/>
                <w:szCs w:val="22"/>
              </w:rPr>
            </w:pPr>
            <w:r>
              <w:rPr>
                <w:rFonts w:ascii="Times New Roman" w:hAnsi="宋体"/>
                <w:sz w:val="18"/>
                <w:szCs w:val="22"/>
              </w:rPr>
              <w:t>25</w:t>
            </w:r>
          </w:p>
        </w:tc>
        <w:tc>
          <w:tcPr>
            <w:tcW w:w="1977" w:type="dxa"/>
            <w:shd w:val="clear" w:color="auto" w:fill="auto"/>
            <w:vAlign w:val="center"/>
          </w:tcPr>
          <w:p>
            <w:pPr>
              <w:adjustRightInd/>
              <w:spacing w:line="240" w:lineRule="auto"/>
              <w:jc w:val="center"/>
              <w:rPr>
                <w:rFonts w:ascii="Times New Roman" w:hAnsi="宋体"/>
                <w:sz w:val="18"/>
                <w:szCs w:val="22"/>
              </w:rPr>
            </w:pPr>
            <w:r>
              <w:rPr>
                <w:rFonts w:ascii="Times New Roman" w:hAnsi="宋体"/>
                <w:sz w:val="18"/>
                <w:szCs w:val="22"/>
              </w:rPr>
              <w:t>30</w:t>
            </w:r>
          </w:p>
        </w:tc>
        <w:tc>
          <w:tcPr>
            <w:tcW w:w="1977" w:type="dxa"/>
            <w:shd w:val="clear" w:color="auto" w:fill="auto"/>
            <w:vAlign w:val="center"/>
          </w:tcPr>
          <w:p>
            <w:pPr>
              <w:adjustRightInd/>
              <w:spacing w:line="240" w:lineRule="auto"/>
              <w:jc w:val="center"/>
              <w:rPr>
                <w:rFonts w:ascii="Times New Roman" w:hAnsi="宋体"/>
                <w:sz w:val="18"/>
                <w:szCs w:val="22"/>
              </w:rPr>
            </w:pPr>
            <w:r>
              <w:rPr>
                <w:rFonts w:ascii="Times New Roman" w:hAnsi="宋体"/>
                <w:sz w:val="18"/>
                <w:szCs w:val="22"/>
              </w:rPr>
              <w:t>40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2398" w:type="dxa"/>
            <w:shd w:val="clear" w:color="auto" w:fill="auto"/>
            <w:vAlign w:val="center"/>
          </w:tcPr>
          <w:p>
            <w:pPr>
              <w:adjustRightInd/>
              <w:spacing w:line="240" w:lineRule="auto"/>
              <w:jc w:val="center"/>
              <w:rPr>
                <w:rFonts w:ascii="Times New Roman" w:hAnsi="宋体"/>
                <w:sz w:val="18"/>
                <w:szCs w:val="22"/>
              </w:rPr>
            </w:pPr>
            <w:r>
              <w:rPr>
                <w:rFonts w:hint="eastAsia" w:ascii="Times New Roman" w:hAnsi="宋体"/>
                <w:sz w:val="18"/>
                <w:szCs w:val="22"/>
              </w:rPr>
              <w:t>摩擦摆隔震支座</w:t>
            </w:r>
          </w:p>
        </w:tc>
        <w:tc>
          <w:tcPr>
            <w:tcW w:w="1975" w:type="dxa"/>
            <w:shd w:val="clear" w:color="auto" w:fill="auto"/>
            <w:vAlign w:val="center"/>
          </w:tcPr>
          <w:p>
            <w:pPr>
              <w:adjustRightInd/>
              <w:spacing w:line="240" w:lineRule="auto"/>
              <w:jc w:val="center"/>
              <w:rPr>
                <w:rFonts w:ascii="Times New Roman" w:hAnsi="宋体"/>
                <w:sz w:val="18"/>
                <w:szCs w:val="22"/>
              </w:rPr>
            </w:pPr>
            <w:r>
              <w:rPr>
                <w:rFonts w:ascii="Times New Roman" w:hAnsi="宋体"/>
                <w:sz w:val="18"/>
                <w:szCs w:val="22"/>
              </w:rPr>
              <w:t>40</w:t>
            </w:r>
          </w:p>
        </w:tc>
        <w:tc>
          <w:tcPr>
            <w:tcW w:w="1977" w:type="dxa"/>
            <w:shd w:val="clear" w:color="auto" w:fill="auto"/>
            <w:vAlign w:val="center"/>
          </w:tcPr>
          <w:p>
            <w:pPr>
              <w:adjustRightInd/>
              <w:spacing w:line="240" w:lineRule="auto"/>
              <w:jc w:val="center"/>
              <w:rPr>
                <w:rFonts w:ascii="Times New Roman" w:hAnsi="宋体"/>
                <w:sz w:val="18"/>
                <w:szCs w:val="22"/>
              </w:rPr>
            </w:pPr>
            <w:r>
              <w:rPr>
                <w:rFonts w:ascii="Times New Roman" w:hAnsi="宋体"/>
                <w:sz w:val="18"/>
                <w:szCs w:val="22"/>
              </w:rPr>
              <w:t>50</w:t>
            </w:r>
          </w:p>
        </w:tc>
        <w:tc>
          <w:tcPr>
            <w:tcW w:w="1977" w:type="dxa"/>
            <w:shd w:val="clear" w:color="auto" w:fill="auto"/>
            <w:vAlign w:val="center"/>
          </w:tcPr>
          <w:p>
            <w:pPr>
              <w:adjustRightInd/>
              <w:spacing w:line="240" w:lineRule="auto"/>
              <w:jc w:val="center"/>
              <w:rPr>
                <w:rFonts w:ascii="Times New Roman" w:hAnsi="宋体"/>
                <w:sz w:val="18"/>
                <w:szCs w:val="22"/>
              </w:rPr>
            </w:pPr>
            <w:r>
              <w:rPr>
                <w:rFonts w:ascii="Times New Roman" w:hAnsi="宋体"/>
                <w:sz w:val="18"/>
                <w:szCs w:val="22"/>
              </w:rPr>
              <w:t>60</w:t>
            </w:r>
          </w:p>
        </w:tc>
      </w:tr>
    </w:tbl>
    <w:p>
      <w:pPr>
        <w:pStyle w:val="176"/>
        <w:numPr>
          <w:ilvl w:val="0"/>
          <w:numId w:val="0"/>
        </w:numPr>
        <w:ind w:left="851" w:hanging="426"/>
      </w:pPr>
      <w:r>
        <w:rPr>
          <w:rFonts w:hint="eastAsia"/>
        </w:rPr>
        <w:t>注：隔震橡胶支座包括橡胶支座、铅芯橡胶支座和高阻尼橡胶支座，直径小于 300mm 时其压应力限值可适当降低。</w:t>
      </w:r>
    </w:p>
    <w:p>
      <w:pPr>
        <w:pStyle w:val="176"/>
        <w:numPr>
          <w:ilvl w:val="0"/>
          <w:numId w:val="0"/>
        </w:numPr>
        <w:ind w:left="851" w:hanging="426"/>
        <w:jc w:val="center"/>
      </w:pPr>
      <w:r>
        <w:rPr>
          <w:rFonts w:hint="eastAsia" w:ascii="Times New Roman" w:hAnsi="宋体"/>
        </w:rPr>
        <w:t>表</w:t>
      </w:r>
      <w:r>
        <w:rPr>
          <w:rFonts w:ascii="Times New Roman" w:hAnsi="宋体"/>
        </w:rPr>
        <w:t xml:space="preserve"> 14.1.7-2 </w:t>
      </w:r>
      <w:r>
        <w:rPr>
          <w:rFonts w:hint="eastAsia" w:ascii="Times New Roman" w:hAnsi="宋体"/>
        </w:rPr>
        <w:t>隔震橡胶支座在罕遇地震下的竖向拉应力限值</w:t>
      </w:r>
    </w:p>
    <w:tbl>
      <w:tblPr>
        <w:tblStyle w:val="27"/>
        <w:tblW w:w="0" w:type="auto"/>
        <w:tblInd w:w="44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398"/>
        <w:gridCol w:w="1976"/>
        <w:gridCol w:w="1975"/>
        <w:gridCol w:w="1976"/>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2398" w:type="dxa"/>
            <w:tcBorders>
              <w:top w:val="single" w:color="000000" w:sz="8" w:space="0"/>
              <w:bottom w:val="single" w:color="000000" w:sz="8" w:space="0"/>
            </w:tcBorders>
            <w:shd w:val="clear" w:color="auto" w:fill="auto"/>
            <w:vAlign w:val="center"/>
          </w:tcPr>
          <w:p>
            <w:pPr>
              <w:adjustRightInd/>
              <w:spacing w:line="240" w:lineRule="auto"/>
              <w:jc w:val="center"/>
              <w:rPr>
                <w:rFonts w:ascii="Times New Roman" w:hAnsi="宋体"/>
                <w:sz w:val="18"/>
                <w:szCs w:val="22"/>
              </w:rPr>
            </w:pPr>
            <w:r>
              <w:rPr>
                <w:rFonts w:hint="eastAsia" w:ascii="Times New Roman" w:hAnsi="宋体"/>
                <w:sz w:val="18"/>
                <w:szCs w:val="22"/>
              </w:rPr>
              <w:t>建筑类别</w:t>
            </w:r>
          </w:p>
        </w:tc>
        <w:tc>
          <w:tcPr>
            <w:tcW w:w="1976" w:type="dxa"/>
            <w:tcBorders>
              <w:top w:val="single" w:color="000000" w:sz="8" w:space="0"/>
              <w:bottom w:val="single" w:color="000000" w:sz="8" w:space="0"/>
            </w:tcBorders>
            <w:shd w:val="clear" w:color="auto" w:fill="auto"/>
            <w:vAlign w:val="center"/>
          </w:tcPr>
          <w:p>
            <w:pPr>
              <w:adjustRightInd/>
              <w:spacing w:line="240" w:lineRule="auto"/>
              <w:jc w:val="center"/>
              <w:rPr>
                <w:rFonts w:ascii="Times New Roman" w:hAnsi="宋体"/>
                <w:sz w:val="18"/>
                <w:szCs w:val="22"/>
              </w:rPr>
            </w:pPr>
            <w:r>
              <w:rPr>
                <w:rFonts w:hint="eastAsia" w:ascii="Times New Roman" w:hAnsi="宋体"/>
                <w:sz w:val="18"/>
                <w:szCs w:val="22"/>
              </w:rPr>
              <w:t>特殊设防类建筑</w:t>
            </w:r>
          </w:p>
        </w:tc>
        <w:tc>
          <w:tcPr>
            <w:tcW w:w="1975" w:type="dxa"/>
            <w:tcBorders>
              <w:top w:val="single" w:color="000000" w:sz="8" w:space="0"/>
              <w:bottom w:val="single" w:color="000000" w:sz="8" w:space="0"/>
            </w:tcBorders>
            <w:shd w:val="clear" w:color="auto" w:fill="auto"/>
            <w:vAlign w:val="center"/>
          </w:tcPr>
          <w:p>
            <w:pPr>
              <w:adjustRightInd/>
              <w:spacing w:line="240" w:lineRule="auto"/>
              <w:jc w:val="center"/>
              <w:rPr>
                <w:rFonts w:ascii="Times New Roman" w:hAnsi="宋体"/>
                <w:sz w:val="18"/>
                <w:szCs w:val="22"/>
              </w:rPr>
            </w:pPr>
            <w:r>
              <w:rPr>
                <w:rFonts w:hint="eastAsia" w:ascii="Times New Roman" w:hAnsi="宋体"/>
                <w:sz w:val="18"/>
                <w:szCs w:val="22"/>
              </w:rPr>
              <w:t>重点设防类建筑</w:t>
            </w:r>
          </w:p>
        </w:tc>
        <w:tc>
          <w:tcPr>
            <w:tcW w:w="1976" w:type="dxa"/>
            <w:tcBorders>
              <w:top w:val="single" w:color="000000" w:sz="8" w:space="0"/>
              <w:bottom w:val="single" w:color="000000" w:sz="8" w:space="0"/>
            </w:tcBorders>
            <w:shd w:val="clear" w:color="auto" w:fill="auto"/>
            <w:vAlign w:val="center"/>
          </w:tcPr>
          <w:p>
            <w:pPr>
              <w:adjustRightInd/>
              <w:spacing w:line="240" w:lineRule="auto"/>
              <w:jc w:val="center"/>
              <w:rPr>
                <w:rFonts w:ascii="Times New Roman" w:hAnsi="宋体"/>
                <w:sz w:val="18"/>
                <w:szCs w:val="22"/>
              </w:rPr>
            </w:pPr>
            <w:r>
              <w:rPr>
                <w:rFonts w:hint="eastAsia" w:ascii="Times New Roman" w:hAnsi="宋体"/>
                <w:sz w:val="18"/>
                <w:szCs w:val="22"/>
              </w:rPr>
              <w:t>标准设防类建筑</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2398" w:type="dxa"/>
            <w:tcBorders>
              <w:top w:val="single" w:color="000000" w:sz="8" w:space="0"/>
            </w:tcBorders>
            <w:shd w:val="clear" w:color="auto" w:fill="auto"/>
            <w:vAlign w:val="center"/>
          </w:tcPr>
          <w:p>
            <w:pPr>
              <w:adjustRightInd/>
              <w:spacing w:line="240" w:lineRule="auto"/>
              <w:jc w:val="center"/>
              <w:rPr>
                <w:rFonts w:ascii="Times New Roman" w:hAnsi="宋体"/>
                <w:sz w:val="18"/>
                <w:szCs w:val="22"/>
              </w:rPr>
            </w:pPr>
            <w:r>
              <w:rPr>
                <w:rFonts w:hint="eastAsia" w:ascii="Times New Roman" w:hAnsi="宋体"/>
                <w:sz w:val="18"/>
                <w:szCs w:val="22"/>
              </w:rPr>
              <w:t>拉应力限值（</w:t>
            </w:r>
            <w:r>
              <w:rPr>
                <w:rFonts w:ascii="Times New Roman" w:hAnsi="宋体"/>
                <w:sz w:val="18"/>
                <w:szCs w:val="22"/>
              </w:rPr>
              <w:t>MPa</w:t>
            </w:r>
            <w:r>
              <w:rPr>
                <w:rFonts w:hint="eastAsia" w:ascii="Times New Roman" w:hAnsi="宋体"/>
                <w:sz w:val="18"/>
                <w:szCs w:val="22"/>
              </w:rPr>
              <w:t>）</w:t>
            </w:r>
          </w:p>
        </w:tc>
        <w:tc>
          <w:tcPr>
            <w:tcW w:w="1976" w:type="dxa"/>
            <w:tcBorders>
              <w:top w:val="single" w:color="000000" w:sz="8" w:space="0"/>
            </w:tcBorders>
            <w:shd w:val="clear" w:color="auto" w:fill="auto"/>
            <w:vAlign w:val="center"/>
          </w:tcPr>
          <w:p>
            <w:pPr>
              <w:adjustRightInd/>
              <w:spacing w:line="240" w:lineRule="auto"/>
              <w:jc w:val="center"/>
              <w:rPr>
                <w:rFonts w:ascii="Times New Roman" w:hAnsi="宋体"/>
                <w:sz w:val="18"/>
                <w:szCs w:val="22"/>
              </w:rPr>
            </w:pPr>
            <w:r>
              <w:rPr>
                <w:rFonts w:ascii="Times New Roman" w:hAnsi="宋体"/>
                <w:sz w:val="18"/>
                <w:szCs w:val="22"/>
              </w:rPr>
              <w:t>0</w:t>
            </w:r>
          </w:p>
        </w:tc>
        <w:tc>
          <w:tcPr>
            <w:tcW w:w="1975" w:type="dxa"/>
            <w:tcBorders>
              <w:top w:val="single" w:color="000000" w:sz="8" w:space="0"/>
            </w:tcBorders>
            <w:shd w:val="clear" w:color="auto" w:fill="auto"/>
            <w:vAlign w:val="center"/>
          </w:tcPr>
          <w:p>
            <w:pPr>
              <w:adjustRightInd/>
              <w:spacing w:line="240" w:lineRule="auto"/>
              <w:jc w:val="center"/>
              <w:rPr>
                <w:rFonts w:ascii="Times New Roman" w:hAnsi="宋体"/>
                <w:sz w:val="18"/>
                <w:szCs w:val="22"/>
              </w:rPr>
            </w:pPr>
            <w:r>
              <w:rPr>
                <w:rFonts w:ascii="Times New Roman" w:hAnsi="宋体"/>
                <w:sz w:val="18"/>
                <w:szCs w:val="22"/>
              </w:rPr>
              <w:t>1.0</w:t>
            </w:r>
          </w:p>
        </w:tc>
        <w:tc>
          <w:tcPr>
            <w:tcW w:w="1976" w:type="dxa"/>
            <w:tcBorders>
              <w:top w:val="single" w:color="000000" w:sz="8" w:space="0"/>
            </w:tcBorders>
            <w:shd w:val="clear" w:color="auto" w:fill="auto"/>
            <w:vAlign w:val="center"/>
          </w:tcPr>
          <w:p>
            <w:pPr>
              <w:adjustRightInd/>
              <w:spacing w:line="240" w:lineRule="auto"/>
              <w:jc w:val="center"/>
              <w:rPr>
                <w:rFonts w:ascii="Times New Roman" w:hAnsi="宋体"/>
                <w:sz w:val="18"/>
                <w:szCs w:val="22"/>
              </w:rPr>
            </w:pPr>
            <w:r>
              <w:rPr>
                <w:rFonts w:ascii="Times New Roman" w:hAnsi="宋体"/>
                <w:sz w:val="18"/>
                <w:szCs w:val="22"/>
              </w:rPr>
              <w:t>1.0</w:t>
            </w:r>
          </w:p>
        </w:tc>
      </w:tr>
    </w:tbl>
    <w:p>
      <w:pPr>
        <w:pStyle w:val="176"/>
        <w:numPr>
          <w:ilvl w:val="0"/>
          <w:numId w:val="0"/>
        </w:numPr>
        <w:ind w:left="851" w:hanging="426"/>
      </w:pPr>
      <w:r>
        <w:rPr>
          <w:rFonts w:hint="eastAsia"/>
        </w:rPr>
        <w:t>注：隔震支座验算最大压应力和最小压应力时，应考虑水平及竖向地震同时作用产生的最不利轴力；其中水平和竖向地震作用产生的应力应取标准值。</w:t>
      </w:r>
    </w:p>
    <w:p>
      <w:pPr>
        <w:rPr>
          <w:rFonts w:ascii="华文楷体" w:hAnsi="华文楷体" w:eastAsia="华文楷体" w:cs="华文楷体"/>
          <w:color w:val="0000FF"/>
          <w:kern w:val="0"/>
          <w:szCs w:val="20"/>
        </w:rPr>
      </w:pPr>
      <w:r>
        <w:rPr>
          <w:rFonts w:hint="eastAsia" w:ascii="华文楷体" w:hAnsi="华文楷体" w:eastAsia="华文楷体" w:cs="华文楷体"/>
          <w:color w:val="0000FF"/>
          <w:kern w:val="0"/>
          <w:szCs w:val="20"/>
        </w:rPr>
        <w:t>条文说明：</w:t>
      </w:r>
    </w:p>
    <w:p>
      <w:pPr>
        <w:rPr>
          <w:rFonts w:hint="eastAsia" w:ascii="华文楷体" w:hAnsi="华文楷体" w:eastAsia="华文楷体" w:cs="华文楷体"/>
          <w:color w:val="0000FF"/>
          <w:kern w:val="0"/>
          <w:szCs w:val="20"/>
        </w:rPr>
      </w:pPr>
      <w:r>
        <w:rPr>
          <w:rFonts w:hint="eastAsia" w:ascii="华文楷体" w:hAnsi="华文楷体" w:eastAsia="华文楷体" w:cs="华文楷体"/>
          <w:color w:val="0000FF"/>
          <w:kern w:val="0"/>
          <w:szCs w:val="20"/>
        </w:rPr>
        <w:t>弹性滑板隔震支座没有竖向受拉能力，不允许出现拉应力。</w:t>
      </w:r>
    </w:p>
    <w:p>
      <w:pPr>
        <w:rPr>
          <w:rFonts w:hint="eastAsia" w:ascii="华文楷体" w:hAnsi="华文楷体" w:eastAsia="华文楷体" w:cs="华文楷体"/>
          <w:color w:val="0000FF"/>
          <w:kern w:val="0"/>
          <w:szCs w:val="20"/>
        </w:rPr>
      </w:pPr>
      <w:r>
        <w:rPr>
          <w:rFonts w:hint="eastAsia" w:ascii="华文楷体" w:hAnsi="华文楷体" w:eastAsia="华文楷体" w:cs="华文楷体"/>
          <w:color w:val="0000FF"/>
          <w:kern w:val="0"/>
          <w:szCs w:val="20"/>
        </w:rPr>
        <w:t>最大压应力和最小压应力的计算参照以下公式：</w:t>
      </w:r>
    </w:p>
    <w:p>
      <w:pPr>
        <w:rPr>
          <w:rFonts w:hint="eastAsia" w:ascii="华文楷体" w:hAnsi="华文楷体" w:eastAsia="华文楷体" w:cs="华文楷体"/>
          <w:color w:val="0000FF"/>
          <w:kern w:val="0"/>
          <w:szCs w:val="20"/>
        </w:rPr>
      </w:pPr>
      <w:r>
        <w:rPr>
          <w:rFonts w:hint="eastAsia" w:ascii="华文楷体" w:hAnsi="华文楷体" w:eastAsia="华文楷体" w:cs="华文楷体"/>
          <w:color w:val="0000FF"/>
          <w:kern w:val="0"/>
          <w:szCs w:val="20"/>
        </w:rPr>
        <w:t>最大压应力=1.0×恒载+0.5×活载+罕遇水平地震作用产生的最大轴力+0.4×竖向地震作用产生的轴力。</w:t>
      </w:r>
    </w:p>
    <w:p>
      <w:pPr>
        <w:rPr>
          <w:rFonts w:ascii="华文楷体" w:hAnsi="华文楷体" w:eastAsia="华文楷体" w:cs="华文楷体"/>
          <w:color w:val="0000FF"/>
          <w:kern w:val="0"/>
          <w:szCs w:val="20"/>
        </w:rPr>
      </w:pPr>
      <w:r>
        <w:rPr>
          <w:rFonts w:hint="eastAsia" w:ascii="华文楷体" w:hAnsi="华文楷体" w:eastAsia="华文楷体" w:cs="华文楷体"/>
          <w:color w:val="0000FF"/>
          <w:kern w:val="0"/>
          <w:szCs w:val="20"/>
        </w:rPr>
        <w:t>最小压应力=0.9×恒载-1.0罕遇水平地震作用产生的最大轴力-0.5×竖向地震作用产生的轴力。</w:t>
      </w:r>
    </w:p>
    <w:p>
      <w:pPr>
        <w:rPr>
          <w:rFonts w:hint="eastAsia"/>
        </w:rPr>
      </w:pPr>
      <w:r>
        <w:rPr>
          <w:rFonts w:hint="eastAsia" w:ascii="华文楷体" w:hAnsi="华文楷体" w:eastAsia="华文楷体" w:cs="华文楷体"/>
          <w:color w:val="0000FF"/>
          <w:kern w:val="0"/>
          <w:szCs w:val="20"/>
        </w:rPr>
        <w:t>多层尤其是高层建筑隔震设计过程中，应重点关注隔震支座受拉问题。罕遇地震作用下，橡胶隔震支座的最大拉应力应满足本标准前文规定的数值，且出现拉应力的支座数量不宜过多，限制在不超过支座总数的30%以下。弹性滑板隔震支座没有竖向受拉能力，罕遇地震作用下，为防止其提离，必须保持处于受压状态。</w:t>
      </w:r>
    </w:p>
    <w:p>
      <w:pPr>
        <w:pStyle w:val="67"/>
        <w:spacing w:before="156" w:after="156"/>
      </w:pPr>
      <w:r>
        <w:rPr>
          <w:rFonts w:hint="eastAsia"/>
        </w:rPr>
        <w:t>隔震层支墩、支柱及相连构件，应采用在罕遇地震作用下隔震支座底部的竖向力、水平力和弯矩进行承载力验算，可按抗剪弹性、抗弯不屈服考虑。弯矩应考虑竖向力产生的附加弯矩，按式14.1.8取值。</w:t>
      </w:r>
    </w:p>
    <w:p>
      <w:pPr>
        <w:pStyle w:val="115"/>
      </w:pPr>
      <w:r>
        <w:tab/>
      </w:r>
      <m:oMath>
        <m:r>
          <m:rPr/>
          <w:rPr>
            <w:rFonts w:hint="eastAsia" w:ascii="Cambria Math" w:hAnsi="Cambria Math"/>
          </w:rPr>
          <m:t>M</m:t>
        </m:r>
        <m:r>
          <m:rPr/>
          <w:rPr>
            <w:rFonts w:ascii="Cambria Math" w:hAnsi="Cambria Math"/>
          </w:rPr>
          <m:t>=</m:t>
        </m:r>
        <m:f>
          <m:fPr>
            <m:ctrlPr>
              <w:rPr>
                <w:rFonts w:ascii="Cambria Math" w:hAnsi="Cambria Math"/>
                <w:i/>
              </w:rPr>
            </m:ctrlPr>
          </m:fPr>
          <m:num>
            <m:r>
              <m:rPr/>
              <w:rPr>
                <w:rFonts w:hint="eastAsia" w:ascii="Cambria Math" w:hAnsi="Cambria Math"/>
              </w:rPr>
              <m:t>P</m:t>
            </m:r>
            <m:r>
              <m:rPr/>
              <w:rPr>
                <w:rFonts w:ascii="Cambria Math" w:hAnsi="Cambria Math"/>
              </w:rPr>
              <m:t>δ+</m:t>
            </m:r>
            <m:r>
              <m:rPr/>
              <w:rPr>
                <w:rFonts w:hint="eastAsia" w:ascii="Cambria Math" w:hAnsi="Cambria Math"/>
              </w:rPr>
              <m:t>V</m:t>
            </m:r>
            <m:r>
              <m:rPr/>
              <w:rPr>
                <w:rFonts w:hint="eastAsia" w:ascii="MS Gothic" w:hAnsi="MS Gothic" w:eastAsia="MS Gothic" w:cs="MS Gothic"/>
              </w:rPr>
              <m:t>ℎ</m:t>
            </m:r>
            <m:ctrlPr>
              <w:rPr>
                <w:rFonts w:ascii="Cambria Math" w:hAnsi="Cambria Math"/>
                <w:i/>
              </w:rPr>
            </m:ctrlPr>
          </m:num>
          <m:den>
            <m:r>
              <m:rPr/>
              <w:rPr>
                <w:rFonts w:ascii="Cambria Math" w:hAnsi="Cambria Math"/>
              </w:rPr>
              <m:t>2</m:t>
            </m:r>
            <m:ctrlPr>
              <w:rPr>
                <w:rFonts w:ascii="Cambria Math" w:hAnsi="Cambria Math"/>
                <w:i/>
              </w:rPr>
            </m:ctrlPr>
          </m:den>
        </m:f>
      </m:oMath>
      <w:r>
        <w:rPr>
          <w:rFonts w:ascii="微软雅黑" w:hAnsi="微软雅黑" w:eastAsia="微软雅黑"/>
        </w:rPr>
        <w:tab/>
      </w:r>
      <w:r>
        <w:t>(14.1.8)</w:t>
      </w:r>
    </w:p>
    <w:p>
      <w:pPr>
        <w:pStyle w:val="236"/>
        <w:spacing w:line="360" w:lineRule="auto"/>
        <w:ind w:firstLine="420"/>
        <w:rPr>
          <w:rFonts w:ascii="Times New Roman"/>
          <w:color w:val="auto"/>
        </w:rPr>
      </w:pPr>
      <w:r>
        <w:rPr>
          <w:rFonts w:hint="eastAsia"/>
        </w:rPr>
        <w:t>式中：</w:t>
      </w:r>
      <w:r>
        <w:rPr>
          <w:rFonts w:ascii="Times New Roman"/>
          <w:color w:val="auto"/>
        </w:rPr>
        <w:t>M ——</w:t>
      </w:r>
      <w:r>
        <w:rPr>
          <w:rFonts w:hint="eastAsia" w:ascii="Times New Roman"/>
          <w:color w:val="auto"/>
        </w:rPr>
        <w:t>隔震支墩及连接部位所受弯矩，见图</w:t>
      </w:r>
      <w:r>
        <w:rPr>
          <w:rFonts w:ascii="Times New Roman"/>
          <w:color w:val="auto"/>
        </w:rPr>
        <w:t>14.1.8</w:t>
      </w:r>
      <w:r>
        <w:rPr>
          <w:rFonts w:hint="eastAsia" w:ascii="Times New Roman"/>
          <w:color w:val="auto"/>
        </w:rPr>
        <w:t>；</w:t>
      </w:r>
    </w:p>
    <w:p>
      <w:pPr>
        <w:pStyle w:val="236"/>
        <w:spacing w:line="360" w:lineRule="auto"/>
        <w:ind w:firstLine="1000" w:firstLineChars="500"/>
        <w:rPr>
          <w:rFonts w:ascii="Times New Roman"/>
          <w:color w:val="auto"/>
        </w:rPr>
      </w:pPr>
      <w:r>
        <w:rPr>
          <w:rFonts w:ascii="Times New Roman"/>
          <w:color w:val="auto"/>
        </w:rPr>
        <w:t>P ——</w:t>
      </w:r>
      <w:r>
        <w:rPr>
          <w:rFonts w:hint="eastAsia" w:ascii="Times New Roman"/>
          <w:color w:val="auto"/>
        </w:rPr>
        <w:t>上部结构传递的竖向力；</w:t>
      </w:r>
    </w:p>
    <w:p>
      <w:pPr>
        <w:pStyle w:val="236"/>
        <w:spacing w:line="360" w:lineRule="auto"/>
        <w:ind w:firstLine="1000" w:firstLineChars="500"/>
        <w:rPr>
          <w:rFonts w:ascii="Times New Roman"/>
          <w:color w:val="auto"/>
        </w:rPr>
      </w:pPr>
      <w:r>
        <w:rPr>
          <w:rFonts w:ascii="Times New Roman" w:hAnsi="Times New Roman"/>
          <w:color w:val="auto"/>
        </w:rPr>
        <w:t>δ</w:t>
      </w:r>
      <w:r>
        <w:rPr>
          <w:rFonts w:ascii="Times New Roman"/>
          <w:color w:val="auto"/>
        </w:rPr>
        <w:t xml:space="preserve"> ——</w:t>
      </w:r>
      <w:r>
        <w:rPr>
          <w:rFonts w:hint="eastAsia" w:ascii="Times New Roman"/>
          <w:color w:val="auto"/>
        </w:rPr>
        <w:t>支座的水平剪切变形；</w:t>
      </w:r>
    </w:p>
    <w:p>
      <w:pPr>
        <w:pStyle w:val="236"/>
        <w:spacing w:line="360" w:lineRule="auto"/>
        <w:ind w:firstLine="1000" w:firstLineChars="500"/>
        <w:rPr>
          <w:rFonts w:ascii="Times New Roman"/>
          <w:color w:val="auto"/>
        </w:rPr>
      </w:pPr>
      <w:r>
        <w:rPr>
          <w:rFonts w:ascii="Times New Roman"/>
          <w:color w:val="auto"/>
        </w:rPr>
        <w:t>V ——</w:t>
      </w:r>
      <w:r>
        <w:rPr>
          <w:rFonts w:hint="eastAsia" w:ascii="Times New Roman"/>
          <w:color w:val="auto"/>
        </w:rPr>
        <w:t>支座所受水平剪力；</w:t>
      </w:r>
    </w:p>
    <w:p>
      <w:pPr>
        <w:pStyle w:val="236"/>
        <w:spacing w:line="360" w:lineRule="auto"/>
        <w:ind w:firstLine="1000" w:firstLineChars="500"/>
        <w:rPr>
          <w:rFonts w:ascii="Times New Roman"/>
          <w:color w:val="auto"/>
        </w:rPr>
      </w:pPr>
      <w:r>
        <w:rPr>
          <w:rFonts w:ascii="Times New Roman"/>
          <w:color w:val="auto"/>
        </w:rPr>
        <w:t>h ——</w:t>
      </w:r>
      <w:r>
        <w:rPr>
          <w:rFonts w:hint="eastAsia" w:ascii="Times New Roman"/>
          <w:color w:val="auto"/>
        </w:rPr>
        <w:t>支座的总高度（含连接板）；</w:t>
      </w:r>
    </w:p>
    <w:p>
      <w:pPr>
        <w:pStyle w:val="57"/>
        <w:ind w:firstLine="420"/>
      </w:pPr>
    </w:p>
    <w:p>
      <w:pPr>
        <w:pStyle w:val="176"/>
        <w:numPr>
          <w:ilvl w:val="0"/>
          <w:numId w:val="0"/>
        </w:numPr>
        <w:ind w:left="851" w:hanging="426"/>
        <w:jc w:val="center"/>
      </w:pPr>
      <w:r>
        <w:rPr>
          <w:rFonts w:asciiTheme="minorHAnsi" w:hAnsiTheme="minorHAnsi" w:eastAsiaTheme="minorEastAsia"/>
          <w:kern w:val="2"/>
          <w:szCs w:val="22"/>
        </w:rPr>
        <mc:AlternateContent>
          <mc:Choice Requires="wpg">
            <w:drawing>
              <wp:inline distT="0" distB="0" distL="0" distR="0">
                <wp:extent cx="2400935" cy="1356360"/>
                <wp:effectExtent l="0" t="0" r="18415" b="15240"/>
                <wp:docPr id="108" name="组合 108"/>
                <wp:cNvGraphicFramePr/>
                <a:graphic xmlns:a="http://schemas.openxmlformats.org/drawingml/2006/main">
                  <a:graphicData uri="http://schemas.microsoft.com/office/word/2010/wordprocessingGroup">
                    <wpg:wgp>
                      <wpg:cNvGrpSpPr/>
                      <wpg:grpSpPr>
                        <a:xfrm>
                          <a:off x="0" y="0"/>
                          <a:ext cx="2400935" cy="1356360"/>
                          <a:chOff x="0" y="0"/>
                          <a:chExt cx="3781" cy="2136"/>
                        </a:xfrm>
                      </wpg:grpSpPr>
                      <wps:wsp>
                        <wps:cNvPr id="109" name="任意多边形 3"/>
                        <wps:cNvSpPr/>
                        <wps:spPr>
                          <a:xfrm>
                            <a:off x="1" y="217"/>
                            <a:ext cx="3426" cy="1873"/>
                          </a:xfrm>
                          <a:custGeom>
                            <a:avLst/>
                            <a:gdLst/>
                            <a:ahLst/>
                            <a:cxnLst/>
                            <a:rect l="0" t="0" r="0" b="0"/>
                            <a:pathLst>
                              <a:path w="3426" h="1873">
                                <a:moveTo>
                                  <a:pt x="803" y="345"/>
                                </a:moveTo>
                                <a:lnTo>
                                  <a:pt x="3228" y="345"/>
                                </a:lnTo>
                                <a:lnTo>
                                  <a:pt x="3228" y="254"/>
                                </a:lnTo>
                                <a:lnTo>
                                  <a:pt x="803" y="254"/>
                                </a:lnTo>
                                <a:lnTo>
                                  <a:pt x="803" y="345"/>
                                </a:lnTo>
                                <a:moveTo>
                                  <a:pt x="1179" y="406"/>
                                </a:moveTo>
                                <a:lnTo>
                                  <a:pt x="2852" y="406"/>
                                </a:lnTo>
                                <a:lnTo>
                                  <a:pt x="2852" y="345"/>
                                </a:lnTo>
                                <a:lnTo>
                                  <a:pt x="1179" y="345"/>
                                </a:lnTo>
                                <a:lnTo>
                                  <a:pt x="1179" y="406"/>
                                </a:lnTo>
                                <a:moveTo>
                                  <a:pt x="197" y="1527"/>
                                </a:moveTo>
                                <a:lnTo>
                                  <a:pt x="2622" y="1527"/>
                                </a:lnTo>
                                <a:lnTo>
                                  <a:pt x="2622" y="1618"/>
                                </a:lnTo>
                                <a:lnTo>
                                  <a:pt x="197" y="1618"/>
                                </a:lnTo>
                                <a:lnTo>
                                  <a:pt x="197" y="1527"/>
                                </a:lnTo>
                                <a:moveTo>
                                  <a:pt x="574" y="1467"/>
                                </a:moveTo>
                                <a:lnTo>
                                  <a:pt x="2245" y="1467"/>
                                </a:lnTo>
                                <a:lnTo>
                                  <a:pt x="2245" y="1527"/>
                                </a:lnTo>
                                <a:lnTo>
                                  <a:pt x="574" y="1527"/>
                                </a:lnTo>
                                <a:lnTo>
                                  <a:pt x="574" y="1467"/>
                                </a:lnTo>
                                <a:moveTo>
                                  <a:pt x="576" y="1467"/>
                                </a:moveTo>
                                <a:lnTo>
                                  <a:pt x="1182" y="406"/>
                                </a:lnTo>
                                <a:moveTo>
                                  <a:pt x="2243" y="1467"/>
                                </a:moveTo>
                                <a:lnTo>
                                  <a:pt x="2850" y="406"/>
                                </a:lnTo>
                                <a:moveTo>
                                  <a:pt x="886" y="0"/>
                                </a:moveTo>
                                <a:lnTo>
                                  <a:pt x="810" y="0"/>
                                </a:lnTo>
                                <a:moveTo>
                                  <a:pt x="781" y="0"/>
                                </a:moveTo>
                                <a:lnTo>
                                  <a:pt x="705" y="0"/>
                                </a:lnTo>
                                <a:moveTo>
                                  <a:pt x="780" y="0"/>
                                </a:moveTo>
                                <a:lnTo>
                                  <a:pt x="705" y="0"/>
                                </a:lnTo>
                                <a:moveTo>
                                  <a:pt x="674" y="0"/>
                                </a:moveTo>
                                <a:lnTo>
                                  <a:pt x="606" y="0"/>
                                </a:lnTo>
                                <a:lnTo>
                                  <a:pt x="606" y="59"/>
                                </a:lnTo>
                                <a:moveTo>
                                  <a:pt x="606" y="89"/>
                                </a:moveTo>
                                <a:lnTo>
                                  <a:pt x="606" y="165"/>
                                </a:lnTo>
                                <a:moveTo>
                                  <a:pt x="606" y="196"/>
                                </a:moveTo>
                                <a:lnTo>
                                  <a:pt x="606" y="254"/>
                                </a:lnTo>
                                <a:lnTo>
                                  <a:pt x="674" y="254"/>
                                </a:lnTo>
                                <a:moveTo>
                                  <a:pt x="705" y="254"/>
                                </a:moveTo>
                                <a:lnTo>
                                  <a:pt x="780" y="254"/>
                                </a:lnTo>
                                <a:moveTo>
                                  <a:pt x="705" y="254"/>
                                </a:moveTo>
                                <a:lnTo>
                                  <a:pt x="781" y="254"/>
                                </a:lnTo>
                                <a:moveTo>
                                  <a:pt x="3425" y="254"/>
                                </a:moveTo>
                                <a:lnTo>
                                  <a:pt x="3425" y="196"/>
                                </a:lnTo>
                                <a:moveTo>
                                  <a:pt x="3425" y="165"/>
                                </a:moveTo>
                                <a:lnTo>
                                  <a:pt x="3425" y="89"/>
                                </a:lnTo>
                                <a:moveTo>
                                  <a:pt x="3425" y="59"/>
                                </a:moveTo>
                                <a:lnTo>
                                  <a:pt x="3425" y="0"/>
                                </a:lnTo>
                                <a:lnTo>
                                  <a:pt x="3357" y="0"/>
                                </a:lnTo>
                                <a:moveTo>
                                  <a:pt x="3327" y="0"/>
                                </a:moveTo>
                                <a:lnTo>
                                  <a:pt x="3251" y="0"/>
                                </a:lnTo>
                                <a:moveTo>
                                  <a:pt x="3327" y="0"/>
                                </a:moveTo>
                                <a:lnTo>
                                  <a:pt x="3251" y="0"/>
                                </a:lnTo>
                                <a:moveTo>
                                  <a:pt x="3227" y="0"/>
                                </a:moveTo>
                                <a:lnTo>
                                  <a:pt x="3151" y="0"/>
                                </a:lnTo>
                                <a:moveTo>
                                  <a:pt x="3230" y="254"/>
                                </a:moveTo>
                                <a:lnTo>
                                  <a:pt x="3327" y="254"/>
                                </a:lnTo>
                                <a:moveTo>
                                  <a:pt x="3251" y="254"/>
                                </a:moveTo>
                                <a:lnTo>
                                  <a:pt x="3327" y="254"/>
                                </a:lnTo>
                                <a:moveTo>
                                  <a:pt x="3357" y="254"/>
                                </a:moveTo>
                                <a:lnTo>
                                  <a:pt x="3425" y="254"/>
                                </a:lnTo>
                                <a:moveTo>
                                  <a:pt x="2821" y="1873"/>
                                </a:moveTo>
                                <a:lnTo>
                                  <a:pt x="2821" y="1814"/>
                                </a:lnTo>
                                <a:moveTo>
                                  <a:pt x="2821" y="1784"/>
                                </a:moveTo>
                                <a:lnTo>
                                  <a:pt x="2821" y="1708"/>
                                </a:lnTo>
                                <a:moveTo>
                                  <a:pt x="2821" y="1677"/>
                                </a:moveTo>
                                <a:lnTo>
                                  <a:pt x="2821" y="1618"/>
                                </a:lnTo>
                                <a:lnTo>
                                  <a:pt x="2753" y="1618"/>
                                </a:lnTo>
                                <a:moveTo>
                                  <a:pt x="2723" y="1618"/>
                                </a:moveTo>
                                <a:lnTo>
                                  <a:pt x="2647" y="1618"/>
                                </a:lnTo>
                                <a:moveTo>
                                  <a:pt x="2721" y="1618"/>
                                </a:moveTo>
                                <a:lnTo>
                                  <a:pt x="2622" y="1618"/>
                                </a:lnTo>
                                <a:moveTo>
                                  <a:pt x="194" y="1618"/>
                                </a:moveTo>
                                <a:lnTo>
                                  <a:pt x="99" y="1618"/>
                                </a:lnTo>
                                <a:moveTo>
                                  <a:pt x="175" y="1618"/>
                                </a:moveTo>
                                <a:lnTo>
                                  <a:pt x="99" y="1618"/>
                                </a:lnTo>
                                <a:moveTo>
                                  <a:pt x="69" y="1618"/>
                                </a:moveTo>
                                <a:lnTo>
                                  <a:pt x="0" y="1618"/>
                                </a:lnTo>
                                <a:lnTo>
                                  <a:pt x="0" y="1677"/>
                                </a:lnTo>
                                <a:moveTo>
                                  <a:pt x="0" y="1708"/>
                                </a:moveTo>
                                <a:lnTo>
                                  <a:pt x="0" y="1784"/>
                                </a:lnTo>
                                <a:moveTo>
                                  <a:pt x="0" y="1814"/>
                                </a:moveTo>
                                <a:lnTo>
                                  <a:pt x="0" y="1873"/>
                                </a:lnTo>
                                <a:lnTo>
                                  <a:pt x="69" y="1873"/>
                                </a:lnTo>
                                <a:moveTo>
                                  <a:pt x="99" y="1873"/>
                                </a:moveTo>
                                <a:lnTo>
                                  <a:pt x="175" y="1873"/>
                                </a:lnTo>
                                <a:moveTo>
                                  <a:pt x="99" y="1873"/>
                                </a:moveTo>
                                <a:lnTo>
                                  <a:pt x="175" y="1873"/>
                                </a:lnTo>
                                <a:moveTo>
                                  <a:pt x="205" y="1873"/>
                                </a:moveTo>
                                <a:lnTo>
                                  <a:pt x="281" y="1873"/>
                                </a:lnTo>
                                <a:moveTo>
                                  <a:pt x="307" y="1873"/>
                                </a:moveTo>
                                <a:lnTo>
                                  <a:pt x="383" y="1873"/>
                                </a:lnTo>
                                <a:moveTo>
                                  <a:pt x="629" y="1873"/>
                                </a:moveTo>
                                <a:lnTo>
                                  <a:pt x="705" y="1873"/>
                                </a:lnTo>
                                <a:moveTo>
                                  <a:pt x="735" y="1873"/>
                                </a:moveTo>
                                <a:lnTo>
                                  <a:pt x="811" y="1873"/>
                                </a:lnTo>
                                <a:moveTo>
                                  <a:pt x="842" y="1873"/>
                                </a:moveTo>
                                <a:lnTo>
                                  <a:pt x="917" y="1873"/>
                                </a:lnTo>
                                <a:moveTo>
                                  <a:pt x="948" y="1873"/>
                                </a:moveTo>
                                <a:lnTo>
                                  <a:pt x="1023" y="1873"/>
                                </a:lnTo>
                                <a:moveTo>
                                  <a:pt x="1054" y="1873"/>
                                </a:moveTo>
                                <a:lnTo>
                                  <a:pt x="1129" y="1873"/>
                                </a:lnTo>
                                <a:moveTo>
                                  <a:pt x="1160" y="1873"/>
                                </a:moveTo>
                                <a:lnTo>
                                  <a:pt x="1235" y="1873"/>
                                </a:lnTo>
                                <a:moveTo>
                                  <a:pt x="1266" y="1873"/>
                                </a:moveTo>
                                <a:lnTo>
                                  <a:pt x="1341" y="1873"/>
                                </a:lnTo>
                              </a:path>
                            </a:pathLst>
                          </a:custGeom>
                          <a:noFill/>
                          <a:ln w="1424" cap="flat" cmpd="sng">
                            <a:solidFill>
                              <a:srgbClr val="000000"/>
                            </a:solidFill>
                            <a:prstDash val="solid"/>
                            <a:headEnd type="none" w="med" len="med"/>
                            <a:tailEnd type="none" w="med" len="med"/>
                          </a:ln>
                        </wps:spPr>
                        <wps:bodyPr upright="1"/>
                      </wps:wsp>
                      <wps:wsp>
                        <wps:cNvPr id="110" name="直接连接符 8"/>
                        <wps:cNvCnPr/>
                        <wps:spPr>
                          <a:xfrm>
                            <a:off x="1713" y="2121"/>
                            <a:ext cx="2" cy="0"/>
                          </a:xfrm>
                          <a:prstGeom prst="line">
                            <a:avLst/>
                          </a:prstGeom>
                          <a:ln w="701" cap="flat" cmpd="sng">
                            <a:solidFill>
                              <a:srgbClr val="000000"/>
                            </a:solidFill>
                            <a:prstDash val="solid"/>
                            <a:headEnd type="none" w="med" len="med"/>
                            <a:tailEnd type="none" w="med" len="med"/>
                          </a:ln>
                        </wps:spPr>
                        <wps:bodyPr/>
                      </wps:wsp>
                      <wps:wsp>
                        <wps:cNvPr id="111" name="任意多边形 54"/>
                        <wps:cNvSpPr/>
                        <wps:spPr>
                          <a:xfrm>
                            <a:off x="1929" y="1106"/>
                            <a:ext cx="87" cy="58"/>
                          </a:xfrm>
                          <a:custGeom>
                            <a:avLst/>
                            <a:gdLst/>
                            <a:ahLst/>
                            <a:cxnLst/>
                            <a:rect l="0" t="0" r="0" b="0"/>
                            <a:pathLst>
                              <a:path w="87" h="58">
                                <a:moveTo>
                                  <a:pt x="0" y="0"/>
                                </a:moveTo>
                                <a:lnTo>
                                  <a:pt x="0" y="57"/>
                                </a:lnTo>
                                <a:lnTo>
                                  <a:pt x="87" y="29"/>
                                </a:lnTo>
                                <a:lnTo>
                                  <a:pt x="0" y="0"/>
                                </a:lnTo>
                                <a:close/>
                              </a:path>
                            </a:pathLst>
                          </a:custGeom>
                          <a:solidFill>
                            <a:srgbClr val="000000"/>
                          </a:solidFill>
                          <a:ln>
                            <a:noFill/>
                          </a:ln>
                        </wps:spPr>
                        <wps:bodyPr upright="1"/>
                      </wps:wsp>
                      <wps:wsp>
                        <wps:cNvPr id="112" name="任意多边形 55"/>
                        <wps:cNvSpPr/>
                        <wps:spPr>
                          <a:xfrm>
                            <a:off x="3167" y="471"/>
                            <a:ext cx="614" cy="1364"/>
                          </a:xfrm>
                          <a:custGeom>
                            <a:avLst/>
                            <a:gdLst/>
                            <a:ahLst/>
                            <a:cxnLst/>
                            <a:rect l="0" t="0" r="0" b="0"/>
                            <a:pathLst>
                              <a:path w="614" h="1364">
                                <a:moveTo>
                                  <a:pt x="311" y="0"/>
                                </a:moveTo>
                                <a:lnTo>
                                  <a:pt x="614" y="0"/>
                                </a:lnTo>
                                <a:moveTo>
                                  <a:pt x="0" y="1364"/>
                                </a:moveTo>
                                <a:lnTo>
                                  <a:pt x="614" y="1364"/>
                                </a:lnTo>
                                <a:moveTo>
                                  <a:pt x="478" y="79"/>
                                </a:moveTo>
                                <a:lnTo>
                                  <a:pt x="478" y="511"/>
                                </a:lnTo>
                              </a:path>
                            </a:pathLst>
                          </a:custGeom>
                          <a:noFill/>
                          <a:ln w="1424" cap="flat" cmpd="sng">
                            <a:solidFill>
                              <a:srgbClr val="000000"/>
                            </a:solidFill>
                            <a:prstDash val="solid"/>
                            <a:headEnd type="none" w="med" len="med"/>
                            <a:tailEnd type="none" w="med" len="med"/>
                          </a:ln>
                        </wps:spPr>
                        <wps:bodyPr upright="1"/>
                      </wps:wsp>
                      <wps:wsp>
                        <wps:cNvPr id="113" name="任意多边形 58"/>
                        <wps:cNvSpPr/>
                        <wps:spPr>
                          <a:xfrm>
                            <a:off x="3616" y="470"/>
                            <a:ext cx="58" cy="87"/>
                          </a:xfrm>
                          <a:custGeom>
                            <a:avLst/>
                            <a:gdLst/>
                            <a:ahLst/>
                            <a:cxnLst/>
                            <a:rect l="0" t="0" r="0" b="0"/>
                            <a:pathLst>
                              <a:path w="58" h="87">
                                <a:moveTo>
                                  <a:pt x="28" y="0"/>
                                </a:moveTo>
                                <a:lnTo>
                                  <a:pt x="0" y="86"/>
                                </a:lnTo>
                                <a:lnTo>
                                  <a:pt x="57" y="86"/>
                                </a:lnTo>
                                <a:lnTo>
                                  <a:pt x="28" y="0"/>
                                </a:lnTo>
                                <a:close/>
                              </a:path>
                            </a:pathLst>
                          </a:custGeom>
                          <a:solidFill>
                            <a:srgbClr val="000000"/>
                          </a:solidFill>
                          <a:ln>
                            <a:noFill/>
                          </a:ln>
                        </wps:spPr>
                        <wps:bodyPr upright="1"/>
                      </wps:wsp>
                      <wps:wsp>
                        <wps:cNvPr id="114" name="直接连接符 62"/>
                        <wps:cNvCnPr/>
                        <wps:spPr>
                          <a:xfrm>
                            <a:off x="3669" y="1208"/>
                            <a:ext cx="0" cy="558"/>
                          </a:xfrm>
                          <a:prstGeom prst="line">
                            <a:avLst/>
                          </a:prstGeom>
                          <a:ln w="2547" cap="flat" cmpd="sng">
                            <a:solidFill>
                              <a:srgbClr val="CDCDCD"/>
                            </a:solidFill>
                            <a:prstDash val="solid"/>
                            <a:headEnd type="none" w="med" len="med"/>
                            <a:tailEnd type="none" w="med" len="med"/>
                          </a:ln>
                        </wps:spPr>
                        <wps:bodyPr/>
                      </wps:wsp>
                      <wps:wsp>
                        <wps:cNvPr id="115" name="任意多边形 63"/>
                        <wps:cNvSpPr/>
                        <wps:spPr>
                          <a:xfrm>
                            <a:off x="3635" y="1757"/>
                            <a:ext cx="66" cy="99"/>
                          </a:xfrm>
                          <a:custGeom>
                            <a:avLst/>
                            <a:gdLst/>
                            <a:ahLst/>
                            <a:cxnLst/>
                            <a:rect l="0" t="0" r="0" b="0"/>
                            <a:pathLst>
                              <a:path w="66" h="99">
                                <a:moveTo>
                                  <a:pt x="65" y="0"/>
                                </a:moveTo>
                                <a:lnTo>
                                  <a:pt x="0" y="0"/>
                                </a:lnTo>
                                <a:lnTo>
                                  <a:pt x="33" y="98"/>
                                </a:lnTo>
                                <a:lnTo>
                                  <a:pt x="65" y="0"/>
                                </a:lnTo>
                                <a:close/>
                              </a:path>
                            </a:pathLst>
                          </a:custGeom>
                          <a:solidFill>
                            <a:srgbClr val="CDCDCD">
                              <a:alpha val="49803"/>
                            </a:srgbClr>
                          </a:solidFill>
                          <a:ln>
                            <a:noFill/>
                          </a:ln>
                        </wps:spPr>
                        <wps:bodyPr upright="1"/>
                      </wps:wsp>
                      <wps:wsp>
                        <wps:cNvPr id="116" name="直接连接符 64"/>
                        <wps:cNvCnPr/>
                        <wps:spPr>
                          <a:xfrm>
                            <a:off x="3645" y="1185"/>
                            <a:ext cx="0" cy="558"/>
                          </a:xfrm>
                          <a:prstGeom prst="line">
                            <a:avLst/>
                          </a:prstGeom>
                          <a:ln w="2547" cap="flat" cmpd="sng">
                            <a:solidFill>
                              <a:srgbClr val="000000"/>
                            </a:solidFill>
                            <a:prstDash val="solid"/>
                            <a:headEnd type="none" w="med" len="med"/>
                            <a:tailEnd type="none" w="med" len="med"/>
                          </a:ln>
                        </wps:spPr>
                        <wps:bodyPr/>
                      </wps:wsp>
                      <wps:wsp>
                        <wps:cNvPr id="118" name="任意多边形 65"/>
                        <wps:cNvSpPr/>
                        <wps:spPr>
                          <a:xfrm>
                            <a:off x="3612" y="1734"/>
                            <a:ext cx="66" cy="99"/>
                          </a:xfrm>
                          <a:custGeom>
                            <a:avLst/>
                            <a:gdLst/>
                            <a:ahLst/>
                            <a:cxnLst/>
                            <a:rect l="0" t="0" r="0" b="0"/>
                            <a:pathLst>
                              <a:path w="66" h="99">
                                <a:moveTo>
                                  <a:pt x="65" y="0"/>
                                </a:moveTo>
                                <a:lnTo>
                                  <a:pt x="0" y="0"/>
                                </a:lnTo>
                                <a:lnTo>
                                  <a:pt x="32" y="99"/>
                                </a:lnTo>
                                <a:lnTo>
                                  <a:pt x="65" y="0"/>
                                </a:lnTo>
                                <a:close/>
                              </a:path>
                            </a:pathLst>
                          </a:custGeom>
                          <a:solidFill>
                            <a:srgbClr val="000000"/>
                          </a:solidFill>
                          <a:ln>
                            <a:noFill/>
                          </a:ln>
                        </wps:spPr>
                        <wps:bodyPr upright="1"/>
                      </wps:wsp>
                      <wps:wsp>
                        <wps:cNvPr id="119" name="直接连接符 66"/>
                        <wps:cNvCnPr/>
                        <wps:spPr>
                          <a:xfrm>
                            <a:off x="441" y="470"/>
                            <a:ext cx="304" cy="0"/>
                          </a:xfrm>
                          <a:prstGeom prst="line">
                            <a:avLst/>
                          </a:prstGeom>
                          <a:ln w="10161" cap="flat" cmpd="sng">
                            <a:solidFill>
                              <a:srgbClr val="000000"/>
                            </a:solidFill>
                            <a:prstDash val="solid"/>
                            <a:headEnd type="none" w="med" len="med"/>
                            <a:tailEnd type="none" w="med" len="med"/>
                          </a:ln>
                        </wps:spPr>
                        <wps:bodyPr/>
                      </wps:wsp>
                      <wps:wsp>
                        <wps:cNvPr id="120" name="任意多边形 67"/>
                        <wps:cNvSpPr/>
                        <wps:spPr>
                          <a:xfrm>
                            <a:off x="726" y="431"/>
                            <a:ext cx="79" cy="79"/>
                          </a:xfrm>
                          <a:custGeom>
                            <a:avLst/>
                            <a:gdLst/>
                            <a:ahLst/>
                            <a:cxnLst/>
                            <a:rect l="0" t="0" r="0" b="0"/>
                            <a:pathLst>
                              <a:path w="79" h="79">
                                <a:moveTo>
                                  <a:pt x="0" y="0"/>
                                </a:moveTo>
                                <a:lnTo>
                                  <a:pt x="7" y="19"/>
                                </a:lnTo>
                                <a:lnTo>
                                  <a:pt x="9" y="39"/>
                                </a:lnTo>
                                <a:lnTo>
                                  <a:pt x="7" y="59"/>
                                </a:lnTo>
                                <a:lnTo>
                                  <a:pt x="0" y="78"/>
                                </a:lnTo>
                                <a:lnTo>
                                  <a:pt x="78" y="39"/>
                                </a:lnTo>
                                <a:lnTo>
                                  <a:pt x="0" y="0"/>
                                </a:lnTo>
                                <a:close/>
                              </a:path>
                            </a:pathLst>
                          </a:custGeom>
                          <a:solidFill>
                            <a:srgbClr val="000000"/>
                          </a:solidFill>
                          <a:ln>
                            <a:noFill/>
                          </a:ln>
                        </wps:spPr>
                        <wps:bodyPr upright="1"/>
                      </wps:wsp>
                      <wps:wsp>
                        <wps:cNvPr id="121" name="任意多边形 68"/>
                        <wps:cNvSpPr/>
                        <wps:spPr>
                          <a:xfrm>
                            <a:off x="1766" y="42"/>
                            <a:ext cx="1137" cy="176"/>
                          </a:xfrm>
                          <a:custGeom>
                            <a:avLst/>
                            <a:gdLst/>
                            <a:ahLst/>
                            <a:cxnLst/>
                            <a:rect l="0" t="0" r="0" b="0"/>
                            <a:pathLst>
                              <a:path w="1137" h="176">
                                <a:moveTo>
                                  <a:pt x="1136" y="175"/>
                                </a:moveTo>
                                <a:lnTo>
                                  <a:pt x="1061" y="175"/>
                                </a:lnTo>
                                <a:moveTo>
                                  <a:pt x="1030" y="175"/>
                                </a:moveTo>
                                <a:lnTo>
                                  <a:pt x="955" y="175"/>
                                </a:lnTo>
                                <a:moveTo>
                                  <a:pt x="924" y="175"/>
                                </a:moveTo>
                                <a:lnTo>
                                  <a:pt x="849" y="175"/>
                                </a:lnTo>
                                <a:moveTo>
                                  <a:pt x="818" y="175"/>
                                </a:moveTo>
                                <a:lnTo>
                                  <a:pt x="743" y="175"/>
                                </a:lnTo>
                                <a:moveTo>
                                  <a:pt x="712" y="175"/>
                                </a:moveTo>
                                <a:lnTo>
                                  <a:pt x="637" y="175"/>
                                </a:lnTo>
                                <a:moveTo>
                                  <a:pt x="606" y="175"/>
                                </a:moveTo>
                                <a:lnTo>
                                  <a:pt x="530" y="175"/>
                                </a:lnTo>
                                <a:moveTo>
                                  <a:pt x="500" y="175"/>
                                </a:moveTo>
                                <a:lnTo>
                                  <a:pt x="424" y="175"/>
                                </a:lnTo>
                                <a:moveTo>
                                  <a:pt x="394" y="175"/>
                                </a:moveTo>
                                <a:lnTo>
                                  <a:pt x="318" y="175"/>
                                </a:lnTo>
                                <a:moveTo>
                                  <a:pt x="182" y="175"/>
                                </a:moveTo>
                                <a:lnTo>
                                  <a:pt x="106" y="175"/>
                                </a:lnTo>
                                <a:moveTo>
                                  <a:pt x="76" y="175"/>
                                </a:moveTo>
                                <a:lnTo>
                                  <a:pt x="0" y="175"/>
                                </a:lnTo>
                                <a:moveTo>
                                  <a:pt x="250" y="0"/>
                                </a:moveTo>
                                <a:lnTo>
                                  <a:pt x="250" y="63"/>
                                </a:lnTo>
                              </a:path>
                            </a:pathLst>
                          </a:custGeom>
                          <a:noFill/>
                          <a:ln w="1424" cap="flat" cmpd="sng">
                            <a:solidFill>
                              <a:srgbClr val="000000"/>
                            </a:solidFill>
                            <a:prstDash val="solid"/>
                            <a:headEnd type="none" w="med" len="med"/>
                            <a:tailEnd type="none" w="med" len="med"/>
                          </a:ln>
                        </wps:spPr>
                        <wps:bodyPr upright="1"/>
                      </wps:wsp>
                      <wps:wsp>
                        <wps:cNvPr id="122" name="直接连接符 69"/>
                        <wps:cNvCnPr/>
                        <wps:spPr>
                          <a:xfrm>
                            <a:off x="2016" y="118"/>
                            <a:ext cx="2" cy="0"/>
                          </a:xfrm>
                          <a:prstGeom prst="line">
                            <a:avLst/>
                          </a:prstGeom>
                          <a:ln w="711" cap="flat" cmpd="sng">
                            <a:solidFill>
                              <a:srgbClr val="000000"/>
                            </a:solidFill>
                            <a:prstDash val="solid"/>
                            <a:headEnd type="none" w="med" len="med"/>
                            <a:tailEnd type="none" w="med" len="med"/>
                          </a:ln>
                        </wps:spPr>
                        <wps:bodyPr/>
                      </wps:wsp>
                      <pic:pic xmlns:pic="http://schemas.openxmlformats.org/drawingml/2006/picture">
                        <pic:nvPicPr>
                          <pic:cNvPr id="123" name="图片 17"/>
                          <pic:cNvPicPr>
                            <a:picLocks noChangeAspect="1"/>
                          </pic:cNvPicPr>
                        </pic:nvPicPr>
                        <pic:blipFill>
                          <a:blip r:embed="rId518"/>
                          <a:stretch>
                            <a:fillRect/>
                          </a:stretch>
                        </pic:blipFill>
                        <pic:spPr>
                          <a:xfrm>
                            <a:off x="1850" y="168"/>
                            <a:ext cx="302" cy="291"/>
                          </a:xfrm>
                          <a:prstGeom prst="rect">
                            <a:avLst/>
                          </a:prstGeom>
                          <a:noFill/>
                          <a:ln>
                            <a:noFill/>
                          </a:ln>
                        </pic:spPr>
                      </pic:pic>
                      <pic:pic xmlns:pic="http://schemas.openxmlformats.org/drawingml/2006/picture">
                        <pic:nvPicPr>
                          <pic:cNvPr id="124" name="图片 18"/>
                          <pic:cNvPicPr>
                            <a:picLocks noChangeAspect="1"/>
                          </pic:cNvPicPr>
                        </pic:nvPicPr>
                        <pic:blipFill>
                          <a:blip r:embed="rId519"/>
                          <a:stretch>
                            <a:fillRect/>
                          </a:stretch>
                        </pic:blipFill>
                        <pic:spPr>
                          <a:xfrm>
                            <a:off x="1275" y="1845"/>
                            <a:ext cx="302" cy="291"/>
                          </a:xfrm>
                          <a:prstGeom prst="rect">
                            <a:avLst/>
                          </a:prstGeom>
                          <a:noFill/>
                          <a:ln>
                            <a:noFill/>
                          </a:ln>
                        </pic:spPr>
                      </pic:pic>
                      <wps:wsp>
                        <wps:cNvPr id="125" name="任意多边形 72"/>
                        <wps:cNvSpPr/>
                        <wps:spPr>
                          <a:xfrm>
                            <a:off x="1410" y="225"/>
                            <a:ext cx="606" cy="1886"/>
                          </a:xfrm>
                          <a:custGeom>
                            <a:avLst/>
                            <a:gdLst/>
                            <a:ahLst/>
                            <a:cxnLst/>
                            <a:rect l="0" t="0" r="0" b="0"/>
                            <a:pathLst>
                              <a:path w="606" h="1886">
                                <a:moveTo>
                                  <a:pt x="606" y="0"/>
                                </a:moveTo>
                                <a:lnTo>
                                  <a:pt x="606" y="1024"/>
                                </a:lnTo>
                                <a:moveTo>
                                  <a:pt x="0" y="752"/>
                                </a:moveTo>
                                <a:lnTo>
                                  <a:pt x="0" y="1886"/>
                                </a:lnTo>
                              </a:path>
                            </a:pathLst>
                          </a:custGeom>
                          <a:noFill/>
                          <a:ln w="1424" cap="flat" cmpd="sng">
                            <a:solidFill>
                              <a:srgbClr val="000000"/>
                            </a:solidFill>
                            <a:prstDash val="solid"/>
                            <a:headEnd type="none" w="med" len="med"/>
                            <a:tailEnd type="none" w="med" len="med"/>
                          </a:ln>
                        </wps:spPr>
                        <wps:bodyPr upright="1"/>
                      </wps:wsp>
                      <wps:wsp>
                        <wps:cNvPr id="126" name="任意多边形 73"/>
                        <wps:cNvSpPr/>
                        <wps:spPr>
                          <a:xfrm>
                            <a:off x="413" y="218"/>
                            <a:ext cx="2706" cy="1872"/>
                          </a:xfrm>
                          <a:custGeom>
                            <a:avLst/>
                            <a:gdLst/>
                            <a:ahLst/>
                            <a:cxnLst/>
                            <a:rect l="0" t="0" r="0" b="0"/>
                            <a:pathLst>
                              <a:path w="2706" h="1872">
                                <a:moveTo>
                                  <a:pt x="0" y="1872"/>
                                </a:moveTo>
                                <a:lnTo>
                                  <a:pt x="76" y="1872"/>
                                </a:lnTo>
                                <a:moveTo>
                                  <a:pt x="108" y="1872"/>
                                </a:moveTo>
                                <a:lnTo>
                                  <a:pt x="184" y="1872"/>
                                </a:lnTo>
                                <a:moveTo>
                                  <a:pt x="2706" y="0"/>
                                </a:moveTo>
                                <a:lnTo>
                                  <a:pt x="2630" y="0"/>
                                </a:lnTo>
                                <a:moveTo>
                                  <a:pt x="2606" y="0"/>
                                </a:moveTo>
                                <a:lnTo>
                                  <a:pt x="2530" y="0"/>
                                </a:lnTo>
                              </a:path>
                            </a:pathLst>
                          </a:custGeom>
                          <a:noFill/>
                          <a:ln w="1424" cap="flat" cmpd="sng">
                            <a:solidFill>
                              <a:srgbClr val="000000"/>
                            </a:solidFill>
                            <a:prstDash val="solid"/>
                            <a:headEnd type="none" w="med" len="med"/>
                            <a:tailEnd type="none" w="med" len="med"/>
                          </a:ln>
                        </wps:spPr>
                        <wps:bodyPr upright="1"/>
                      </wps:wsp>
                      <wps:wsp>
                        <wps:cNvPr id="127" name="任意多边形 75"/>
                        <wps:cNvSpPr/>
                        <wps:spPr>
                          <a:xfrm>
                            <a:off x="1130" y="217"/>
                            <a:ext cx="501" cy="2"/>
                          </a:xfrm>
                          <a:custGeom>
                            <a:avLst/>
                            <a:gdLst/>
                            <a:ahLst/>
                            <a:cxnLst/>
                            <a:rect l="0" t="0" r="0" b="0"/>
                            <a:pathLst>
                              <a:path w="501">
                                <a:moveTo>
                                  <a:pt x="501" y="0"/>
                                </a:moveTo>
                                <a:lnTo>
                                  <a:pt x="425" y="0"/>
                                </a:lnTo>
                                <a:moveTo>
                                  <a:pt x="395" y="0"/>
                                </a:moveTo>
                                <a:lnTo>
                                  <a:pt x="319" y="0"/>
                                </a:lnTo>
                                <a:moveTo>
                                  <a:pt x="288" y="0"/>
                                </a:moveTo>
                                <a:lnTo>
                                  <a:pt x="212" y="0"/>
                                </a:lnTo>
                                <a:moveTo>
                                  <a:pt x="182" y="0"/>
                                </a:moveTo>
                                <a:lnTo>
                                  <a:pt x="106" y="0"/>
                                </a:lnTo>
                                <a:moveTo>
                                  <a:pt x="76" y="0"/>
                                </a:moveTo>
                                <a:lnTo>
                                  <a:pt x="0" y="0"/>
                                </a:lnTo>
                              </a:path>
                            </a:pathLst>
                          </a:custGeom>
                          <a:noFill/>
                          <a:ln w="1424" cap="flat" cmpd="sng">
                            <a:solidFill>
                              <a:srgbClr val="000000"/>
                            </a:solidFill>
                            <a:prstDash val="solid"/>
                            <a:headEnd type="none" w="med" len="med"/>
                            <a:tailEnd type="none" w="med" len="med"/>
                          </a:ln>
                        </wps:spPr>
                        <wps:bodyPr upright="1"/>
                      </wps:wsp>
                      <wps:wsp>
                        <wps:cNvPr id="480" name="任意多边形 76"/>
                        <wps:cNvSpPr/>
                        <wps:spPr>
                          <a:xfrm>
                            <a:off x="916" y="217"/>
                            <a:ext cx="176" cy="2"/>
                          </a:xfrm>
                          <a:custGeom>
                            <a:avLst/>
                            <a:gdLst/>
                            <a:ahLst/>
                            <a:cxnLst/>
                            <a:rect l="0" t="0" r="0" b="0"/>
                            <a:pathLst>
                              <a:path w="176">
                                <a:moveTo>
                                  <a:pt x="176" y="0"/>
                                </a:moveTo>
                                <a:lnTo>
                                  <a:pt x="101" y="0"/>
                                </a:lnTo>
                                <a:moveTo>
                                  <a:pt x="176" y="0"/>
                                </a:moveTo>
                                <a:lnTo>
                                  <a:pt x="101" y="0"/>
                                </a:lnTo>
                                <a:moveTo>
                                  <a:pt x="76" y="0"/>
                                </a:moveTo>
                                <a:lnTo>
                                  <a:pt x="0" y="0"/>
                                </a:lnTo>
                              </a:path>
                            </a:pathLst>
                          </a:custGeom>
                          <a:noFill/>
                          <a:ln w="1424" cap="flat" cmpd="sng">
                            <a:solidFill>
                              <a:srgbClr val="000000"/>
                            </a:solidFill>
                            <a:prstDash val="solid"/>
                            <a:headEnd type="none" w="med" len="med"/>
                            <a:tailEnd type="none" w="med" len="med"/>
                          </a:ln>
                        </wps:spPr>
                        <wps:bodyPr upright="1"/>
                      </wps:wsp>
                      <wps:wsp>
                        <wps:cNvPr id="481" name="直接连接符 77"/>
                        <wps:cNvCnPr/>
                        <wps:spPr>
                          <a:xfrm flipH="1">
                            <a:off x="2689" y="1837"/>
                            <a:ext cx="305" cy="0"/>
                          </a:xfrm>
                          <a:prstGeom prst="line">
                            <a:avLst/>
                          </a:prstGeom>
                          <a:ln w="10161" cap="flat" cmpd="sng">
                            <a:solidFill>
                              <a:srgbClr val="000000"/>
                            </a:solidFill>
                            <a:prstDash val="solid"/>
                            <a:headEnd type="none" w="med" len="med"/>
                            <a:tailEnd type="none" w="med" len="med"/>
                          </a:ln>
                        </wps:spPr>
                        <wps:bodyPr/>
                      </wps:wsp>
                      <wps:wsp>
                        <wps:cNvPr id="482" name="任意多边形 78"/>
                        <wps:cNvSpPr/>
                        <wps:spPr>
                          <a:xfrm>
                            <a:off x="2629" y="1798"/>
                            <a:ext cx="79" cy="79"/>
                          </a:xfrm>
                          <a:custGeom>
                            <a:avLst/>
                            <a:gdLst/>
                            <a:ahLst/>
                            <a:cxnLst/>
                            <a:rect l="0" t="0" r="0" b="0"/>
                            <a:pathLst>
                              <a:path w="79" h="79">
                                <a:moveTo>
                                  <a:pt x="78" y="0"/>
                                </a:moveTo>
                                <a:lnTo>
                                  <a:pt x="0" y="39"/>
                                </a:lnTo>
                                <a:lnTo>
                                  <a:pt x="78" y="78"/>
                                </a:lnTo>
                                <a:lnTo>
                                  <a:pt x="71" y="59"/>
                                </a:lnTo>
                                <a:lnTo>
                                  <a:pt x="69" y="39"/>
                                </a:lnTo>
                                <a:lnTo>
                                  <a:pt x="71" y="19"/>
                                </a:lnTo>
                                <a:lnTo>
                                  <a:pt x="78" y="0"/>
                                </a:lnTo>
                                <a:close/>
                              </a:path>
                            </a:pathLst>
                          </a:custGeom>
                          <a:solidFill>
                            <a:srgbClr val="000000"/>
                          </a:solidFill>
                          <a:ln>
                            <a:noFill/>
                          </a:ln>
                        </wps:spPr>
                        <wps:bodyPr upright="1"/>
                      </wps:wsp>
                      <wps:wsp>
                        <wps:cNvPr id="483" name="直接连接符 79"/>
                        <wps:cNvCnPr/>
                        <wps:spPr>
                          <a:xfrm flipH="1">
                            <a:off x="1662" y="218"/>
                            <a:ext cx="76" cy="0"/>
                          </a:xfrm>
                          <a:prstGeom prst="line">
                            <a:avLst/>
                          </a:prstGeom>
                          <a:ln w="1423" cap="flat" cmpd="sng">
                            <a:solidFill>
                              <a:srgbClr val="000000"/>
                            </a:solidFill>
                            <a:prstDash val="solid"/>
                            <a:headEnd type="none" w="med" len="med"/>
                            <a:tailEnd type="none" w="med" len="med"/>
                          </a:ln>
                        </wps:spPr>
                        <wps:bodyPr/>
                      </wps:wsp>
                      <wps:wsp>
                        <wps:cNvPr id="484" name="文本框 82"/>
                        <wps:cNvSpPr txBox="1"/>
                        <wps:spPr>
                          <a:xfrm>
                            <a:off x="1985" y="0"/>
                            <a:ext cx="109" cy="160"/>
                          </a:xfrm>
                          <a:prstGeom prst="rect">
                            <a:avLst/>
                          </a:prstGeom>
                          <a:noFill/>
                          <a:ln>
                            <a:noFill/>
                          </a:ln>
                        </wps:spPr>
                        <wps:txbx>
                          <w:txbxContent>
                            <w:p>
                              <w:pPr>
                                <w:spacing w:line="159" w:lineRule="exact"/>
                                <w:jc w:val="left"/>
                                <w:rPr>
                                  <w:rFonts w:ascii="Times New Roman"/>
                                  <w:b/>
                                  <w:i/>
                                  <w:sz w:val="14"/>
                                </w:rPr>
                              </w:pPr>
                              <w:r>
                                <w:rPr>
                                  <w:rFonts w:ascii="Times New Roman"/>
                                  <w:b/>
                                  <w:i/>
                                  <w:w w:val="103"/>
                                  <w:sz w:val="14"/>
                                </w:rPr>
                                <w:t>P</w:t>
                              </w:r>
                            </w:p>
                          </w:txbxContent>
                        </wps:txbx>
                        <wps:bodyPr lIns="0" tIns="0" rIns="0" bIns="0" upright="1"/>
                      </wps:wsp>
                      <wps:wsp>
                        <wps:cNvPr id="485" name="文本框 85"/>
                        <wps:cNvSpPr txBox="1"/>
                        <wps:spPr>
                          <a:xfrm>
                            <a:off x="367" y="280"/>
                            <a:ext cx="117" cy="160"/>
                          </a:xfrm>
                          <a:prstGeom prst="rect">
                            <a:avLst/>
                          </a:prstGeom>
                          <a:noFill/>
                          <a:ln>
                            <a:noFill/>
                          </a:ln>
                        </wps:spPr>
                        <wps:txbx>
                          <w:txbxContent>
                            <w:p>
                              <w:pPr>
                                <w:spacing w:line="159" w:lineRule="exact"/>
                                <w:jc w:val="left"/>
                                <w:rPr>
                                  <w:rFonts w:ascii="Times New Roman"/>
                                  <w:b/>
                                  <w:i/>
                                  <w:sz w:val="14"/>
                                </w:rPr>
                              </w:pPr>
                              <w:r>
                                <w:rPr>
                                  <w:rFonts w:ascii="Times New Roman"/>
                                  <w:b/>
                                  <w:i/>
                                  <w:w w:val="103"/>
                                  <w:sz w:val="14"/>
                                </w:rPr>
                                <w:t>V</w:t>
                              </w:r>
                            </w:p>
                          </w:txbxContent>
                        </wps:txbx>
                        <wps:bodyPr lIns="0" tIns="0" rIns="0" bIns="0" upright="1"/>
                      </wps:wsp>
                      <wps:wsp>
                        <wps:cNvPr id="486" name="文本框 86"/>
                        <wps:cNvSpPr txBox="1"/>
                        <wps:spPr>
                          <a:xfrm>
                            <a:off x="1389" y="986"/>
                            <a:ext cx="567" cy="178"/>
                          </a:xfrm>
                          <a:prstGeom prst="rect">
                            <a:avLst/>
                          </a:prstGeom>
                          <a:noFill/>
                          <a:ln>
                            <a:noFill/>
                          </a:ln>
                        </wps:spPr>
                        <wps:txbx>
                          <w:txbxContent>
                            <w:p>
                              <w:pPr>
                                <w:tabs>
                                  <w:tab w:val="left" w:pos="257"/>
                                  <w:tab w:val="left" w:pos="546"/>
                                </w:tabs>
                                <w:spacing w:line="177" w:lineRule="exact"/>
                                <w:jc w:val="left"/>
                                <w:rPr>
                                  <w:rFonts w:ascii="Times New Roman" w:hAnsi="Times New Roman"/>
                                  <w:i/>
                                  <w:sz w:val="16"/>
                                </w:rPr>
                              </w:pPr>
                              <w:r>
                                <w:rPr>
                                  <w:rFonts w:ascii="Times New Roman" w:hAnsi="Times New Roman"/>
                                  <w:sz w:val="16"/>
                                  <w:u w:val="single"/>
                                </w:rPr>
                                <w:t xml:space="preserve"> </w:t>
                              </w:r>
                              <w:r>
                                <w:rPr>
                                  <w:rFonts w:ascii="Times New Roman" w:hAnsi="Times New Roman"/>
                                  <w:sz w:val="16"/>
                                </w:rPr>
                                <w:tab/>
                              </w:r>
                              <w:r>
                                <w:rPr>
                                  <w:rFonts w:ascii="Times New Roman" w:hAnsi="Times New Roman"/>
                                  <w:i/>
                                  <w:sz w:val="16"/>
                                  <w:u w:val="single"/>
                                </w:rPr>
                                <w:t>δ</w:t>
                              </w:r>
                              <w:r>
                                <w:rPr>
                                  <w:rFonts w:ascii="Times New Roman" w:hAnsi="Times New Roman"/>
                                  <w:i/>
                                  <w:sz w:val="16"/>
                                  <w:u w:val="single"/>
                                </w:rPr>
                                <w:tab/>
                              </w:r>
                            </w:p>
                          </w:txbxContent>
                        </wps:txbx>
                        <wps:bodyPr lIns="0" tIns="0" rIns="0" bIns="0" upright="1"/>
                      </wps:wsp>
                      <wps:wsp>
                        <wps:cNvPr id="487" name="文本框 87"/>
                        <wps:cNvSpPr txBox="1"/>
                        <wps:spPr>
                          <a:xfrm>
                            <a:off x="3611" y="1006"/>
                            <a:ext cx="93" cy="160"/>
                          </a:xfrm>
                          <a:prstGeom prst="rect">
                            <a:avLst/>
                          </a:prstGeom>
                          <a:noFill/>
                          <a:ln>
                            <a:noFill/>
                          </a:ln>
                        </wps:spPr>
                        <wps:txbx>
                          <w:txbxContent>
                            <w:p>
                              <w:pPr>
                                <w:spacing w:line="159" w:lineRule="exact"/>
                                <w:jc w:val="left"/>
                                <w:rPr>
                                  <w:rFonts w:ascii="Times New Roman"/>
                                  <w:i/>
                                  <w:sz w:val="14"/>
                                </w:rPr>
                              </w:pPr>
                              <w:r>
                                <w:rPr>
                                  <w:rFonts w:ascii="Times New Roman"/>
                                  <w:i/>
                                  <w:w w:val="103"/>
                                  <w:sz w:val="14"/>
                                </w:rPr>
                                <w:t>h</w:t>
                              </w:r>
                            </w:p>
                          </w:txbxContent>
                        </wps:txbx>
                        <wps:bodyPr lIns="0" tIns="0" rIns="0" bIns="0" upright="1"/>
                      </wps:wsp>
                      <wps:wsp>
                        <wps:cNvPr id="488" name="文本框 88"/>
                        <wps:cNvSpPr txBox="1"/>
                        <wps:spPr>
                          <a:xfrm>
                            <a:off x="2971" y="1647"/>
                            <a:ext cx="117" cy="160"/>
                          </a:xfrm>
                          <a:prstGeom prst="rect">
                            <a:avLst/>
                          </a:prstGeom>
                          <a:noFill/>
                          <a:ln>
                            <a:noFill/>
                          </a:ln>
                        </wps:spPr>
                        <wps:txbx>
                          <w:txbxContent>
                            <w:p>
                              <w:pPr>
                                <w:spacing w:line="159" w:lineRule="exact"/>
                                <w:jc w:val="left"/>
                                <w:rPr>
                                  <w:rFonts w:ascii="Times New Roman"/>
                                  <w:b/>
                                  <w:i/>
                                  <w:sz w:val="14"/>
                                </w:rPr>
                              </w:pPr>
                              <w:r>
                                <w:rPr>
                                  <w:rFonts w:ascii="Times New Roman"/>
                                  <w:b/>
                                  <w:i/>
                                  <w:w w:val="103"/>
                                  <w:sz w:val="14"/>
                                </w:rPr>
                                <w:t>V</w:t>
                              </w:r>
                            </w:p>
                          </w:txbxContent>
                        </wps:txbx>
                        <wps:bodyPr lIns="0" tIns="0" rIns="0" bIns="0" upright="1"/>
                      </wps:wsp>
                      <wps:wsp>
                        <wps:cNvPr id="489" name="文本框 89"/>
                        <wps:cNvSpPr txBox="1"/>
                        <wps:spPr>
                          <a:xfrm>
                            <a:off x="1478" y="1895"/>
                            <a:ext cx="1364" cy="187"/>
                          </a:xfrm>
                          <a:prstGeom prst="rect">
                            <a:avLst/>
                          </a:prstGeom>
                          <a:noFill/>
                          <a:ln>
                            <a:noFill/>
                          </a:ln>
                        </wps:spPr>
                        <wps:txbx>
                          <w:txbxContent>
                            <w:p>
                              <w:pPr>
                                <w:tabs>
                                  <w:tab w:val="left" w:pos="1343"/>
                                </w:tabs>
                                <w:spacing w:line="186" w:lineRule="exact"/>
                                <w:jc w:val="left"/>
                                <w:rPr>
                                  <w:rFonts w:ascii="Times New Roman"/>
                                  <w:b/>
                                  <w:i/>
                                  <w:sz w:val="17"/>
                                </w:rPr>
                              </w:pPr>
                              <w:r>
                                <w:rPr>
                                  <w:rFonts w:ascii="Times New Roman"/>
                                  <w:b/>
                                  <w:i/>
                                  <w:w w:val="99"/>
                                  <w:sz w:val="17"/>
                                  <w:u w:val="single"/>
                                </w:rPr>
                                <w:t xml:space="preserve"> </w:t>
                              </w:r>
                              <w:r>
                                <w:rPr>
                                  <w:rFonts w:ascii="Times New Roman"/>
                                  <w:b/>
                                  <w:i/>
                                  <w:sz w:val="17"/>
                                  <w:u w:val="single"/>
                                </w:rPr>
                                <w:t xml:space="preserve">  </w:t>
                              </w:r>
                              <w:r>
                                <w:rPr>
                                  <w:rFonts w:ascii="Times New Roman"/>
                                  <w:b/>
                                  <w:i/>
                                  <w:spacing w:val="18"/>
                                  <w:sz w:val="17"/>
                                  <w:u w:val="single"/>
                                </w:rPr>
                                <w:t xml:space="preserve"> </w:t>
                              </w:r>
                              <w:r>
                                <w:rPr>
                                  <w:rFonts w:ascii="Times New Roman"/>
                                  <w:b/>
                                  <w:i/>
                                  <w:sz w:val="17"/>
                                  <w:u w:val="single"/>
                                </w:rPr>
                                <w:t>M</w:t>
                              </w:r>
                              <w:r>
                                <w:rPr>
                                  <w:rFonts w:ascii="Times New Roman"/>
                                  <w:b/>
                                  <w:i/>
                                  <w:sz w:val="17"/>
                                  <w:u w:val="single"/>
                                </w:rPr>
                                <w:tab/>
                              </w:r>
                            </w:p>
                          </w:txbxContent>
                        </wps:txbx>
                        <wps:bodyPr lIns="0" tIns="0" rIns="0" bIns="0" upright="1"/>
                      </wps:wsp>
                      <wps:wsp>
                        <wps:cNvPr id="490" name="文本框 90"/>
                        <wps:cNvSpPr txBox="1"/>
                        <wps:spPr>
                          <a:xfrm>
                            <a:off x="2017" y="219"/>
                            <a:ext cx="1408" cy="252"/>
                          </a:xfrm>
                          <a:prstGeom prst="rect">
                            <a:avLst/>
                          </a:prstGeom>
                          <a:noFill/>
                          <a:ln>
                            <a:noFill/>
                          </a:ln>
                        </wps:spPr>
                        <wps:txbx>
                          <w:txbxContent>
                            <w:p>
                              <w:pPr>
                                <w:spacing w:before="36"/>
                                <w:ind w:left="198"/>
                                <w:jc w:val="left"/>
                                <w:rPr>
                                  <w:rFonts w:ascii="Times New Roman"/>
                                  <w:b/>
                                  <w:i/>
                                  <w:sz w:val="17"/>
                                </w:rPr>
                              </w:pPr>
                              <w:r>
                                <w:rPr>
                                  <w:rFonts w:ascii="Times New Roman"/>
                                  <w:b/>
                                  <w:i/>
                                  <w:w w:val="99"/>
                                  <w:sz w:val="17"/>
                                </w:rPr>
                                <w:t>M</w:t>
                              </w:r>
                            </w:p>
                          </w:txbxContent>
                        </wps:txbx>
                        <wps:bodyPr lIns="0" tIns="0" rIns="0" bIns="0" upright="1"/>
                      </wps:wsp>
                    </wpg:wgp>
                  </a:graphicData>
                </a:graphic>
              </wp:inline>
            </w:drawing>
          </mc:Choice>
          <mc:Fallback>
            <w:pict>
              <v:group id="_x0000_s1026" o:spid="_x0000_s1026" o:spt="203" style="height:106.8pt;width:189.05pt;" coordsize="3781,2136" o:gfxdata="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C5s8AC/AAAApQEAABkAAABkcnMvX3JlbHMvZTJv&#10;RG9jLnhtbC5yZWxzvZDBisIwEIbvC/sOYe7btD0sspj2IoJXcR9gSKZpsJmEJIq+vYFlQUHw5nFm&#10;+L//Y9bjxS/iTCm7wAq6pgVBrINxbBX8HrZfKxC5IBtcApOCK2UYh8+P9Z4WLDWUZxezqBTOCuZS&#10;4o+UWc/kMTchEtfLFJLHUsdkZUR9REuyb9tvme4ZMDwwxc4oSDvTgzhcY21+zQ7T5DRtgj554vKk&#10;QjpfuysQk6WiwJNx+Lfsm8gW5HOH7j0O3b+DfHjucAN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">
                <o:lock v:ext="edit" aspectratio="f"/>
                <v:shape id="任意多边形 3" o:spid="_x0000_s1026" o:spt="100" style="position:absolute;left:1;top:217;height:1873;width:3426;" filled="f" stroked="t" coordsize="3426,1873" o:gfxdata="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1D8i5AAAA3AAA&#10;AA8AAAAAAAAAAQAgAAAAIgAAAGRycy9kb3ducmV2LnhtbFBLAQIUABQAAAAIAIdO4kAzLwWeOwAA&#10;ADkAAAAQAAAAAAAAAAEAIAAAAAgBAABkcnMvc2hhcGV4bWwueG1sUEsFBgAAAAAGAAYAWwEAALID&#10;AAAAAA==&#10;" path="m803,345l3228,345,3228,254,803,254,803,345m1179,406l2852,406,2852,345,1179,345,1179,406m197,1527l2622,1527,2622,1618,197,1618,197,1527m574,1467l2245,1467,2245,1527,574,1527,574,1467m576,1467l1182,406m2243,1467l2850,406m886,0l810,0m781,0l705,0m780,0l705,0m674,0l606,0,606,59m606,89l606,165m606,196l606,254,674,254m705,254l780,254m705,254l781,254m3425,254l3425,196m3425,165l3425,89m3425,59l3425,0,3357,0m3327,0l3251,0m3327,0l3251,0m3227,0l3151,0m3230,254l3327,254m3251,254l3327,254m3357,254l3425,254m2821,1873l2821,1814m2821,1784l2821,1708m2821,1677l2821,1618,2753,1618m2723,1618l2647,1618m2721,1618l2622,1618m194,1618l99,1618m175,1618l99,1618m69,1618l0,1618,0,1677m0,1708l0,1784m0,1814l0,1873,69,1873m99,1873l175,1873m99,1873l175,1873m205,1873l281,1873m307,1873l383,1873m629,1873l705,1873m735,1873l811,1873m842,1873l917,1873m948,1873l1023,1873m1054,1873l1129,1873m1160,1873l1235,1873m1266,1873l1341,1873e">
                  <v:fill on="f" focussize="0,0"/>
                  <v:stroke weight="0.112125984251968pt" color="#000000" joinstyle="round"/>
                  <v:imagedata o:title=""/>
                  <o:lock v:ext="edit" aspectratio="f"/>
                </v:shape>
                <v:line id="直接连接符 8" o:spid="_x0000_s1026" o:spt="20" style="position:absolute;left:1713;top:2121;height:0;width:2;" filled="f" stroked="t" coordsize="21600,21600" o:gfxdata="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Lt2b4A&#10;AADcAAAADwAAAAAAAAABACAAAAAiAAAAZHJzL2Rvd25yZXYueG1sUEsBAhQAFAAAAAgAh07iQDMv&#10;BZ47AAAAOQAAABAAAAAAAAAAAQAgAAAADQEAAGRycy9zaGFwZXhtbC54bWxQSwUGAAAAAAYABgBb&#10;AQAAtwMAAAAA&#10;">
                  <v:fill on="f" focussize="0,0"/>
                  <v:stroke weight="0.0551968503937008pt" color="#000000" joinstyle="round"/>
                  <v:imagedata o:title=""/>
                  <o:lock v:ext="edit" aspectratio="f"/>
                </v:line>
                <v:shape id="任意多边形 54" o:spid="_x0000_s1026" o:spt="100" style="position:absolute;left:1929;top:1106;height:58;width:87;" fillcolor="#000000" filled="t" stroked="f" coordsize="87,58" o:gfxdata="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SwnMrgAAADcAAAA&#10;DwAAAAAAAAABACAAAAAiAAAAZHJzL2Rvd25yZXYueG1sUEsBAhQAFAAAAAgAh07iQDMvBZ47AAAA&#10;OQAAABAAAAAAAAAAAQAgAAAABwEAAGRycy9zaGFwZXhtbC54bWxQSwUGAAAAAAYABgBbAQAAsQMA&#10;AAAA&#10;" path="m0,0l0,57,87,29,0,0xe">
                  <v:fill on="t" focussize="0,0"/>
                  <v:stroke on="f"/>
                  <v:imagedata o:title=""/>
                  <o:lock v:ext="edit" aspectratio="f"/>
                </v:shape>
                <v:shape id="任意多边形 55" o:spid="_x0000_s1026" o:spt="100" style="position:absolute;left:3167;top:471;height:1364;width:614;" filled="f" stroked="t" coordsize="614,1364" o:gfxdata="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0CbNbsAAADc&#10;AAAADwAAAAAAAAABACAAAAAiAAAAZHJzL2Rvd25yZXYueG1sUEsBAhQAFAAAAAgAh07iQDMvBZ47&#10;AAAAOQAAABAAAAAAAAAAAQAgAAAACgEAAGRycy9zaGFwZXhtbC54bWxQSwUGAAAAAAYABgBbAQAA&#10;tAMAAAAA&#10;" path="m311,0l614,0m0,1364l614,1364m478,79l478,511e">
                  <v:fill on="f" focussize="0,0"/>
                  <v:stroke weight="0.112125984251968pt" color="#000000" joinstyle="round"/>
                  <v:imagedata o:title=""/>
                  <o:lock v:ext="edit" aspectratio="f"/>
                </v:shape>
                <v:shape id="任意多边形 58" o:spid="_x0000_s1026" o:spt="100" style="position:absolute;left:3616;top:470;height:87;width:58;" fillcolor="#000000" filled="t" stroked="f" coordsize="58,87" o:gfxdata="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Xh2IvQAA&#10;ANwAAAAPAAAAAAAAAAEAIAAAACIAAABkcnMvZG93bnJldi54bWxQSwECFAAUAAAACACHTuJAMy8F&#10;njsAAAA5AAAAEAAAAAAAAAABACAAAAAMAQAAZHJzL3NoYXBleG1sLnhtbFBLBQYAAAAABgAGAFsB&#10;AAC2AwAAAAA=&#10;" path="m28,0l0,86,57,86,28,0xe">
                  <v:fill on="t" focussize="0,0"/>
                  <v:stroke on="f"/>
                  <v:imagedata o:title=""/>
                  <o:lock v:ext="edit" aspectratio="f"/>
                </v:shape>
                <v:line id="直接连接符 62" o:spid="_x0000_s1026" o:spt="20" style="position:absolute;left:3669;top:1208;height:558;width:0;" filled="f" stroked="t" coordsize="21600,21600" o:gfxdata="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k3l9rgAAADcAAAA&#10;DwAAAAAAAAABACAAAAAiAAAAZHJzL2Rvd25yZXYueG1sUEsBAhQAFAAAAAgAh07iQDMvBZ47AAAA&#10;OQAAABAAAAAAAAAAAQAgAAAABwEAAGRycy9zaGFwZXhtbC54bWxQSwUGAAAAAAYABgBbAQAAsQMA&#10;AAAA&#10;">
                  <v:fill on="f" focussize="0,0"/>
                  <v:stroke weight="0.200551181102362pt" color="#CDCDCD" joinstyle="round"/>
                  <v:imagedata o:title=""/>
                  <o:lock v:ext="edit" aspectratio="f"/>
                </v:line>
                <v:shape id="任意多边形 63" o:spid="_x0000_s1026" o:spt="100" style="position:absolute;left:3635;top:1757;height:99;width:66;" fillcolor="#CDCDCD" filled="t" stroked="f" coordsize="66,99" o:gfxdata="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UZUbsAAADc&#10;AAAADwAAAAAAAAABACAAAAAiAAAAZHJzL2Rvd25yZXYueG1sUEsBAhQAFAAAAAgAh07iQDMvBZ47&#10;AAAAOQAAABAAAAAAAAAAAQAgAAAACgEAAGRycy9zaGFwZXhtbC54bWxQSwUGAAAAAAYABgBbAQAA&#10;tAMAAAAA&#10;" path="m65,0l0,0,33,98,65,0xe">
                  <v:fill on="t" opacity="32638f" focussize="0,0"/>
                  <v:stroke on="f"/>
                  <v:imagedata o:title=""/>
                  <o:lock v:ext="edit" aspectratio="f"/>
                </v:shape>
                <v:line id="直接连接符 64" o:spid="_x0000_s1026" o:spt="20" style="position:absolute;left:3645;top:1185;height:558;width:0;" filled="f" stroked="t" coordsize="21600,21600" o:gfxdata="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ZDhG8AAAA&#10;3AAAAA8AAAAAAAAAAQAgAAAAIgAAAGRycy9kb3ducmV2LnhtbFBLAQIUABQAAAAIAIdO4kAzLwWe&#10;OwAAADkAAAAQAAAAAAAAAAEAIAAAAAsBAABkcnMvc2hhcGV4bWwueG1sUEsFBgAAAAAGAAYAWwEA&#10;ALUDAAAAAA==&#10;">
                  <v:fill on="f" focussize="0,0"/>
                  <v:stroke weight="0.200551181102362pt" color="#000000" joinstyle="round"/>
                  <v:imagedata o:title=""/>
                  <o:lock v:ext="edit" aspectratio="f"/>
                </v:line>
                <v:shape id="任意多边形 65" o:spid="_x0000_s1026" o:spt="100" style="position:absolute;left:3612;top:1734;height:99;width:66;" fillcolor="#000000" filled="t" stroked="f" coordsize="66,99" o:gfxdata="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hHuHvQAA&#10;ANwAAAAPAAAAAAAAAAEAIAAAACIAAABkcnMvZG93bnJldi54bWxQSwECFAAUAAAACACHTuJAMy8F&#10;njsAAAA5AAAAEAAAAAAAAAABACAAAAAMAQAAZHJzL3NoYXBleG1sLnhtbFBLBQYAAAAABgAGAFsB&#10;AAC2AwAAAAA=&#10;" path="m65,0l0,0,32,99,65,0xe">
                  <v:fill on="t" focussize="0,0"/>
                  <v:stroke on="f"/>
                  <v:imagedata o:title=""/>
                  <o:lock v:ext="edit" aspectratio="f"/>
                </v:shape>
                <v:line id="直接连接符 66" o:spid="_x0000_s1026" o:spt="20" style="position:absolute;left:441;top:470;height:0;width:304;" filled="f" stroked="t" coordsize="21600,21600" o:gfxdata="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ldZ+8AAAA&#10;3AAAAA8AAAAAAAAAAQAgAAAAIgAAAGRycy9kb3ducmV2LnhtbFBLAQIUABQAAAAIAIdO4kAzLwWe&#10;OwAAADkAAAAQAAAAAAAAAAEAIAAAAAsBAABkcnMvc2hhcGV4bWwueG1sUEsFBgAAAAAGAAYAWwEA&#10;ALUDAAAAAA==&#10;">
                  <v:fill on="f" focussize="0,0"/>
                  <v:stroke weight="0.80007874015748pt" color="#000000" joinstyle="round"/>
                  <v:imagedata o:title=""/>
                  <o:lock v:ext="edit" aspectratio="f"/>
                </v:line>
                <v:shape id="任意多边形 67" o:spid="_x0000_s1026" o:spt="100" style="position:absolute;left:726;top:431;height:79;width:79;" fillcolor="#000000" filled="t" stroked="f" coordsize="79,79" o:gfxdata="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o3Gb4A&#10;AADcAAAADwAAAAAAAAABACAAAAAiAAAAZHJzL2Rvd25yZXYueG1sUEsBAhQAFAAAAAgAh07iQDMv&#10;BZ47AAAAOQAAABAAAAAAAAAAAQAgAAAADQEAAGRycy9zaGFwZXhtbC54bWxQSwUGAAAAAAYABgBb&#10;AQAAtwMAAAAA&#10;" path="m0,0l7,19,9,39,7,59,0,78,78,39,0,0xe">
                  <v:fill on="t" focussize="0,0"/>
                  <v:stroke on="f"/>
                  <v:imagedata o:title=""/>
                  <o:lock v:ext="edit" aspectratio="f"/>
                </v:shape>
                <v:shape id="任意多边形 68" o:spid="_x0000_s1026" o:spt="100" style="position:absolute;left:1766;top:42;height:176;width:1137;" filled="f" stroked="t" coordsize="1137,176" o:gfxdata="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C2+5ugAAANwA&#10;AAAPAAAAAAAAAAEAIAAAACIAAABkcnMvZG93bnJldi54bWxQSwECFAAUAAAACACHTuJAMy8FnjsA&#10;AAA5AAAAEAAAAAAAAAABACAAAAAJAQAAZHJzL3NoYXBleG1sLnhtbFBLBQYAAAAABgAGAFsBAACz&#10;AwAAAAA=&#10;" path="m1136,175l1061,175m1030,175l955,175m924,175l849,175m818,175l743,175m712,175l637,175m606,175l530,175m500,175l424,175m394,175l318,175m182,175l106,175m76,175l0,175m250,0l250,63e">
                  <v:fill on="f" focussize="0,0"/>
                  <v:stroke weight="0.112125984251968pt" color="#000000" joinstyle="round"/>
                  <v:imagedata o:title=""/>
                  <o:lock v:ext="edit" aspectratio="f"/>
                </v:shape>
                <v:line id="直接连接符 69" o:spid="_x0000_s1026" o:spt="20" style="position:absolute;left:2016;top:118;height:0;width:2;" filled="f" stroked="t" coordsize="21600,21600" o:gfxdata="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0J3G7sAAADc&#10;AAAADwAAAAAAAAABACAAAAAiAAAAZHJzL2Rvd25yZXYueG1sUEsBAhQAFAAAAAgAh07iQDMvBZ47&#10;AAAAOQAAABAAAAAAAAAAAQAgAAAACgEAAGRycy9zaGFwZXhtbC54bWxQSwUGAAAAAAYABgBbAQAA&#10;tAMAAAAA&#10;">
                  <v:fill on="f" focussize="0,0"/>
                  <v:stroke weight="0.0559842519685039pt" color="#000000" joinstyle="round"/>
                  <v:imagedata o:title=""/>
                  <o:lock v:ext="edit" aspectratio="f"/>
                </v:line>
                <v:shape id="图片 17" o:spid="_x0000_s1026" o:spt="75" type="#_x0000_t75" style="position:absolute;left:1850;top:168;height:291;width:302;" filled="f" o:preferrelative="t" stroked="f" coordsize="21600,21600" o:gfxdata="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gHyYa5AAAA3AAA&#10;AA8AAAAAAAAAAQAgAAAAIgAAAGRycy9kb3ducmV2LnhtbFBLAQIUABQAAAAIAIdO4kAzLwWeOwAA&#10;ADkAAAAQAAAAAAAAAAEAIAAAAAgBAABkcnMvc2hhcGV4bWwueG1sUEsFBgAAAAAGAAYAWwEAALID&#10;AAAAAA==&#10;">
                  <v:fill on="f" focussize="0,0"/>
                  <v:stroke on="f"/>
                  <v:imagedata r:id="rId518" o:title=""/>
                  <o:lock v:ext="edit" aspectratio="t"/>
                </v:shape>
                <v:shape id="图片 18" o:spid="_x0000_s1026" o:spt="75" type="#_x0000_t75" style="position:absolute;left:1275;top:1845;height:291;width:302;" filled="f" o:preferrelative="t" stroked="f" coordsize="21600,21600" o:gfxdata="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24DS8AAAA&#10;3AAAAA8AAAAAAAAAAQAgAAAAIgAAAGRycy9kb3ducmV2LnhtbFBLAQIUABQAAAAIAIdO4kAzLwWe&#10;OwAAADkAAAAQAAAAAAAAAAEAIAAAAAsBAABkcnMvc2hhcGV4bWwueG1sUEsFBgAAAAAGAAYAWwEA&#10;ALUDAAAAAA==&#10;">
                  <v:fill on="f" focussize="0,0"/>
                  <v:stroke on="f"/>
                  <v:imagedata r:id="rId519" o:title=""/>
                  <o:lock v:ext="edit" aspectratio="t"/>
                </v:shape>
                <v:shape id="任意多边形 72" o:spid="_x0000_s1026" o:spt="100" style="position:absolute;left:1410;top:225;height:1886;width:606;" filled="f" stroked="t" coordsize="606,1886" o:gfxdata="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Ny2S8AAAA&#10;3AAAAA8AAAAAAAAAAQAgAAAAIgAAAGRycy9kb3ducmV2LnhtbFBLAQIUABQAAAAIAIdO4kAzLwWe&#10;OwAAADkAAAAQAAAAAAAAAAEAIAAAAAsBAABkcnMvc2hhcGV4bWwueG1sUEsFBgAAAAAGAAYAWwEA&#10;ALUDAAAAAA==&#10;" path="m606,0l606,1024m0,752l0,1886e">
                  <v:fill on="f" focussize="0,0"/>
                  <v:stroke weight="0.112125984251968pt" color="#000000" joinstyle="round"/>
                  <v:imagedata o:title=""/>
                  <o:lock v:ext="edit" aspectratio="f"/>
                </v:shape>
                <v:shape id="任意多边形 73" o:spid="_x0000_s1026" o:spt="100" style="position:absolute;left:413;top:218;height:1872;width:2706;" filled="f" stroked="t" coordsize="2706,1872" o:gfxdata="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qWv68AAAA&#10;3AAAAA8AAAAAAAAAAQAgAAAAIgAAAGRycy9kb3ducmV2LnhtbFBLAQIUABQAAAAIAIdO4kAzLwWe&#10;OwAAADkAAAAQAAAAAAAAAAEAIAAAAAsBAABkcnMvc2hhcGV4bWwueG1sUEsFBgAAAAAGAAYAWwEA&#10;ALUDAAAAAA==&#10;" path="m0,1872l76,1872m108,1872l184,1872m2706,0l2630,0m2606,0l2530,0e">
                  <v:fill on="f" focussize="0,0"/>
                  <v:stroke weight="0.112125984251968pt" color="#000000" joinstyle="round"/>
                  <v:imagedata o:title=""/>
                  <o:lock v:ext="edit" aspectratio="f"/>
                </v:shape>
                <v:shape id="任意多边形 75" o:spid="_x0000_s1026" o:spt="100" style="position:absolute;left:1130;top:217;height:2;width:501;" filled="f" stroked="t" coordsize="501,1" o:gfxdata="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SFv9vQAA&#10;ANwAAAAPAAAAAAAAAAEAIAAAACIAAABkcnMvZG93bnJldi54bWxQSwECFAAUAAAACACHTuJAMy8F&#10;njsAAAA5AAAAEAAAAAAAAAABACAAAAAMAQAAZHJzL3NoYXBleG1sLnhtbFBLBQYAAAAABgAGAFsB&#10;AAC2AwAAAAA=&#10;" path="m501,0l425,0m395,0l319,0m288,0l212,0m182,0l106,0m76,0l0,0e">
                  <v:fill on="f" focussize="0,0"/>
                  <v:stroke weight="0.112125984251968pt" color="#000000" joinstyle="round"/>
                  <v:imagedata o:title=""/>
                  <o:lock v:ext="edit" aspectratio="f"/>
                </v:shape>
                <v:shape id="任意多边形 76" o:spid="_x0000_s1026" o:spt="100" style="position:absolute;left:916;top:217;height:2;width:176;" filled="f" stroked="t" coordsize="176,1" o:gfxdata="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T7SdugAAANwA&#10;AAAPAAAAAAAAAAEAIAAAACIAAABkcnMvZG93bnJldi54bWxQSwECFAAUAAAACACHTuJAMy8FnjsA&#10;AAA5AAAAEAAAAAAAAAABACAAAAAJAQAAZHJzL3NoYXBleG1sLnhtbFBLBQYAAAAABgAGAFsBAACz&#10;AwAAAAA=&#10;" path="m176,0l101,0m176,0l101,0m76,0l0,0e">
                  <v:fill on="f" focussize="0,0"/>
                  <v:stroke weight="0.112125984251968pt" color="#000000" joinstyle="round"/>
                  <v:imagedata o:title=""/>
                  <o:lock v:ext="edit" aspectratio="f"/>
                </v:shape>
                <v:line id="直接连接符 77" o:spid="_x0000_s1026" o:spt="20" style="position:absolute;left:2689;top:1837;flip:x;height:0;width:305;" filled="f" stroked="t" coordsize="21600,21600" o:gfxdata="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7txvQAA&#10;ANwAAAAPAAAAAAAAAAEAIAAAACIAAABkcnMvZG93bnJldi54bWxQSwECFAAUAAAACACHTuJAMy8F&#10;njsAAAA5AAAAEAAAAAAAAAABACAAAAAMAQAAZHJzL3NoYXBleG1sLnhtbFBLBQYAAAAABgAGAFsB&#10;AAC2AwAAAAA=&#10;">
                  <v:fill on="f" focussize="0,0"/>
                  <v:stroke weight="0.80007874015748pt" color="#000000" joinstyle="round"/>
                  <v:imagedata o:title=""/>
                  <o:lock v:ext="edit" aspectratio="f"/>
                </v:line>
                <v:shape id="任意多边形 78" o:spid="_x0000_s1026" o:spt="100" style="position:absolute;left:2629;top:1798;height:79;width:79;" fillcolor="#000000" filled="t" stroked="f" coordsize="79,79" o:gfxdata="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zwS74A&#10;AADcAAAADwAAAAAAAAABACAAAAAiAAAAZHJzL2Rvd25yZXYueG1sUEsBAhQAFAAAAAgAh07iQDMv&#10;BZ47AAAAOQAAABAAAAAAAAAAAQAgAAAADQEAAGRycy9zaGFwZXhtbC54bWxQSwUGAAAAAAYABgBb&#10;AQAAtwMAAAAA&#10;" path="m78,0l0,39,78,78,71,59,69,39,71,19,78,0xe">
                  <v:fill on="t" focussize="0,0"/>
                  <v:stroke on="f"/>
                  <v:imagedata o:title=""/>
                  <o:lock v:ext="edit" aspectratio="f"/>
                </v:shape>
                <v:line id="直接连接符 79" o:spid="_x0000_s1026" o:spt="20" style="position:absolute;left:1662;top:218;flip:x;height:0;width:76;" filled="f" stroked="t" coordsize="21600,21600" o:gfxdata="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OK1W8AAAA&#10;3AAAAA8AAAAAAAAAAQAgAAAAIgAAAGRycy9kb3ducmV2LnhtbFBLAQIUABQAAAAIAIdO4kAzLwWe&#10;OwAAADkAAAAQAAAAAAAAAAEAIAAAAAsBAABkcnMvc2hhcGV4bWwueG1sUEsFBgAAAAAGAAYAWwEA&#10;ALUDAAAAAA==&#10;">
                  <v:fill on="f" focussize="0,0"/>
                  <v:stroke weight="0.112047244094488pt" color="#000000" joinstyle="round"/>
                  <v:imagedata o:title=""/>
                  <o:lock v:ext="edit" aspectratio="f"/>
                </v:line>
                <v:shape id="文本框 82" o:spid="_x0000_s1026" o:spt="202" type="#_x0000_t202" style="position:absolute;left:1985;top:0;height:160;width:109;" filled="f" stroked="f" coordsize="21600,21600" o:gfxdata="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bwv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59" w:lineRule="exact"/>
                          <w:jc w:val="left"/>
                          <w:rPr>
                            <w:rFonts w:ascii="Times New Roman"/>
                            <w:b/>
                            <w:i/>
                            <w:sz w:val="14"/>
                          </w:rPr>
                        </w:pPr>
                        <w:r>
                          <w:rPr>
                            <w:rFonts w:ascii="Times New Roman"/>
                            <w:b/>
                            <w:i/>
                            <w:w w:val="103"/>
                            <w:sz w:val="14"/>
                          </w:rPr>
                          <w:t>P</w:t>
                        </w:r>
                      </w:p>
                    </w:txbxContent>
                  </v:textbox>
                </v:shape>
                <v:shape id="文本框 85" o:spid="_x0000_s1026" o:spt="202" type="#_x0000_t202" style="position:absolute;left:367;top:280;height:160;width:117;" filled="f" stroked="f" coordsize="21600,21600" o:gfxdata="UEsDBAoAAAAAAIdO4kAAAAAAAAAAAAAAAAAEAAAAZHJzL1BLAwQUAAAACACHTuJAt0pVJL8AAADc&#10;AAAADwAAAGRycy9kb3ducmV2LnhtbEWPT2sCMRTE70K/Q3iF3jSxqN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KVS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jc w:val="left"/>
                          <w:rPr>
                            <w:rFonts w:ascii="Times New Roman"/>
                            <w:b/>
                            <w:i/>
                            <w:sz w:val="14"/>
                          </w:rPr>
                        </w:pPr>
                        <w:r>
                          <w:rPr>
                            <w:rFonts w:ascii="Times New Roman"/>
                            <w:b/>
                            <w:i/>
                            <w:w w:val="103"/>
                            <w:sz w:val="14"/>
                          </w:rPr>
                          <w:t>V</w:t>
                        </w:r>
                      </w:p>
                    </w:txbxContent>
                  </v:textbox>
                </v:shape>
                <v:shape id="文本框 86" o:spid="_x0000_s1026" o:spt="202" type="#_x0000_t202" style="position:absolute;left:1389;top:986;height:178;width:567;" filled="f" stroked="f" coordsize="21600,21600" o:gfxdata="UEsDBAoAAAAAAIdO4kAAAAAAAAAAAAAAAAAEAAAAZHJzL1BLAwQUAAAACACHTuJAR5jLU74AAADc&#10;AAAADwAAAGRycy9kb3ducmV2LnhtbEWPT2sCMRTE74V+h/AK3mqilM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jLU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257"/>
                            <w:tab w:val="left" w:pos="546"/>
                          </w:tabs>
                          <w:spacing w:line="177" w:lineRule="exact"/>
                          <w:jc w:val="left"/>
                          <w:rPr>
                            <w:rFonts w:ascii="Times New Roman" w:hAnsi="Times New Roman"/>
                            <w:i/>
                            <w:sz w:val="16"/>
                          </w:rPr>
                        </w:pPr>
                        <w:r>
                          <w:rPr>
                            <w:rFonts w:ascii="Times New Roman" w:hAnsi="Times New Roman"/>
                            <w:sz w:val="16"/>
                            <w:u w:val="single"/>
                          </w:rPr>
                          <w:t xml:space="preserve"> </w:t>
                        </w:r>
                        <w:r>
                          <w:rPr>
                            <w:rFonts w:ascii="Times New Roman" w:hAnsi="Times New Roman"/>
                            <w:sz w:val="16"/>
                          </w:rPr>
                          <w:tab/>
                        </w:r>
                        <w:r>
                          <w:rPr>
                            <w:rFonts w:ascii="Times New Roman" w:hAnsi="Times New Roman"/>
                            <w:i/>
                            <w:sz w:val="16"/>
                            <w:u w:val="single"/>
                          </w:rPr>
                          <w:t>δ</w:t>
                        </w:r>
                        <w:r>
                          <w:rPr>
                            <w:rFonts w:ascii="Times New Roman" w:hAnsi="Times New Roman"/>
                            <w:i/>
                            <w:sz w:val="16"/>
                            <w:u w:val="single"/>
                          </w:rPr>
                          <w:tab/>
                        </w:r>
                      </w:p>
                    </w:txbxContent>
                  </v:textbox>
                </v:shape>
                <v:shape id="文本框 87" o:spid="_x0000_s1026" o:spt="202" type="#_x0000_t202" style="position:absolute;left:3611;top:1006;height:160;width:93;" filled="f" stroked="f" coordsize="21600,21600" o:gfxdata="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Ubs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59" w:lineRule="exact"/>
                          <w:jc w:val="left"/>
                          <w:rPr>
                            <w:rFonts w:ascii="Times New Roman"/>
                            <w:i/>
                            <w:sz w:val="14"/>
                          </w:rPr>
                        </w:pPr>
                        <w:r>
                          <w:rPr>
                            <w:rFonts w:ascii="Times New Roman"/>
                            <w:i/>
                            <w:w w:val="103"/>
                            <w:sz w:val="14"/>
                          </w:rPr>
                          <w:t>h</w:t>
                        </w:r>
                      </w:p>
                    </w:txbxContent>
                  </v:textbox>
                </v:shape>
                <v:shape id="文本框 88" o:spid="_x0000_s1026" o:spt="202" type="#_x0000_t202" style="position:absolute;left:2971;top:1647;height:160;width:117;" filled="f" stroked="f" coordsize="21600,21600" o:gfxdata="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L+r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59" w:lineRule="exact"/>
                          <w:jc w:val="left"/>
                          <w:rPr>
                            <w:rFonts w:ascii="Times New Roman"/>
                            <w:b/>
                            <w:i/>
                            <w:sz w:val="14"/>
                          </w:rPr>
                        </w:pPr>
                        <w:r>
                          <w:rPr>
                            <w:rFonts w:ascii="Times New Roman"/>
                            <w:b/>
                            <w:i/>
                            <w:w w:val="103"/>
                            <w:sz w:val="14"/>
                          </w:rPr>
                          <w:t>V</w:t>
                        </w:r>
                      </w:p>
                    </w:txbxContent>
                  </v:textbox>
                </v:shape>
                <v:shape id="文本框 89" o:spid="_x0000_s1026" o:spt="202" type="#_x0000_t202" style="position:absolute;left:1478;top:1895;height:187;width:1364;" filled="f" stroked="f" coordsize="21600,21600" o:gfxdata="UEsDBAoAAAAAAIdO4kAAAAAAAAAAAAAAAAAEAAAAZHJzL1BLAwQUAAAACACHTuJANgdfIb4AAADc&#10;AAAADwAAAGRycy9kb3ducmV2LnhtbEWPT2sCMRTE7wW/Q3hCbzVRiu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df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343"/>
                          </w:tabs>
                          <w:spacing w:line="186" w:lineRule="exact"/>
                          <w:jc w:val="left"/>
                          <w:rPr>
                            <w:rFonts w:ascii="Times New Roman"/>
                            <w:b/>
                            <w:i/>
                            <w:sz w:val="17"/>
                          </w:rPr>
                        </w:pPr>
                        <w:r>
                          <w:rPr>
                            <w:rFonts w:ascii="Times New Roman"/>
                            <w:b/>
                            <w:i/>
                            <w:w w:val="99"/>
                            <w:sz w:val="17"/>
                            <w:u w:val="single"/>
                          </w:rPr>
                          <w:t xml:space="preserve"> </w:t>
                        </w:r>
                        <w:r>
                          <w:rPr>
                            <w:rFonts w:ascii="Times New Roman"/>
                            <w:b/>
                            <w:i/>
                            <w:sz w:val="17"/>
                            <w:u w:val="single"/>
                          </w:rPr>
                          <w:t xml:space="preserve">  </w:t>
                        </w:r>
                        <w:r>
                          <w:rPr>
                            <w:rFonts w:ascii="Times New Roman"/>
                            <w:b/>
                            <w:i/>
                            <w:spacing w:val="18"/>
                            <w:sz w:val="17"/>
                            <w:u w:val="single"/>
                          </w:rPr>
                          <w:t xml:space="preserve"> </w:t>
                        </w:r>
                        <w:r>
                          <w:rPr>
                            <w:rFonts w:ascii="Times New Roman"/>
                            <w:b/>
                            <w:i/>
                            <w:sz w:val="17"/>
                            <w:u w:val="single"/>
                          </w:rPr>
                          <w:t>M</w:t>
                        </w:r>
                        <w:r>
                          <w:rPr>
                            <w:rFonts w:ascii="Times New Roman"/>
                            <w:b/>
                            <w:i/>
                            <w:sz w:val="17"/>
                            <w:u w:val="single"/>
                          </w:rPr>
                          <w:tab/>
                        </w:r>
                      </w:p>
                    </w:txbxContent>
                  </v:textbox>
                </v:shape>
                <v:shape id="文本框 90" o:spid="_x0000_s1026" o:spt="202" type="#_x0000_t202" style="position:absolute;left:2017;top:219;height:252;width:1408;" filled="f" stroked="f" coordsize="21600,21600" o:gfxdata="UEsDBAoAAAAAAIdO4kAAAAAAAAAAAAAAAAAEAAAAZHJzL1BLAwQUAAAACACHTuJAIuRgYbsAAADc&#10;AAAADwAAAGRycy9kb3ducmV2LnhtbEVPTWsCMRC9C/6HMEJvmihF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RgY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36"/>
                          <w:ind w:left="198"/>
                          <w:jc w:val="left"/>
                          <w:rPr>
                            <w:rFonts w:ascii="Times New Roman"/>
                            <w:b/>
                            <w:i/>
                            <w:sz w:val="17"/>
                          </w:rPr>
                        </w:pPr>
                        <w:r>
                          <w:rPr>
                            <w:rFonts w:ascii="Times New Roman"/>
                            <w:b/>
                            <w:i/>
                            <w:w w:val="99"/>
                            <w:sz w:val="17"/>
                          </w:rPr>
                          <w:t>M</w:t>
                        </w:r>
                      </w:p>
                    </w:txbxContent>
                  </v:textbox>
                </v:shape>
                <w10:wrap type="none"/>
                <w10:anchorlock/>
              </v:group>
            </w:pict>
          </mc:Fallback>
        </mc:AlternateContent>
      </w:r>
    </w:p>
    <w:p>
      <w:pPr>
        <w:adjustRightInd/>
        <w:snapToGrid w:val="0"/>
        <w:spacing w:line="360" w:lineRule="auto"/>
        <w:jc w:val="center"/>
        <w:rPr>
          <w:rFonts w:ascii="Times New Roman" w:hAnsi="宋体"/>
          <w:kern w:val="0"/>
          <w:sz w:val="20"/>
          <w:szCs w:val="20"/>
        </w:rPr>
      </w:pPr>
      <w:r>
        <w:rPr>
          <w:rFonts w:hint="eastAsia" w:ascii="Times New Roman" w:hAnsi="宋体"/>
          <w:kern w:val="0"/>
          <w:sz w:val="20"/>
          <w:szCs w:val="20"/>
        </w:rPr>
        <w:t>图</w:t>
      </w:r>
      <w:r>
        <w:rPr>
          <w:rFonts w:ascii="Times New Roman" w:hAnsi="宋体"/>
          <w:kern w:val="0"/>
          <w:sz w:val="20"/>
          <w:szCs w:val="20"/>
        </w:rPr>
        <w:t>14.2.8</w:t>
      </w:r>
      <w:r>
        <w:rPr>
          <w:rFonts w:ascii="Times New Roman" w:hAnsi="宋体"/>
          <w:kern w:val="0"/>
          <w:sz w:val="20"/>
          <w:szCs w:val="20"/>
        </w:rPr>
        <w:tab/>
      </w:r>
      <w:r>
        <w:rPr>
          <w:rFonts w:hint="eastAsia" w:ascii="Times New Roman" w:hAnsi="宋体"/>
          <w:kern w:val="0"/>
          <w:sz w:val="20"/>
          <w:szCs w:val="20"/>
        </w:rPr>
        <w:t>隔震支墩及连接部位变形示意图</w:t>
      </w:r>
    </w:p>
    <w:p>
      <w:pPr>
        <w:pStyle w:val="67"/>
        <w:spacing w:before="156" w:after="156"/>
      </w:pPr>
      <w:r>
        <w:rPr>
          <w:rFonts w:hint="eastAsia"/>
        </w:rPr>
        <w:t>隔震支座和阻尼装置与建筑结构之间的连接件，应能传递罕遇地震下隔震支座和阻尼装置产生的最大水平剪力和弯矩，遵循强连接、弱构件；与隔震支座相连的支墩、支柱及相连构件应计算抗冲切和局部承压，构造上应加密箍筋并应根据需要配置网状钢筋。</w:t>
      </w:r>
    </w:p>
    <w:p>
      <w:pPr>
        <w:rPr>
          <w:rFonts w:hint="eastAsia" w:ascii="华文楷体" w:hAnsi="华文楷体" w:eastAsia="华文楷体" w:cs="华文楷体"/>
          <w:color w:val="0000FF"/>
          <w:kern w:val="0"/>
          <w:szCs w:val="20"/>
        </w:rPr>
      </w:pPr>
      <w:r>
        <w:rPr>
          <w:rFonts w:hint="eastAsia" w:ascii="华文楷体" w:hAnsi="华文楷体" w:eastAsia="华文楷体" w:cs="华文楷体"/>
          <w:color w:val="0000FF"/>
          <w:kern w:val="0"/>
          <w:szCs w:val="20"/>
        </w:rPr>
        <w:t>条文说明：支座预埋件的设计要保证隔震设计在罕遇地震作用下发挥隔震效果，因此，其荷载取值应取隔震结构在罕遇地震作用下最不利荷载效应的标准值，具体强度设计可参考现行国家标准《混凝土结构设计规范》GB 50010的要求。</w:t>
      </w:r>
    </w:p>
    <w:p>
      <w:pPr>
        <w:pStyle w:val="67"/>
        <w:spacing w:before="156" w:after="156"/>
      </w:pPr>
      <w:r>
        <w:rPr>
          <w:rFonts w:hint="eastAsia"/>
        </w:rPr>
        <w:t>隔震支座连接预埋件和连接螺栓的验算，应取支座在轴向力、水平剪力和弯矩共同作用下的受力状态，且宜按《建筑隔震设计标准》GB/T</w:t>
      </w:r>
      <w:r>
        <w:t xml:space="preserve"> 51408</w:t>
      </w:r>
      <w:r>
        <w:rPr>
          <w:rFonts w:hint="eastAsia"/>
        </w:rPr>
        <w:t>的规定执行。</w:t>
      </w:r>
    </w:p>
    <w:p>
      <w:pPr>
        <w:pStyle w:val="107"/>
        <w:spacing w:before="156" w:after="156"/>
        <w:jc w:val="center"/>
      </w:pPr>
      <w:r>
        <w:rPr>
          <w:rFonts w:hint="eastAsia"/>
        </w:rPr>
        <w:t>隔震支座与结构的连接</w:t>
      </w:r>
    </w:p>
    <w:p>
      <w:pPr>
        <w:pStyle w:val="67"/>
        <w:spacing w:before="156" w:after="156"/>
      </w:pPr>
      <w:r>
        <w:rPr>
          <w:rFonts w:hint="eastAsia"/>
        </w:rPr>
        <w:t>隔震支座与上部结构及下部结构应有可靠的连接，连接件应能传递罕遇地震下支座的最大水平剪力和弯矩，连接板应进行相关计算。</w:t>
      </w:r>
    </w:p>
    <w:p>
      <w:pPr>
        <w:rPr>
          <w:rFonts w:hint="eastAsia" w:ascii="华文楷体" w:hAnsi="华文楷体" w:eastAsia="华文楷体" w:cs="华文楷体"/>
          <w:color w:val="0000FF"/>
          <w:kern w:val="0"/>
          <w:szCs w:val="20"/>
        </w:rPr>
      </w:pPr>
      <w:r>
        <w:rPr>
          <w:rFonts w:hint="eastAsia" w:ascii="华文楷体" w:hAnsi="华文楷体" w:eastAsia="华文楷体" w:cs="华文楷体"/>
          <w:color w:val="0000FF"/>
          <w:kern w:val="0"/>
          <w:szCs w:val="20"/>
        </w:rPr>
        <w:t>条文说明：隔震支座连接螺栓和连接板设计可参考产品国家标准《建筑隔震橡胶支座》GB20688.3-2006的规定执行。</w:t>
      </w:r>
    </w:p>
    <w:p>
      <w:pPr>
        <w:pStyle w:val="67"/>
        <w:spacing w:before="156" w:after="156"/>
      </w:pPr>
      <w:r>
        <w:rPr>
          <w:rFonts w:hint="eastAsia"/>
        </w:rPr>
        <w:t>支墩（或支柱）顶面预埋件厚度不宜小于10mm；为避免上支墩底、下支墩（或支柱）顶面由于竖向钢筋水平弯折造成无筋区并造成支座安装困难的弊端，其竖向钢筋可不必水平弯折，伸至底或顶面即可，当确有锚固需要时，可采用竖向钢筋端部设锚固件的做法。</w:t>
      </w:r>
    </w:p>
    <w:p>
      <w:pPr>
        <w:rPr>
          <w:rFonts w:hint="eastAsia"/>
        </w:rPr>
      </w:pPr>
      <w:r>
        <w:rPr>
          <w:rFonts w:hint="eastAsia" w:ascii="华文楷体" w:hAnsi="华文楷体" w:eastAsia="华文楷体" w:cs="华文楷体"/>
          <w:color w:val="0000FF"/>
          <w:kern w:val="0"/>
          <w:szCs w:val="20"/>
        </w:rPr>
        <w:t>条文说</w:t>
      </w:r>
      <w:r>
        <w:rPr>
          <w:rFonts w:hint="eastAsia" w:ascii="华文楷体" w:hAnsi="华文楷体" w:eastAsia="华文楷体" w:cs="华文楷体"/>
          <w:color w:val="0000FF"/>
        </w:rPr>
        <w:t>明：</w:t>
      </w:r>
      <w:r>
        <w:rPr>
          <w:rFonts w:hint="eastAsia" w:ascii="华文楷体" w:hAnsi="华文楷体" w:eastAsia="华文楷体" w:cs="华文楷体"/>
          <w:color w:val="0000FF"/>
          <w:kern w:val="0"/>
          <w:szCs w:val="20"/>
        </w:rPr>
        <w:t>支墩（或支柱）区域钢筋较密集，建议尽可能采用端部设锚固件（如锚固端板）实现钢筋锚固目的，避免采用弯折锚固。</w:t>
      </w:r>
    </w:p>
    <w:p>
      <w:pPr>
        <w:pStyle w:val="67"/>
        <w:spacing w:before="156" w:after="156"/>
      </w:pPr>
      <w:r>
        <w:rPr>
          <w:rFonts w:hint="eastAsia"/>
        </w:rPr>
        <w:t>隔震层部件（如隔震支座或抗风装置的上、下连接件，连接用预埋件等）以及与隔震支座连接的梁、柱、墩等应考虑水平受剪和竖向局部承压及偏心距的影响，并采取可靠的构造措施。荷载取值应取隔震结构在罕遇地震作用下最不利荷载效应的标准值。</w:t>
      </w:r>
    </w:p>
    <w:p>
      <w:pPr>
        <w:pStyle w:val="67"/>
        <w:spacing w:before="156" w:after="156"/>
      </w:pPr>
      <w:r>
        <w:rPr>
          <w:rFonts w:hint="eastAsia"/>
        </w:rPr>
        <w:t>隔震支座附近的梁、柱应计算冲切和局部承压，加密箍筋并根据需要配置网状钢筋。</w:t>
      </w:r>
    </w:p>
    <w:p>
      <w:pPr>
        <w:rPr>
          <w:rFonts w:hint="eastAsia" w:ascii="华文楷体" w:hAnsi="华文楷体" w:eastAsia="华文楷体" w:cs="华文楷体"/>
          <w:color w:val="0000FF"/>
        </w:rPr>
      </w:pPr>
      <w:r>
        <w:rPr>
          <w:rFonts w:hint="eastAsia" w:ascii="华文楷体" w:hAnsi="华文楷体" w:eastAsia="华文楷体" w:cs="华文楷体"/>
          <w:color w:val="0000FF"/>
          <w:kern w:val="0"/>
          <w:szCs w:val="20"/>
        </w:rPr>
        <w:t>条文说</w:t>
      </w:r>
      <w:r>
        <w:rPr>
          <w:rFonts w:hint="eastAsia" w:ascii="华文楷体" w:hAnsi="华文楷体" w:eastAsia="华文楷体" w:cs="华文楷体"/>
          <w:color w:val="0000FF"/>
        </w:rPr>
        <w:t>明：若冲切和局部承压不满足要求，可采用局部加腋的办法进行调整。</w:t>
      </w:r>
    </w:p>
    <w:p>
      <w:pPr>
        <w:pStyle w:val="67"/>
        <w:spacing w:before="156" w:after="156"/>
      </w:pPr>
      <w:r>
        <w:rPr>
          <w:rFonts w:hint="eastAsia"/>
        </w:rPr>
        <w:t>隔震层设置在有耐火要求的使用空间时，隔震支座和其它部件应根据使用空间的耐火等级采取相应的防火措施。</w:t>
      </w:r>
    </w:p>
    <w:p>
      <w:pPr>
        <w:rPr>
          <w:rFonts w:ascii="华文楷体" w:hAnsi="华文楷体" w:eastAsia="华文楷体" w:cs="华文楷体"/>
          <w:color w:val="0000FF"/>
        </w:rPr>
      </w:pPr>
      <w:r>
        <w:rPr>
          <w:rFonts w:hint="eastAsia" w:ascii="华文楷体" w:hAnsi="华文楷体" w:eastAsia="华文楷体" w:cs="华文楷体"/>
          <w:color w:val="0000FF"/>
          <w:kern w:val="0"/>
          <w:szCs w:val="20"/>
        </w:rPr>
        <w:t>条文说明：</w:t>
      </w:r>
      <w:r>
        <w:rPr>
          <w:rFonts w:hint="eastAsia" w:ascii="华文楷体" w:hAnsi="华文楷体" w:eastAsia="华文楷体" w:cs="华文楷体"/>
          <w:color w:val="0000FF"/>
        </w:rPr>
        <w:t>隔震支座和其他部件应根据使用空间的耐火等级附加防火材料，应模拟支座的实际使用情况，对被试支座进行1h的燃烧试验后，冷却24h以上再测试其竖向极限压应力和竖向刚度，并与同批型支座的竖向极限压应力和竖向刚度进行比较，竖向极限压应力和竖向刚度的变化率不应大于30%。</w:t>
      </w:r>
    </w:p>
    <w:p>
      <w:pPr>
        <w:pStyle w:val="58"/>
        <w:ind w:firstLine="420"/>
        <w:rPr>
          <w:rFonts w:hint="eastAsia"/>
        </w:rPr>
      </w:pPr>
    </w:p>
    <w:p>
      <w:pPr>
        <w:pStyle w:val="107"/>
        <w:spacing w:before="156" w:after="156"/>
        <w:jc w:val="center"/>
      </w:pPr>
      <w:r>
        <w:rPr>
          <w:rFonts w:hint="eastAsia"/>
        </w:rPr>
        <w:t>隔震缝</w:t>
      </w:r>
    </w:p>
    <w:p>
      <w:pPr>
        <w:pStyle w:val="67"/>
        <w:spacing w:before="156" w:after="156"/>
      </w:pPr>
      <w:r>
        <w:rPr>
          <w:rFonts w:hint="eastAsia"/>
        </w:rPr>
        <w:t>隔震层顶板混凝土温度缝伸缩缝间距可比现行国家标准《建筑抗震设计规范》GB 50011《混凝土结构设计规范》第8章的规定可适当延长。</w:t>
      </w:r>
    </w:p>
    <w:p>
      <w:pPr>
        <w:rPr>
          <w:rFonts w:hint="eastAsia"/>
        </w:rPr>
      </w:pPr>
      <w:r>
        <w:rPr>
          <w:rFonts w:hint="eastAsia" w:ascii="华文楷体" w:hAnsi="华文楷体" w:eastAsia="华文楷体" w:cs="华文楷体"/>
          <w:color w:val="0000FF"/>
        </w:rPr>
        <w:t>条文说明：对于超长结构，应进行温度应力验算和施工过程温度变形验算。</w:t>
      </w:r>
    </w:p>
    <w:p>
      <w:pPr>
        <w:pStyle w:val="67"/>
        <w:spacing w:before="156" w:after="156"/>
      </w:pPr>
      <w:r>
        <w:rPr>
          <w:rFonts w:hint="eastAsia"/>
        </w:rPr>
        <w:t>上部结构及隔震层部件应设置竖向隔离缝与周围固定物隔开，与周围固定物的隔离距离不应小于隔震层在罕遇地震下最大水平位移的1.2倍，且不应小于300mm。隔离缝或隔离沟顶部宜设置滑动盖板。滑动盖板应满足最大水平位移的往复移动要求。</w:t>
      </w:r>
    </w:p>
    <w:p>
      <w:pPr>
        <w:pStyle w:val="67"/>
        <w:spacing w:before="156" w:after="156"/>
      </w:pPr>
      <w:r>
        <w:rPr>
          <w:rFonts w:hint="eastAsia"/>
        </w:rPr>
        <w:t>当变形缝贯穿隔震层顶板时，缝宽应取相邻建筑最大水平位移之和的1.2倍，且不小于600mm。变形缝（或隔离沟）顶部宜设置滑动盖板。</w:t>
      </w:r>
    </w:p>
    <w:p>
      <w:pPr>
        <w:pStyle w:val="67"/>
        <w:spacing w:before="156" w:after="156"/>
      </w:pPr>
      <w:r>
        <w:rPr>
          <w:rFonts w:hint="eastAsia"/>
        </w:rPr>
        <w:t>上部结构与下部结构之间应设置完全贯通的水平隔离缝，缝高度宜不小于20mm，并应采用柔性材料填塞，进行密封处理。</w:t>
      </w:r>
    </w:p>
    <w:p>
      <w:pPr>
        <w:pStyle w:val="67"/>
        <w:spacing w:before="156" w:after="156"/>
      </w:pPr>
      <w:r>
        <w:rPr>
          <w:rFonts w:hint="eastAsia"/>
        </w:rPr>
        <w:t>可采用相应的限位措施对隔震层超出最大变形设计范围时进行限位保护。</w:t>
      </w:r>
    </w:p>
    <w:p>
      <w:r>
        <w:rPr>
          <w:rFonts w:hint="eastAsia" w:ascii="华文楷体" w:hAnsi="华文楷体" w:eastAsia="华文楷体" w:cs="华文楷体"/>
          <w:color w:val="0000FF"/>
        </w:rPr>
        <w:t>条文说明：设置一定宽度的隔震缝，对于隔震作用发挥至关重要。如设置不满足要求，将在地震或罕遇地震时上部结构相互之间发生碰撞，产生破坏冲击力，限制隔震效用发挥，甚至危及建筑物安全。施工过程中必须保证隔震沟宽度和空间清空，并进行重点检查。隔震缝滑动盖板做法可参见《建筑结构隔震构造详图》（</w:t>
      </w:r>
      <w:r>
        <w:rPr>
          <w:rFonts w:ascii="华文楷体" w:hAnsi="华文楷体" w:eastAsia="华文楷体" w:cs="华文楷体"/>
          <w:color w:val="0000FF"/>
        </w:rPr>
        <w:t>03SG610-1</w:t>
      </w:r>
      <w:r>
        <w:rPr>
          <w:rFonts w:hint="eastAsia" w:ascii="华文楷体" w:hAnsi="华文楷体" w:eastAsia="华文楷体" w:cs="华文楷体"/>
          <w:color w:val="0000FF"/>
        </w:rPr>
        <w:t>）。</w:t>
      </w:r>
    </w:p>
    <w:p>
      <w:pPr>
        <w:pStyle w:val="58"/>
        <w:ind w:firstLine="420"/>
        <w:rPr>
          <w:rFonts w:hint="eastAsia"/>
        </w:rPr>
      </w:pPr>
    </w:p>
    <w:p>
      <w:pPr>
        <w:pStyle w:val="107"/>
        <w:spacing w:before="156" w:after="156"/>
        <w:jc w:val="center"/>
      </w:pPr>
      <w:r>
        <w:rPr>
          <w:rFonts w:hint="eastAsia"/>
        </w:rPr>
        <w:t>隔震层交通构造</w:t>
      </w:r>
    </w:p>
    <w:p>
      <w:pPr>
        <w:pStyle w:val="67"/>
        <w:spacing w:before="156" w:after="156"/>
      </w:pPr>
      <w:r>
        <w:rPr>
          <w:rFonts w:hint="eastAsia"/>
        </w:rPr>
        <w:t>当门厅入口、室外踏步、室内楼梯节点、楼梯扶手、电梯井道、地下室坡道、车道入口处等穿越隔震层时，应采取脱离措施，并应符合设计要求。</w:t>
      </w:r>
    </w:p>
    <w:p>
      <w:pPr>
        <w:pStyle w:val="67"/>
        <w:spacing w:before="156" w:after="156"/>
      </w:pPr>
      <w:r>
        <w:rPr>
          <w:rFonts w:hint="eastAsia"/>
        </w:rPr>
        <w:t>竖向电梯井穿过隔震层时，可采用悬吊式方案，在罕遇地震作用下，电梯井悬吊部分上下端的层间位移角对于混凝土结构不应大于1/500，对于钢结构不应大于1/200。</w:t>
      </w:r>
    </w:p>
    <w:p>
      <w:pPr>
        <w:pStyle w:val="67"/>
        <w:spacing w:before="156" w:after="156"/>
      </w:pPr>
      <w:r>
        <w:rPr>
          <w:rFonts w:hint="eastAsia"/>
        </w:rPr>
        <w:t>隔震支座应留有便于观测和维修更换隔震支座的空间，并设置必要的照明、通风等设施。</w:t>
      </w:r>
    </w:p>
    <w:p>
      <w:pPr>
        <w:rPr>
          <w:rFonts w:hint="eastAsia"/>
        </w:rPr>
      </w:pPr>
      <w:r>
        <w:rPr>
          <w:rFonts w:hint="eastAsia" w:ascii="华文楷体" w:hAnsi="华文楷体" w:eastAsia="华文楷体" w:cs="华文楷体"/>
          <w:color w:val="0000FF"/>
        </w:rPr>
        <w:t>条文说明：隔震建筑在设计、施工、使用过程中，有可能出现影响隔震建筑在地震中正常发挥隔震功能的状况，需设置必要的条件进行检查和维护。</w:t>
      </w:r>
    </w:p>
    <w:p>
      <w:pPr>
        <w:pStyle w:val="67"/>
        <w:spacing w:before="156" w:after="156"/>
      </w:pPr>
      <w:r>
        <w:rPr>
          <w:rFonts w:hint="eastAsia"/>
        </w:rPr>
        <w:t>电梯井周边应留有足够空间以满足上部结构水平位移、检修及清理的要求，在电梯井出入口与外部地面之间应设置滑动盖板。</w:t>
      </w:r>
    </w:p>
    <w:p>
      <w:pPr>
        <w:rPr>
          <w:rFonts w:hint="eastAsia"/>
        </w:rPr>
      </w:pPr>
      <w:r>
        <w:rPr>
          <w:rFonts w:hint="eastAsia" w:ascii="华文楷体" w:hAnsi="华文楷体" w:eastAsia="华文楷体" w:cs="华文楷体"/>
          <w:color w:val="0000FF"/>
        </w:rPr>
        <w:t>条文说明(</w:t>
      </w:r>
      <w:r>
        <w:rPr>
          <w:rFonts w:ascii="华文楷体" w:hAnsi="华文楷体" w:eastAsia="华文楷体" w:cs="华文楷体"/>
          <w:color w:val="0000FF"/>
        </w:rPr>
        <w:t>14.4.1~14.4.4)</w:t>
      </w:r>
      <w:r>
        <w:rPr>
          <w:rFonts w:hint="eastAsia" w:ascii="华文楷体" w:hAnsi="华文楷体" w:eastAsia="华文楷体" w:cs="华文楷体"/>
          <w:color w:val="0000FF"/>
        </w:rPr>
        <w:t>：具体做法可参见《建筑结构隔震构造详图》（</w:t>
      </w:r>
      <w:r>
        <w:rPr>
          <w:rFonts w:ascii="华文楷体" w:hAnsi="华文楷体" w:eastAsia="华文楷体" w:cs="华文楷体"/>
          <w:color w:val="0000FF"/>
        </w:rPr>
        <w:t>03SG610-1</w:t>
      </w:r>
      <w:r>
        <w:rPr>
          <w:rFonts w:hint="eastAsia" w:ascii="华文楷体" w:hAnsi="华文楷体" w:eastAsia="华文楷体" w:cs="华文楷体"/>
          <w:color w:val="0000FF"/>
        </w:rPr>
        <w:t>）。</w:t>
      </w:r>
    </w:p>
    <w:p>
      <w:pPr>
        <w:pStyle w:val="107"/>
        <w:spacing w:before="156" w:after="156"/>
        <w:jc w:val="center"/>
      </w:pPr>
      <w:r>
        <w:rPr>
          <w:rFonts w:hint="eastAsia"/>
        </w:rPr>
        <w:t>穿过隔震层的管线</w:t>
      </w:r>
    </w:p>
    <w:p>
      <w:pPr>
        <w:pStyle w:val="67"/>
        <w:spacing w:before="156" w:after="156"/>
      </w:pPr>
      <w:r>
        <w:rPr>
          <w:rFonts w:hint="eastAsia"/>
        </w:rPr>
        <w:t>柔性管线在隔震层处预留的伸展长度不应小于隔离缝宽度的1.4倍。</w:t>
      </w:r>
    </w:p>
    <w:p>
      <w:pPr>
        <w:pStyle w:val="67"/>
        <w:spacing w:before="156" w:after="156"/>
      </w:pPr>
      <w:r>
        <w:rPr>
          <w:rFonts w:hint="eastAsia"/>
        </w:rPr>
        <w:t>重要管道、可能泄露有害介质或可燃介质的管道，隔震层处应采用柔性接头或柔性连接段，预留的伸展长度不应小于隔离缝宽度的1.4倍。</w:t>
      </w:r>
    </w:p>
    <w:p>
      <w:pPr>
        <w:pStyle w:val="67"/>
        <w:spacing w:before="156" w:after="156"/>
      </w:pPr>
      <w:r>
        <w:rPr>
          <w:rFonts w:hint="eastAsia"/>
        </w:rPr>
        <w:t>利用构件钢筋作避雷针时，应采用柔性导线连接隔震层上部结构和下部结构的钢筋。其预留的伸展长度不应小于隔离缝宽度的1.4倍。</w:t>
      </w:r>
    </w:p>
    <w:p>
      <w:r>
        <w:rPr>
          <w:rFonts w:hint="eastAsia" w:ascii="华文楷体" w:hAnsi="华文楷体" w:eastAsia="华文楷体" w:cs="华文楷体"/>
          <w:color w:val="0000FF"/>
        </w:rPr>
        <w:t>条文说明(</w:t>
      </w:r>
      <w:r>
        <w:rPr>
          <w:rFonts w:ascii="华文楷体" w:hAnsi="华文楷体" w:eastAsia="华文楷体" w:cs="华文楷体"/>
          <w:color w:val="0000FF"/>
        </w:rPr>
        <w:t>14.5.1~14.5.3)</w:t>
      </w:r>
      <w:r>
        <w:rPr>
          <w:rFonts w:hint="eastAsia" w:ascii="华文楷体" w:hAnsi="华文楷体" w:eastAsia="华文楷体" w:cs="华文楷体"/>
          <w:color w:val="0000FF"/>
        </w:rPr>
        <w:t>：采用柔性连接的设备配管、配线，地震时管道的柔性连接部位不发生破坏，避免发生次生灾害和丧失使用功能。具有足够伸展长度的柔性管线在地震时能够不阻碍隔震层水平运动，同时不会发生破坏而导致次生灾害的发生。穿越隔震层的柔性管线应满足《建筑隔震柔性管道》JG/T541的要求。</w:t>
      </w:r>
    </w:p>
    <w:p>
      <w:pPr>
        <w:pStyle w:val="58"/>
        <w:ind w:firstLine="420"/>
        <w:rPr>
          <w:rFonts w:hint="eastAsia"/>
        </w:rPr>
      </w:pPr>
    </w:p>
    <w:p>
      <w:pPr>
        <w:widowControl/>
        <w:adjustRightInd/>
        <w:spacing w:line="240" w:lineRule="auto"/>
        <w:jc w:val="left"/>
        <w:rPr>
          <w:rFonts w:ascii="宋体" w:hAnsi="Times New Roman"/>
          <w:kern w:val="0"/>
          <w:szCs w:val="20"/>
        </w:rPr>
      </w:pPr>
      <w:r>
        <w:br w:type="page"/>
      </w:r>
    </w:p>
    <w:p>
      <w:pPr>
        <w:pStyle w:val="106"/>
        <w:spacing w:before="312" w:after="312"/>
        <w:jc w:val="center"/>
      </w:pPr>
      <w:bookmarkStart w:id="63" w:name="_Toc92414105"/>
      <w:r>
        <w:rPr>
          <w:rFonts w:hint="eastAsia"/>
        </w:rPr>
        <w:t>多、高层隔震结构设计</w:t>
      </w:r>
      <w:bookmarkEnd w:id="63"/>
    </w:p>
    <w:p>
      <w:pPr>
        <w:pStyle w:val="107"/>
        <w:spacing w:before="156" w:after="156"/>
        <w:jc w:val="center"/>
      </w:pPr>
      <w:r>
        <w:rPr>
          <w:rFonts w:hint="eastAsia"/>
        </w:rPr>
        <w:t>一般规定</w:t>
      </w:r>
    </w:p>
    <w:p>
      <w:pPr>
        <w:pStyle w:val="67"/>
        <w:spacing w:before="156" w:after="156"/>
      </w:pPr>
      <w:r>
        <w:rPr>
          <w:rFonts w:hint="eastAsia"/>
        </w:rPr>
        <w:t>本章适用于多高层钢筋混凝土结构，钢结构，及钢-混凝土组合结构的隔震建筑设计。</w:t>
      </w:r>
    </w:p>
    <w:p>
      <w:pPr>
        <w:pStyle w:val="67"/>
        <w:spacing w:before="156" w:after="156"/>
      </w:pPr>
      <w:r>
        <w:rPr>
          <w:rFonts w:hint="eastAsia"/>
        </w:rPr>
        <w:t>隔震建筑的最大适用高度宜符合表15.1.2a和表15.1.2b的要求。当建筑高度超过150m时，应进行论证并采取有效的抗倾覆措施</w:t>
      </w:r>
    </w:p>
    <w:p>
      <w:pPr>
        <w:pStyle w:val="58"/>
        <w:ind w:firstLine="420"/>
        <w:jc w:val="center"/>
      </w:pPr>
      <w:r>
        <w:rPr>
          <w:rFonts w:hint="eastAsia"/>
        </w:rPr>
        <w:t>表 15.1.2a现浇钢筋混凝土结构隔震建筑的最大适用高度（m）</w:t>
      </w:r>
    </w:p>
    <w:tbl>
      <w:tblPr>
        <w:tblStyle w:val="27"/>
        <w:tblW w:w="8325"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750"/>
        <w:gridCol w:w="1407"/>
        <w:gridCol w:w="1290"/>
        <w:gridCol w:w="1292"/>
        <w:gridCol w:w="1292"/>
        <w:gridCol w:w="1294"/>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340" w:hRule="atLeast"/>
          <w:jc w:val="center"/>
        </w:trPr>
        <w:tc>
          <w:tcPr>
            <w:tcW w:w="1750" w:type="dxa"/>
            <w:vMerge w:val="restart"/>
            <w:tcBorders>
              <w:top w:val="single" w:color="000000" w:sz="8" w:space="0"/>
            </w:tcBorders>
            <w:shd w:val="clear" w:color="auto" w:fill="auto"/>
            <w:vAlign w:val="center"/>
          </w:tcPr>
          <w:p>
            <w:pPr>
              <w:snapToGrid w:val="0"/>
              <w:spacing w:line="240" w:lineRule="auto"/>
              <w:jc w:val="center"/>
              <w:rPr>
                <w:rFonts w:asciiTheme="minorHAnsi" w:hAnsiTheme="minorHAnsi" w:eastAsiaTheme="minorEastAsia"/>
                <w:bCs/>
                <w:kern w:val="0"/>
                <w:sz w:val="18"/>
                <w:szCs w:val="18"/>
              </w:rPr>
            </w:pPr>
            <w:r>
              <w:rPr>
                <w:rFonts w:hint="eastAsia" w:hAnsi="宋体" w:asciiTheme="minorHAnsi" w:eastAsiaTheme="minorEastAsia"/>
                <w:bCs/>
                <w:kern w:val="0"/>
                <w:sz w:val="18"/>
                <w:szCs w:val="18"/>
              </w:rPr>
              <w:t>结构类型</w:t>
            </w:r>
          </w:p>
        </w:tc>
        <w:tc>
          <w:tcPr>
            <w:tcW w:w="6575" w:type="dxa"/>
            <w:gridSpan w:val="5"/>
            <w:tcBorders>
              <w:top w:val="single" w:color="000000" w:sz="8" w:space="0"/>
              <w:bottom w:val="single" w:color="000000" w:sz="8" w:space="0"/>
            </w:tcBorders>
            <w:shd w:val="clear" w:color="auto" w:fill="auto"/>
            <w:vAlign w:val="center"/>
          </w:tcPr>
          <w:p>
            <w:pPr>
              <w:snapToGrid w:val="0"/>
              <w:spacing w:line="240" w:lineRule="auto"/>
              <w:jc w:val="center"/>
              <w:rPr>
                <w:rFonts w:asciiTheme="minorHAnsi" w:hAnsiTheme="minorHAnsi" w:eastAsiaTheme="minorEastAsia"/>
                <w:bCs/>
                <w:kern w:val="0"/>
                <w:sz w:val="18"/>
                <w:szCs w:val="18"/>
              </w:rPr>
            </w:pPr>
            <w:r>
              <w:rPr>
                <w:rFonts w:hint="eastAsia" w:hAnsi="宋体" w:asciiTheme="minorHAnsi" w:eastAsiaTheme="minorEastAsia"/>
                <w:bCs/>
                <w:kern w:val="0"/>
                <w:sz w:val="18"/>
                <w:szCs w:val="18"/>
              </w:rPr>
              <w:t>烈度</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50" w:type="dxa"/>
            <w:vMerge w:val="continue"/>
            <w:shd w:val="clear" w:color="auto" w:fill="auto"/>
            <w:vAlign w:val="center"/>
          </w:tcPr>
          <w:p>
            <w:pPr>
              <w:widowControl/>
              <w:snapToGrid w:val="0"/>
              <w:spacing w:line="240" w:lineRule="auto"/>
              <w:jc w:val="center"/>
              <w:rPr>
                <w:rFonts w:asciiTheme="minorHAnsi" w:hAnsiTheme="minorHAnsi" w:eastAsiaTheme="minorEastAsia"/>
                <w:b/>
                <w:bCs/>
                <w:kern w:val="0"/>
                <w:sz w:val="18"/>
                <w:szCs w:val="18"/>
              </w:rPr>
            </w:pPr>
          </w:p>
        </w:tc>
        <w:tc>
          <w:tcPr>
            <w:tcW w:w="1407" w:type="dxa"/>
            <w:tcBorders>
              <w:top w:val="single" w:color="000000" w:sz="8" w:space="0"/>
            </w:tcBorders>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6</w:t>
            </w:r>
            <w:r>
              <w:rPr>
                <w:rFonts w:hint="eastAsia" w:asciiTheme="minorHAnsi" w:hAnsiTheme="minorHAnsi" w:eastAsiaTheme="minorEastAsia"/>
                <w:kern w:val="0"/>
                <w:sz w:val="18"/>
                <w:szCs w:val="18"/>
              </w:rPr>
              <w:t>度</w:t>
            </w:r>
          </w:p>
        </w:tc>
        <w:tc>
          <w:tcPr>
            <w:tcW w:w="1290" w:type="dxa"/>
            <w:tcBorders>
              <w:top w:val="single" w:color="000000" w:sz="8" w:space="0"/>
            </w:tcBorders>
            <w:shd w:val="clear" w:color="auto" w:fill="auto"/>
            <w:vAlign w:val="center"/>
          </w:tcPr>
          <w:p>
            <w:pPr>
              <w:snapToGrid w:val="0"/>
              <w:spacing w:line="240" w:lineRule="auto"/>
              <w:jc w:val="center"/>
              <w:rPr>
                <w:rFonts w:asciiTheme="minorHAnsi" w:hAnsiTheme="minorHAnsi" w:eastAsiaTheme="minorEastAsia"/>
                <w:bCs/>
                <w:kern w:val="0"/>
                <w:sz w:val="18"/>
                <w:szCs w:val="18"/>
              </w:rPr>
            </w:pPr>
            <w:r>
              <w:rPr>
                <w:rFonts w:asciiTheme="minorHAnsi" w:hAnsiTheme="minorHAnsi" w:eastAsiaTheme="minorEastAsia"/>
                <w:bCs/>
                <w:kern w:val="0"/>
                <w:sz w:val="18"/>
                <w:szCs w:val="18"/>
              </w:rPr>
              <w:t>7</w:t>
            </w:r>
            <w:r>
              <w:rPr>
                <w:rFonts w:hint="eastAsia" w:asciiTheme="minorHAnsi" w:hAnsiTheme="minorHAnsi" w:eastAsiaTheme="minorEastAsia"/>
                <w:bCs/>
                <w:kern w:val="0"/>
                <w:sz w:val="18"/>
                <w:szCs w:val="18"/>
              </w:rPr>
              <w:t>度</w:t>
            </w:r>
          </w:p>
        </w:tc>
        <w:tc>
          <w:tcPr>
            <w:tcW w:w="1292" w:type="dxa"/>
            <w:tcBorders>
              <w:top w:val="single" w:color="000000" w:sz="8" w:space="0"/>
            </w:tcBorders>
            <w:shd w:val="clear" w:color="auto" w:fill="auto"/>
            <w:vAlign w:val="center"/>
          </w:tcPr>
          <w:p>
            <w:pPr>
              <w:snapToGrid w:val="0"/>
              <w:spacing w:line="240" w:lineRule="auto"/>
              <w:jc w:val="center"/>
              <w:rPr>
                <w:rFonts w:asciiTheme="minorHAnsi" w:hAnsiTheme="minorHAnsi" w:eastAsiaTheme="minorEastAsia"/>
                <w:bCs/>
                <w:kern w:val="0"/>
                <w:sz w:val="18"/>
                <w:szCs w:val="18"/>
              </w:rPr>
            </w:pPr>
            <w:r>
              <w:rPr>
                <w:rFonts w:asciiTheme="minorHAnsi" w:hAnsiTheme="minorHAnsi" w:eastAsiaTheme="minorEastAsia"/>
                <w:bCs/>
                <w:kern w:val="0"/>
                <w:sz w:val="18"/>
                <w:szCs w:val="18"/>
              </w:rPr>
              <w:t>8</w:t>
            </w:r>
            <w:r>
              <w:rPr>
                <w:rFonts w:hint="eastAsia" w:asciiTheme="minorHAnsi" w:hAnsiTheme="minorHAnsi" w:eastAsiaTheme="minorEastAsia"/>
                <w:bCs/>
                <w:kern w:val="0"/>
                <w:sz w:val="18"/>
                <w:szCs w:val="18"/>
              </w:rPr>
              <w:t>度</w:t>
            </w:r>
            <w:r>
              <w:rPr>
                <w:rFonts w:hint="eastAsia" w:hAnsi="宋体" w:asciiTheme="minorHAnsi" w:eastAsiaTheme="minorEastAsia"/>
                <w:bCs/>
                <w:kern w:val="0"/>
                <w:sz w:val="18"/>
                <w:szCs w:val="18"/>
              </w:rPr>
              <w:t>（</w:t>
            </w:r>
            <w:r>
              <w:rPr>
                <w:rFonts w:asciiTheme="minorHAnsi" w:hAnsiTheme="minorHAnsi" w:eastAsiaTheme="minorEastAsia"/>
                <w:bCs/>
                <w:kern w:val="0"/>
                <w:sz w:val="18"/>
                <w:szCs w:val="18"/>
              </w:rPr>
              <w:t>0.2g</w:t>
            </w:r>
            <w:r>
              <w:rPr>
                <w:rFonts w:hint="eastAsia" w:hAnsi="宋体" w:asciiTheme="minorHAnsi" w:eastAsiaTheme="minorEastAsia"/>
                <w:bCs/>
                <w:kern w:val="0"/>
                <w:sz w:val="18"/>
                <w:szCs w:val="18"/>
              </w:rPr>
              <w:t>）</w:t>
            </w:r>
          </w:p>
        </w:tc>
        <w:tc>
          <w:tcPr>
            <w:tcW w:w="1292" w:type="dxa"/>
            <w:tcBorders>
              <w:top w:val="single" w:color="000000" w:sz="8" w:space="0"/>
            </w:tcBorders>
            <w:shd w:val="clear" w:color="auto" w:fill="auto"/>
            <w:vAlign w:val="center"/>
          </w:tcPr>
          <w:p>
            <w:pPr>
              <w:snapToGrid w:val="0"/>
              <w:spacing w:line="240" w:lineRule="auto"/>
              <w:jc w:val="center"/>
              <w:rPr>
                <w:rFonts w:asciiTheme="minorHAnsi" w:hAnsiTheme="minorHAnsi" w:eastAsiaTheme="minorEastAsia"/>
                <w:bCs/>
                <w:kern w:val="0"/>
                <w:sz w:val="18"/>
                <w:szCs w:val="18"/>
              </w:rPr>
            </w:pPr>
            <w:r>
              <w:rPr>
                <w:rFonts w:asciiTheme="minorHAnsi" w:hAnsiTheme="minorHAnsi" w:eastAsiaTheme="minorEastAsia"/>
                <w:bCs/>
                <w:kern w:val="0"/>
                <w:sz w:val="18"/>
                <w:szCs w:val="18"/>
              </w:rPr>
              <w:t>8</w:t>
            </w:r>
            <w:r>
              <w:rPr>
                <w:rFonts w:hint="eastAsia" w:asciiTheme="minorHAnsi" w:hAnsiTheme="minorHAnsi" w:eastAsiaTheme="minorEastAsia"/>
                <w:bCs/>
                <w:kern w:val="0"/>
                <w:sz w:val="18"/>
                <w:szCs w:val="18"/>
              </w:rPr>
              <w:t>度</w:t>
            </w:r>
            <w:r>
              <w:rPr>
                <w:rFonts w:asciiTheme="minorHAnsi" w:hAnsiTheme="minorHAnsi" w:eastAsiaTheme="minorEastAsia"/>
                <w:bCs/>
                <w:kern w:val="0"/>
                <w:sz w:val="18"/>
                <w:szCs w:val="18"/>
              </w:rPr>
              <w:t>(0.3g)</w:t>
            </w:r>
          </w:p>
        </w:tc>
        <w:tc>
          <w:tcPr>
            <w:tcW w:w="1294" w:type="dxa"/>
            <w:tcBorders>
              <w:top w:val="single" w:color="000000" w:sz="8" w:space="0"/>
            </w:tcBorders>
            <w:shd w:val="clear" w:color="auto" w:fill="auto"/>
            <w:vAlign w:val="center"/>
          </w:tcPr>
          <w:p>
            <w:pPr>
              <w:snapToGrid w:val="0"/>
              <w:spacing w:line="240" w:lineRule="auto"/>
              <w:jc w:val="center"/>
              <w:rPr>
                <w:rFonts w:asciiTheme="minorHAnsi" w:hAnsiTheme="minorHAnsi" w:eastAsiaTheme="minorEastAsia"/>
                <w:bCs/>
                <w:kern w:val="0"/>
                <w:sz w:val="18"/>
                <w:szCs w:val="18"/>
              </w:rPr>
            </w:pPr>
            <w:r>
              <w:rPr>
                <w:rFonts w:asciiTheme="minorHAnsi" w:hAnsiTheme="minorHAnsi" w:eastAsiaTheme="minorEastAsia"/>
                <w:bCs/>
                <w:kern w:val="0"/>
                <w:sz w:val="18"/>
                <w:szCs w:val="18"/>
              </w:rPr>
              <w:t>9</w:t>
            </w:r>
            <w:r>
              <w:rPr>
                <w:rFonts w:hint="eastAsia" w:asciiTheme="minorHAnsi" w:hAnsiTheme="minorHAnsi" w:eastAsiaTheme="minorEastAsia"/>
                <w:bCs/>
                <w:kern w:val="0"/>
                <w:sz w:val="18"/>
                <w:szCs w:val="18"/>
              </w:rPr>
              <w:t>度</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340" w:hRule="atLeast"/>
          <w:jc w:val="center"/>
        </w:trPr>
        <w:tc>
          <w:tcPr>
            <w:tcW w:w="1750" w:type="dxa"/>
            <w:shd w:val="clear" w:color="auto" w:fill="auto"/>
            <w:vAlign w:val="center"/>
          </w:tcPr>
          <w:p>
            <w:pPr>
              <w:snapToGrid w:val="0"/>
              <w:spacing w:line="240" w:lineRule="auto"/>
              <w:jc w:val="center"/>
              <w:rPr>
                <w:rFonts w:asciiTheme="minorHAnsi" w:hAnsiTheme="minorHAnsi" w:eastAsiaTheme="minorEastAsia"/>
                <w:bCs/>
                <w:kern w:val="0"/>
                <w:sz w:val="18"/>
                <w:szCs w:val="18"/>
              </w:rPr>
            </w:pPr>
            <w:r>
              <w:rPr>
                <w:rFonts w:hint="eastAsia" w:hAnsi="宋体" w:asciiTheme="minorHAnsi" w:eastAsiaTheme="minorEastAsia"/>
                <w:bCs/>
                <w:kern w:val="0"/>
                <w:sz w:val="18"/>
                <w:szCs w:val="18"/>
              </w:rPr>
              <w:t>框架</w:t>
            </w:r>
          </w:p>
        </w:tc>
        <w:tc>
          <w:tcPr>
            <w:tcW w:w="1407"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60</w:t>
            </w:r>
          </w:p>
        </w:tc>
        <w:tc>
          <w:tcPr>
            <w:tcW w:w="1290"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50</w:t>
            </w:r>
          </w:p>
        </w:tc>
        <w:tc>
          <w:tcPr>
            <w:tcW w:w="1292"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40</w:t>
            </w:r>
          </w:p>
        </w:tc>
        <w:tc>
          <w:tcPr>
            <w:tcW w:w="1292"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35</w:t>
            </w:r>
          </w:p>
        </w:tc>
        <w:tc>
          <w:tcPr>
            <w:tcW w:w="1294"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24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50" w:type="dxa"/>
            <w:shd w:val="clear" w:color="auto" w:fill="auto"/>
            <w:vAlign w:val="center"/>
          </w:tcPr>
          <w:p>
            <w:pPr>
              <w:snapToGrid w:val="0"/>
              <w:spacing w:line="240" w:lineRule="auto"/>
              <w:jc w:val="center"/>
              <w:rPr>
                <w:rFonts w:asciiTheme="minorHAnsi" w:hAnsiTheme="minorHAnsi" w:eastAsiaTheme="minorEastAsia"/>
                <w:bCs/>
                <w:kern w:val="0"/>
                <w:sz w:val="18"/>
                <w:szCs w:val="18"/>
              </w:rPr>
            </w:pPr>
            <w:r>
              <w:rPr>
                <w:rFonts w:hint="eastAsia" w:hAnsi="宋体" w:asciiTheme="minorHAnsi" w:eastAsiaTheme="minorEastAsia"/>
                <w:bCs/>
                <w:kern w:val="0"/>
                <w:sz w:val="18"/>
                <w:szCs w:val="18"/>
              </w:rPr>
              <w:t>框架－抗震墙</w:t>
            </w:r>
          </w:p>
        </w:tc>
        <w:tc>
          <w:tcPr>
            <w:tcW w:w="1407"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130</w:t>
            </w:r>
          </w:p>
        </w:tc>
        <w:tc>
          <w:tcPr>
            <w:tcW w:w="1290"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120</w:t>
            </w:r>
          </w:p>
        </w:tc>
        <w:tc>
          <w:tcPr>
            <w:tcW w:w="1292"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100</w:t>
            </w:r>
          </w:p>
        </w:tc>
        <w:tc>
          <w:tcPr>
            <w:tcW w:w="1292"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80</w:t>
            </w:r>
          </w:p>
        </w:tc>
        <w:tc>
          <w:tcPr>
            <w:tcW w:w="1294"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50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340" w:hRule="atLeast"/>
          <w:jc w:val="center"/>
        </w:trPr>
        <w:tc>
          <w:tcPr>
            <w:tcW w:w="1750" w:type="dxa"/>
            <w:shd w:val="clear" w:color="auto" w:fill="auto"/>
            <w:vAlign w:val="center"/>
          </w:tcPr>
          <w:p>
            <w:pPr>
              <w:snapToGrid w:val="0"/>
              <w:spacing w:line="240" w:lineRule="auto"/>
              <w:jc w:val="center"/>
              <w:rPr>
                <w:rFonts w:asciiTheme="minorHAnsi" w:hAnsiTheme="minorHAnsi" w:eastAsiaTheme="minorEastAsia"/>
                <w:bCs/>
                <w:kern w:val="0"/>
                <w:sz w:val="18"/>
                <w:szCs w:val="18"/>
              </w:rPr>
            </w:pPr>
            <w:r>
              <w:rPr>
                <w:rFonts w:hint="eastAsia" w:hAnsi="宋体" w:asciiTheme="minorHAnsi" w:eastAsiaTheme="minorEastAsia"/>
                <w:bCs/>
                <w:kern w:val="0"/>
                <w:sz w:val="18"/>
                <w:szCs w:val="18"/>
              </w:rPr>
              <w:t>抗震墙</w:t>
            </w:r>
          </w:p>
        </w:tc>
        <w:tc>
          <w:tcPr>
            <w:tcW w:w="1407"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140</w:t>
            </w:r>
          </w:p>
        </w:tc>
        <w:tc>
          <w:tcPr>
            <w:tcW w:w="1290"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120</w:t>
            </w:r>
          </w:p>
        </w:tc>
        <w:tc>
          <w:tcPr>
            <w:tcW w:w="1292"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100</w:t>
            </w:r>
          </w:p>
        </w:tc>
        <w:tc>
          <w:tcPr>
            <w:tcW w:w="1292"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80</w:t>
            </w:r>
          </w:p>
        </w:tc>
        <w:tc>
          <w:tcPr>
            <w:tcW w:w="1294"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60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340" w:hRule="atLeast"/>
          <w:jc w:val="center"/>
        </w:trPr>
        <w:tc>
          <w:tcPr>
            <w:tcW w:w="1750" w:type="dxa"/>
            <w:shd w:val="clear" w:color="auto" w:fill="auto"/>
            <w:vAlign w:val="center"/>
          </w:tcPr>
          <w:p>
            <w:pPr>
              <w:snapToGrid w:val="0"/>
              <w:spacing w:line="240" w:lineRule="auto"/>
              <w:jc w:val="center"/>
              <w:rPr>
                <w:rFonts w:asciiTheme="minorHAnsi" w:hAnsiTheme="minorHAnsi" w:eastAsiaTheme="minorEastAsia"/>
                <w:bCs/>
                <w:kern w:val="0"/>
                <w:sz w:val="18"/>
                <w:szCs w:val="18"/>
              </w:rPr>
            </w:pPr>
            <w:r>
              <w:rPr>
                <w:rFonts w:hint="eastAsia" w:hAnsi="宋体" w:asciiTheme="minorHAnsi" w:eastAsiaTheme="minorEastAsia"/>
                <w:bCs/>
                <w:kern w:val="0"/>
                <w:sz w:val="18"/>
                <w:szCs w:val="18"/>
              </w:rPr>
              <w:t>部分框支抗震墙</w:t>
            </w:r>
          </w:p>
        </w:tc>
        <w:tc>
          <w:tcPr>
            <w:tcW w:w="1407"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120</w:t>
            </w:r>
          </w:p>
        </w:tc>
        <w:tc>
          <w:tcPr>
            <w:tcW w:w="1290"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100</w:t>
            </w:r>
          </w:p>
        </w:tc>
        <w:tc>
          <w:tcPr>
            <w:tcW w:w="1292"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80</w:t>
            </w:r>
          </w:p>
        </w:tc>
        <w:tc>
          <w:tcPr>
            <w:tcW w:w="1292"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50</w:t>
            </w:r>
          </w:p>
        </w:tc>
        <w:tc>
          <w:tcPr>
            <w:tcW w:w="1294"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50" w:type="dxa"/>
            <w:shd w:val="clear" w:color="auto" w:fill="auto"/>
            <w:vAlign w:val="center"/>
          </w:tcPr>
          <w:p>
            <w:pPr>
              <w:snapToGrid w:val="0"/>
              <w:spacing w:line="240" w:lineRule="auto"/>
              <w:jc w:val="center"/>
              <w:rPr>
                <w:rFonts w:asciiTheme="minorHAnsi" w:hAnsiTheme="minorHAnsi" w:eastAsiaTheme="minorEastAsia"/>
                <w:bCs/>
                <w:kern w:val="0"/>
                <w:sz w:val="18"/>
                <w:szCs w:val="18"/>
              </w:rPr>
            </w:pPr>
            <w:r>
              <w:rPr>
                <w:rFonts w:hint="eastAsia" w:hAnsi="宋体" w:asciiTheme="minorHAnsi" w:eastAsiaTheme="minorEastAsia"/>
                <w:bCs/>
                <w:kern w:val="0"/>
                <w:sz w:val="18"/>
                <w:szCs w:val="18"/>
              </w:rPr>
              <w:t>框架－核心筒</w:t>
            </w:r>
          </w:p>
        </w:tc>
        <w:tc>
          <w:tcPr>
            <w:tcW w:w="1407"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150</w:t>
            </w:r>
          </w:p>
        </w:tc>
        <w:tc>
          <w:tcPr>
            <w:tcW w:w="1290"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130</w:t>
            </w:r>
          </w:p>
        </w:tc>
        <w:tc>
          <w:tcPr>
            <w:tcW w:w="1292"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100</w:t>
            </w:r>
          </w:p>
        </w:tc>
        <w:tc>
          <w:tcPr>
            <w:tcW w:w="1292"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90</w:t>
            </w:r>
          </w:p>
        </w:tc>
        <w:tc>
          <w:tcPr>
            <w:tcW w:w="1294"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70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340" w:hRule="atLeast"/>
          <w:jc w:val="center"/>
        </w:trPr>
        <w:tc>
          <w:tcPr>
            <w:tcW w:w="1750" w:type="dxa"/>
            <w:shd w:val="clear" w:color="auto" w:fill="auto"/>
            <w:vAlign w:val="center"/>
          </w:tcPr>
          <w:p>
            <w:pPr>
              <w:snapToGrid w:val="0"/>
              <w:spacing w:line="240" w:lineRule="auto"/>
              <w:jc w:val="center"/>
              <w:rPr>
                <w:rFonts w:asciiTheme="minorHAnsi" w:hAnsiTheme="minorHAnsi" w:eastAsiaTheme="minorEastAsia"/>
                <w:bCs/>
                <w:kern w:val="0"/>
                <w:sz w:val="18"/>
                <w:szCs w:val="18"/>
              </w:rPr>
            </w:pPr>
            <w:r>
              <w:rPr>
                <w:rFonts w:hint="eastAsia" w:hAnsi="宋体" w:asciiTheme="minorHAnsi" w:eastAsiaTheme="minorEastAsia"/>
                <w:bCs/>
                <w:kern w:val="0"/>
                <w:sz w:val="18"/>
                <w:szCs w:val="18"/>
              </w:rPr>
              <w:t>筒中筒</w:t>
            </w:r>
          </w:p>
        </w:tc>
        <w:tc>
          <w:tcPr>
            <w:tcW w:w="1407"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150</w:t>
            </w:r>
          </w:p>
        </w:tc>
        <w:tc>
          <w:tcPr>
            <w:tcW w:w="1290"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150</w:t>
            </w:r>
          </w:p>
        </w:tc>
        <w:tc>
          <w:tcPr>
            <w:tcW w:w="1292"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120</w:t>
            </w:r>
          </w:p>
        </w:tc>
        <w:tc>
          <w:tcPr>
            <w:tcW w:w="1292"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100</w:t>
            </w:r>
          </w:p>
        </w:tc>
        <w:tc>
          <w:tcPr>
            <w:tcW w:w="1294"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80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50" w:type="dxa"/>
            <w:tcBorders>
              <w:bottom w:val="single" w:color="000000" w:sz="8" w:space="0"/>
            </w:tcBorders>
            <w:shd w:val="clear" w:color="auto" w:fill="auto"/>
            <w:vAlign w:val="center"/>
          </w:tcPr>
          <w:p>
            <w:pPr>
              <w:snapToGrid w:val="0"/>
              <w:spacing w:line="240" w:lineRule="auto"/>
              <w:jc w:val="center"/>
              <w:rPr>
                <w:rFonts w:asciiTheme="minorHAnsi" w:hAnsiTheme="minorHAnsi" w:eastAsiaTheme="minorEastAsia"/>
                <w:bCs/>
                <w:kern w:val="0"/>
                <w:sz w:val="18"/>
                <w:szCs w:val="18"/>
              </w:rPr>
            </w:pPr>
            <w:r>
              <w:rPr>
                <w:rFonts w:hint="eastAsia" w:hAnsi="宋体" w:asciiTheme="minorHAnsi" w:eastAsiaTheme="minorEastAsia"/>
                <w:bCs/>
                <w:kern w:val="0"/>
                <w:sz w:val="18"/>
                <w:szCs w:val="18"/>
              </w:rPr>
              <w:t>板柱－抗震墙</w:t>
            </w:r>
          </w:p>
        </w:tc>
        <w:tc>
          <w:tcPr>
            <w:tcW w:w="1407" w:type="dxa"/>
            <w:tcBorders>
              <w:bottom w:val="single" w:color="000000" w:sz="8" w:space="0"/>
            </w:tcBorders>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80</w:t>
            </w:r>
          </w:p>
        </w:tc>
        <w:tc>
          <w:tcPr>
            <w:tcW w:w="1290" w:type="dxa"/>
            <w:tcBorders>
              <w:bottom w:val="single" w:color="000000" w:sz="8" w:space="0"/>
            </w:tcBorders>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70</w:t>
            </w:r>
          </w:p>
        </w:tc>
        <w:tc>
          <w:tcPr>
            <w:tcW w:w="1292" w:type="dxa"/>
            <w:tcBorders>
              <w:bottom w:val="single" w:color="000000" w:sz="8" w:space="0"/>
            </w:tcBorders>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55</w:t>
            </w:r>
          </w:p>
        </w:tc>
        <w:tc>
          <w:tcPr>
            <w:tcW w:w="1292" w:type="dxa"/>
            <w:tcBorders>
              <w:bottom w:val="single" w:color="000000" w:sz="8" w:space="0"/>
            </w:tcBorders>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40</w:t>
            </w:r>
          </w:p>
        </w:tc>
        <w:tc>
          <w:tcPr>
            <w:tcW w:w="1294" w:type="dxa"/>
            <w:tcBorders>
              <w:bottom w:val="single" w:color="000000" w:sz="8" w:space="0"/>
            </w:tcBorders>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w:t>
            </w:r>
          </w:p>
        </w:tc>
      </w:tr>
    </w:tbl>
    <w:p>
      <w:pPr>
        <w:pStyle w:val="58"/>
        <w:ind w:firstLine="420"/>
        <w:jc w:val="center"/>
      </w:pPr>
    </w:p>
    <w:p>
      <w:pPr>
        <w:pStyle w:val="58"/>
        <w:ind w:firstLine="420"/>
        <w:jc w:val="center"/>
      </w:pPr>
      <w:r>
        <w:rPr>
          <w:rFonts w:hint="eastAsia"/>
        </w:rPr>
        <w:t>表15.1.2b钢结构隔震建筑的最大适用高度（m）</w:t>
      </w:r>
    </w:p>
    <w:tbl>
      <w:tblPr>
        <w:tblStyle w:val="27"/>
        <w:tblW w:w="8325"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3368"/>
        <w:gridCol w:w="807"/>
        <w:gridCol w:w="913"/>
        <w:gridCol w:w="1254"/>
        <w:gridCol w:w="992"/>
        <w:gridCol w:w="991"/>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8" w:type="dxa"/>
            <w:vMerge w:val="restart"/>
            <w:tcBorders>
              <w:top w:val="single" w:color="000000" w:sz="8" w:space="0"/>
            </w:tcBorders>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hint="eastAsia" w:hAnsi="宋体" w:asciiTheme="minorHAnsi" w:eastAsiaTheme="minorEastAsia"/>
                <w:kern w:val="0"/>
                <w:sz w:val="18"/>
                <w:szCs w:val="18"/>
              </w:rPr>
              <w:t>结构类型</w:t>
            </w:r>
          </w:p>
        </w:tc>
        <w:tc>
          <w:tcPr>
            <w:tcW w:w="4957" w:type="dxa"/>
            <w:gridSpan w:val="5"/>
            <w:tcBorders>
              <w:top w:val="single" w:color="000000" w:sz="8" w:space="0"/>
              <w:bottom w:val="single" w:color="000000" w:sz="8" w:space="0"/>
            </w:tcBorders>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hint="eastAsia" w:hAnsi="宋体" w:asciiTheme="minorHAnsi" w:eastAsiaTheme="minorEastAsia"/>
                <w:kern w:val="0"/>
                <w:sz w:val="18"/>
                <w:szCs w:val="18"/>
              </w:rPr>
              <w:t>烈度</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8" w:type="dxa"/>
            <w:vMerge w:val="continue"/>
            <w:shd w:val="clear" w:color="auto" w:fill="auto"/>
            <w:vAlign w:val="center"/>
          </w:tcPr>
          <w:p>
            <w:pPr>
              <w:widowControl/>
              <w:snapToGrid w:val="0"/>
              <w:spacing w:line="240" w:lineRule="auto"/>
              <w:jc w:val="center"/>
              <w:rPr>
                <w:rFonts w:asciiTheme="minorHAnsi" w:hAnsiTheme="minorHAnsi" w:eastAsiaTheme="minorEastAsia"/>
                <w:b/>
                <w:bCs/>
                <w:kern w:val="0"/>
                <w:sz w:val="18"/>
                <w:szCs w:val="18"/>
              </w:rPr>
            </w:pPr>
          </w:p>
        </w:tc>
        <w:tc>
          <w:tcPr>
            <w:tcW w:w="807" w:type="dxa"/>
            <w:tcBorders>
              <w:top w:val="single" w:color="000000" w:sz="8" w:space="0"/>
            </w:tcBorders>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6</w:t>
            </w:r>
            <w:r>
              <w:rPr>
                <w:rFonts w:hint="eastAsia" w:asciiTheme="minorHAnsi" w:hAnsiTheme="minorHAnsi" w:eastAsiaTheme="minorEastAsia"/>
                <w:kern w:val="0"/>
                <w:sz w:val="18"/>
                <w:szCs w:val="18"/>
              </w:rPr>
              <w:t>度</w:t>
            </w:r>
          </w:p>
        </w:tc>
        <w:tc>
          <w:tcPr>
            <w:tcW w:w="913" w:type="dxa"/>
            <w:tcBorders>
              <w:top w:val="single" w:color="000000" w:sz="8" w:space="0"/>
            </w:tcBorders>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7</w:t>
            </w:r>
            <w:r>
              <w:rPr>
                <w:rFonts w:hint="eastAsia" w:asciiTheme="minorHAnsi" w:hAnsiTheme="minorHAnsi" w:eastAsiaTheme="minorEastAsia"/>
                <w:kern w:val="0"/>
                <w:sz w:val="18"/>
                <w:szCs w:val="18"/>
              </w:rPr>
              <w:t>度</w:t>
            </w:r>
          </w:p>
        </w:tc>
        <w:tc>
          <w:tcPr>
            <w:tcW w:w="1254" w:type="dxa"/>
            <w:tcBorders>
              <w:top w:val="single" w:color="000000" w:sz="8" w:space="0"/>
            </w:tcBorders>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8</w:t>
            </w:r>
            <w:r>
              <w:rPr>
                <w:rFonts w:hint="eastAsia" w:asciiTheme="minorHAnsi" w:hAnsiTheme="minorHAnsi" w:eastAsiaTheme="minorEastAsia"/>
                <w:kern w:val="0"/>
                <w:sz w:val="18"/>
                <w:szCs w:val="18"/>
              </w:rPr>
              <w:t>度</w:t>
            </w:r>
            <w:r>
              <w:rPr>
                <w:rFonts w:hint="eastAsia" w:hAnsi="宋体" w:asciiTheme="minorHAnsi" w:eastAsiaTheme="minorEastAsia"/>
                <w:kern w:val="0"/>
                <w:sz w:val="18"/>
                <w:szCs w:val="18"/>
              </w:rPr>
              <w:t>（</w:t>
            </w:r>
            <w:r>
              <w:rPr>
                <w:rFonts w:asciiTheme="minorHAnsi" w:hAnsiTheme="minorHAnsi" w:eastAsiaTheme="minorEastAsia"/>
                <w:kern w:val="0"/>
                <w:sz w:val="18"/>
                <w:szCs w:val="18"/>
              </w:rPr>
              <w:t>0.2g</w:t>
            </w:r>
            <w:r>
              <w:rPr>
                <w:rFonts w:hint="eastAsia" w:hAnsi="宋体" w:asciiTheme="minorHAnsi" w:eastAsiaTheme="minorEastAsia"/>
                <w:kern w:val="0"/>
                <w:sz w:val="18"/>
                <w:szCs w:val="18"/>
              </w:rPr>
              <w:t>）</w:t>
            </w:r>
          </w:p>
        </w:tc>
        <w:tc>
          <w:tcPr>
            <w:tcW w:w="992" w:type="dxa"/>
            <w:tcBorders>
              <w:top w:val="single" w:color="000000" w:sz="8" w:space="0"/>
            </w:tcBorders>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8</w:t>
            </w:r>
            <w:r>
              <w:rPr>
                <w:rFonts w:hint="eastAsia" w:asciiTheme="minorHAnsi" w:hAnsiTheme="minorHAnsi" w:eastAsiaTheme="minorEastAsia"/>
                <w:kern w:val="0"/>
                <w:sz w:val="18"/>
                <w:szCs w:val="18"/>
              </w:rPr>
              <w:t>度</w:t>
            </w:r>
            <w:r>
              <w:rPr>
                <w:rFonts w:asciiTheme="minorHAnsi" w:hAnsiTheme="minorHAnsi" w:eastAsiaTheme="minorEastAsia"/>
                <w:kern w:val="0"/>
                <w:sz w:val="18"/>
                <w:szCs w:val="18"/>
              </w:rPr>
              <w:t>(0.3g)</w:t>
            </w:r>
          </w:p>
        </w:tc>
        <w:tc>
          <w:tcPr>
            <w:tcW w:w="991" w:type="dxa"/>
            <w:tcBorders>
              <w:top w:val="single" w:color="000000" w:sz="8" w:space="0"/>
            </w:tcBorders>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asciiTheme="minorHAnsi" w:hAnsiTheme="minorHAnsi" w:eastAsiaTheme="minorEastAsia"/>
                <w:kern w:val="0"/>
                <w:sz w:val="18"/>
                <w:szCs w:val="18"/>
              </w:rPr>
              <w:t>9</w:t>
            </w:r>
            <w:r>
              <w:rPr>
                <w:rFonts w:hint="eastAsia" w:asciiTheme="minorHAnsi" w:hAnsiTheme="minorHAnsi" w:eastAsiaTheme="minorEastAsia"/>
                <w:kern w:val="0"/>
                <w:sz w:val="18"/>
                <w:szCs w:val="18"/>
              </w:rPr>
              <w:t>度</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8"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hint="eastAsia" w:hAnsi="宋体" w:asciiTheme="minorHAnsi" w:eastAsiaTheme="minorEastAsia"/>
                <w:kern w:val="0"/>
                <w:sz w:val="18"/>
                <w:szCs w:val="18"/>
              </w:rPr>
              <w:t>框架</w:t>
            </w:r>
          </w:p>
        </w:tc>
        <w:tc>
          <w:tcPr>
            <w:tcW w:w="807"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kern w:val="0"/>
                <w:sz w:val="18"/>
                <w:szCs w:val="18"/>
              </w:rPr>
              <w:t>110</w:t>
            </w:r>
          </w:p>
        </w:tc>
        <w:tc>
          <w:tcPr>
            <w:tcW w:w="913"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kern w:val="0"/>
                <w:sz w:val="18"/>
                <w:szCs w:val="18"/>
              </w:rPr>
              <w:t>90</w:t>
            </w:r>
          </w:p>
        </w:tc>
        <w:tc>
          <w:tcPr>
            <w:tcW w:w="1254"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kern w:val="0"/>
                <w:sz w:val="18"/>
                <w:szCs w:val="18"/>
              </w:rPr>
              <w:t>90</w:t>
            </w:r>
          </w:p>
        </w:tc>
        <w:tc>
          <w:tcPr>
            <w:tcW w:w="992"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kern w:val="0"/>
                <w:sz w:val="18"/>
                <w:szCs w:val="18"/>
              </w:rPr>
              <w:t>70</w:t>
            </w:r>
          </w:p>
        </w:tc>
        <w:tc>
          <w:tcPr>
            <w:tcW w:w="991"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kern w:val="0"/>
                <w:sz w:val="18"/>
                <w:szCs w:val="18"/>
              </w:rPr>
              <w:t>50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8"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hint="eastAsia" w:hAnsi="宋体" w:asciiTheme="minorHAnsi" w:eastAsiaTheme="minorEastAsia"/>
                <w:kern w:val="0"/>
                <w:sz w:val="18"/>
                <w:szCs w:val="18"/>
              </w:rPr>
              <w:t>框架</w:t>
            </w:r>
            <w:r>
              <w:rPr>
                <w:rFonts w:asciiTheme="minorHAnsi" w:hAnsiTheme="minorHAnsi" w:eastAsiaTheme="minorEastAsia"/>
                <w:kern w:val="0"/>
                <w:sz w:val="18"/>
                <w:szCs w:val="18"/>
              </w:rPr>
              <w:t>-</w:t>
            </w:r>
            <w:r>
              <w:rPr>
                <w:rFonts w:hint="eastAsia" w:hAnsi="宋体" w:asciiTheme="minorHAnsi" w:eastAsiaTheme="minorEastAsia"/>
                <w:kern w:val="0"/>
                <w:sz w:val="18"/>
                <w:szCs w:val="18"/>
              </w:rPr>
              <w:t>中心支撑</w:t>
            </w:r>
          </w:p>
        </w:tc>
        <w:tc>
          <w:tcPr>
            <w:tcW w:w="807"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kern w:val="0"/>
                <w:sz w:val="18"/>
                <w:szCs w:val="18"/>
              </w:rPr>
              <w:t>220</w:t>
            </w:r>
          </w:p>
        </w:tc>
        <w:tc>
          <w:tcPr>
            <w:tcW w:w="913"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kern w:val="0"/>
                <w:sz w:val="18"/>
                <w:szCs w:val="18"/>
              </w:rPr>
              <w:t>200</w:t>
            </w:r>
          </w:p>
        </w:tc>
        <w:tc>
          <w:tcPr>
            <w:tcW w:w="1254"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kern w:val="0"/>
                <w:sz w:val="18"/>
                <w:szCs w:val="18"/>
              </w:rPr>
              <w:t>180</w:t>
            </w:r>
          </w:p>
        </w:tc>
        <w:tc>
          <w:tcPr>
            <w:tcW w:w="992"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kern w:val="0"/>
                <w:sz w:val="18"/>
                <w:szCs w:val="18"/>
              </w:rPr>
              <w:t>150</w:t>
            </w:r>
          </w:p>
        </w:tc>
        <w:tc>
          <w:tcPr>
            <w:tcW w:w="991"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kern w:val="0"/>
                <w:sz w:val="18"/>
                <w:szCs w:val="18"/>
              </w:rPr>
              <w:t>120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8"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hint="eastAsia" w:hAnsi="宋体" w:asciiTheme="minorHAnsi" w:eastAsiaTheme="minorEastAsia"/>
                <w:kern w:val="0"/>
                <w:sz w:val="18"/>
                <w:szCs w:val="18"/>
              </w:rPr>
              <w:t>框架</w:t>
            </w:r>
            <w:r>
              <w:rPr>
                <w:rFonts w:asciiTheme="minorHAnsi" w:hAnsiTheme="minorHAnsi" w:eastAsiaTheme="minorEastAsia"/>
                <w:kern w:val="0"/>
                <w:sz w:val="18"/>
                <w:szCs w:val="18"/>
              </w:rPr>
              <w:t>-</w:t>
            </w:r>
            <w:r>
              <w:rPr>
                <w:rFonts w:hint="eastAsia" w:hAnsi="宋体" w:asciiTheme="minorHAnsi" w:eastAsiaTheme="minorEastAsia"/>
                <w:kern w:val="0"/>
                <w:sz w:val="18"/>
                <w:szCs w:val="18"/>
              </w:rPr>
              <w:t>偏心支撑，框架</w:t>
            </w:r>
            <w:r>
              <w:rPr>
                <w:rFonts w:asciiTheme="minorHAnsi" w:hAnsiTheme="minorHAnsi" w:eastAsiaTheme="minorEastAsia"/>
                <w:kern w:val="0"/>
                <w:sz w:val="18"/>
                <w:szCs w:val="18"/>
              </w:rPr>
              <w:t>-</w:t>
            </w:r>
            <w:r>
              <w:rPr>
                <w:rFonts w:hint="eastAsia" w:hAnsi="宋体" w:asciiTheme="minorHAnsi" w:eastAsiaTheme="minorEastAsia"/>
                <w:kern w:val="0"/>
                <w:sz w:val="18"/>
                <w:szCs w:val="18"/>
              </w:rPr>
              <w:t>屈曲约束支撑</w:t>
            </w:r>
          </w:p>
        </w:tc>
        <w:tc>
          <w:tcPr>
            <w:tcW w:w="807"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kern w:val="0"/>
                <w:sz w:val="18"/>
                <w:szCs w:val="18"/>
              </w:rPr>
              <w:t>240</w:t>
            </w:r>
          </w:p>
        </w:tc>
        <w:tc>
          <w:tcPr>
            <w:tcW w:w="913"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kern w:val="0"/>
                <w:sz w:val="18"/>
                <w:szCs w:val="18"/>
              </w:rPr>
              <w:t>220</w:t>
            </w:r>
          </w:p>
        </w:tc>
        <w:tc>
          <w:tcPr>
            <w:tcW w:w="1254"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kern w:val="0"/>
                <w:sz w:val="18"/>
                <w:szCs w:val="18"/>
              </w:rPr>
              <w:t>200</w:t>
            </w:r>
          </w:p>
        </w:tc>
        <w:tc>
          <w:tcPr>
            <w:tcW w:w="992"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kern w:val="0"/>
                <w:sz w:val="18"/>
                <w:szCs w:val="18"/>
              </w:rPr>
              <w:t>180</w:t>
            </w:r>
          </w:p>
        </w:tc>
        <w:tc>
          <w:tcPr>
            <w:tcW w:w="991"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kern w:val="0"/>
                <w:sz w:val="18"/>
                <w:szCs w:val="18"/>
              </w:rPr>
              <w:t>160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68"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rFonts w:hint="eastAsia" w:hAnsi="宋体" w:asciiTheme="minorHAnsi" w:eastAsiaTheme="minorEastAsia"/>
                <w:kern w:val="0"/>
                <w:sz w:val="18"/>
                <w:szCs w:val="18"/>
              </w:rPr>
              <w:t>筒体</w:t>
            </w:r>
          </w:p>
        </w:tc>
        <w:tc>
          <w:tcPr>
            <w:tcW w:w="807"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kern w:val="0"/>
                <w:sz w:val="18"/>
                <w:szCs w:val="18"/>
              </w:rPr>
              <w:t>300</w:t>
            </w:r>
          </w:p>
        </w:tc>
        <w:tc>
          <w:tcPr>
            <w:tcW w:w="913"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kern w:val="0"/>
                <w:sz w:val="18"/>
                <w:szCs w:val="18"/>
              </w:rPr>
              <w:t>280</w:t>
            </w:r>
          </w:p>
        </w:tc>
        <w:tc>
          <w:tcPr>
            <w:tcW w:w="1254"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kern w:val="0"/>
                <w:sz w:val="18"/>
                <w:szCs w:val="18"/>
              </w:rPr>
              <w:t>260</w:t>
            </w:r>
          </w:p>
        </w:tc>
        <w:tc>
          <w:tcPr>
            <w:tcW w:w="992"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kern w:val="0"/>
                <w:sz w:val="18"/>
                <w:szCs w:val="18"/>
              </w:rPr>
              <w:t>240</w:t>
            </w:r>
          </w:p>
        </w:tc>
        <w:tc>
          <w:tcPr>
            <w:tcW w:w="991" w:type="dxa"/>
            <w:shd w:val="clear" w:color="auto" w:fill="auto"/>
            <w:vAlign w:val="center"/>
          </w:tcPr>
          <w:p>
            <w:pPr>
              <w:snapToGrid w:val="0"/>
              <w:spacing w:line="240" w:lineRule="auto"/>
              <w:jc w:val="center"/>
              <w:rPr>
                <w:rFonts w:asciiTheme="minorHAnsi" w:hAnsiTheme="minorHAnsi" w:eastAsiaTheme="minorEastAsia"/>
                <w:kern w:val="0"/>
                <w:sz w:val="18"/>
                <w:szCs w:val="18"/>
              </w:rPr>
            </w:pPr>
            <w:r>
              <w:rPr>
                <w:kern w:val="0"/>
                <w:sz w:val="18"/>
                <w:szCs w:val="18"/>
              </w:rPr>
              <w:t>180</w:t>
            </w:r>
          </w:p>
        </w:tc>
      </w:tr>
    </w:tbl>
    <w:p>
      <w:pPr>
        <w:pStyle w:val="58"/>
        <w:ind w:firstLine="420"/>
        <w:jc w:val="center"/>
      </w:pPr>
    </w:p>
    <w:p>
      <w:pPr>
        <w:rPr>
          <w:rFonts w:ascii="华文楷体" w:hAnsi="华文楷体" w:eastAsia="华文楷体" w:cs="华文楷体"/>
          <w:color w:val="0000FF"/>
        </w:rPr>
      </w:pPr>
      <w:r>
        <w:rPr>
          <w:rFonts w:hint="eastAsia" w:ascii="华文楷体" w:hAnsi="华文楷体" w:eastAsia="华文楷体" w:cs="华文楷体"/>
          <w:color w:val="0000FF"/>
        </w:rPr>
        <w:t>条文说明: 我国目前最高的隔震建筑高度在100m左右，高层隔震建筑的建设有待继续发展，目前给出的各类隔震建筑的最大适用高度和抗震建筑相同。钢-混凝土混合结构隔震建筑的相关规定有待补充完善。</w:t>
      </w:r>
    </w:p>
    <w:p>
      <w:pPr>
        <w:pStyle w:val="67"/>
        <w:spacing w:before="156" w:after="156"/>
      </w:pPr>
      <w:r>
        <w:rPr>
          <w:rFonts w:hint="eastAsia"/>
        </w:rPr>
        <w:t>高层隔震建筑应进行抗倾覆验算，并符合下列规定：</w:t>
      </w:r>
    </w:p>
    <w:p>
      <w:pPr>
        <w:pStyle w:val="111"/>
        <w:numPr>
          <w:ilvl w:val="1"/>
          <w:numId w:val="47"/>
        </w:numPr>
      </w:pPr>
      <w:r>
        <w:rPr>
          <w:rFonts w:hint="eastAsia"/>
        </w:rPr>
        <w:t>结构整体抗倾覆验算时，应按罕遇地震作用计算倾覆力矩，并应按上部结构重力代表值和抗倾覆装计算抗倾覆力矩，抗倾覆力矩与倾覆力矩之比不应小于 1.1。</w:t>
      </w:r>
    </w:p>
    <w:p>
      <w:pPr>
        <w:pStyle w:val="111"/>
      </w:pPr>
      <w:r>
        <w:rPr>
          <w:rFonts w:hint="eastAsia"/>
        </w:rPr>
        <w:t>隔震层在罕遇地震作用下应保持稳定，不宜出现不可恢复的变形。隔震支座在罕遇水平和竖向地震共同作用下，最大拉、压应力应符合本标准第14.1.7条的规定。</w:t>
      </w:r>
    </w:p>
    <w:p>
      <w:pPr>
        <w:pStyle w:val="67"/>
        <w:spacing w:before="156" w:after="156"/>
      </w:pPr>
      <w:r>
        <w:rPr>
          <w:rFonts w:hint="eastAsia"/>
        </w:rPr>
        <w:t>体型基本规则的隔震结构可不设抗震缝。体型复杂的结构布设抗震缝时，应选用符合实际的结构计算模型进行较精确的计算分析，并根据其局部应力、变形集中及扭转影响，采取措施提高抗震能力。</w:t>
      </w:r>
    </w:p>
    <w:p>
      <w:pPr>
        <w:pStyle w:val="67"/>
        <w:spacing w:before="156" w:after="156"/>
      </w:pPr>
      <w:r>
        <w:rPr>
          <w:rFonts w:hint="eastAsia"/>
        </w:rPr>
        <w:t>隔震结构仅在上部结构首层以上设置伸缩缝时，缝的宽度应满足现行国家标准《建筑抗震设计规范》GB 50011 对不同结构抗震缝宽度的要求。</w:t>
      </w:r>
    </w:p>
    <w:p>
      <w:pPr>
        <w:pStyle w:val="58"/>
        <w:ind w:firstLine="420"/>
      </w:pPr>
    </w:p>
    <w:p>
      <w:pPr>
        <w:pStyle w:val="107"/>
        <w:spacing w:before="156" w:after="156"/>
        <w:jc w:val="center"/>
      </w:pPr>
      <w:r>
        <w:rPr>
          <w:rFonts w:hint="eastAsia"/>
        </w:rPr>
        <w:t>隔震层以下结构设计</w:t>
      </w:r>
    </w:p>
    <w:p>
      <w:pPr>
        <w:pStyle w:val="67"/>
        <w:spacing w:before="156" w:after="156"/>
      </w:pPr>
      <w:r>
        <w:rPr>
          <w:rFonts w:hint="eastAsia"/>
        </w:rPr>
        <w:t>隔震层下部结构的承载力验算，应考虑上部结构传递的轴力、弯矩、水平剪力，以及由隔震层水平变形产生的附加弯矩。</w:t>
      </w:r>
    </w:p>
    <w:p>
      <w:pPr>
        <w:pStyle w:val="67"/>
        <w:spacing w:before="156" w:after="156"/>
      </w:pPr>
      <w:r>
        <w:rPr>
          <w:rFonts w:hint="eastAsia"/>
        </w:rPr>
        <w:t>隔震层以下的地下室，或塔楼底盘结构中直接支撑隔震塔楼的部分及其相邻一跨的相关构件，应满足设防烈度地震作用下的抗震承载力要求，层间位移角限值应符合表15.2.2-1 的规定。隔震层以下地面以上的结构在罕遇地震下的层间位移角限值尚应符合表15.2.2-2 的规定。特殊设防类建筑尚应进行极罕遇地震作用下的变形验算， 其层间位移角限值应符合表15.2.2-3 的规定。</w:t>
      </w:r>
    </w:p>
    <w:p>
      <w:pPr>
        <w:pStyle w:val="58"/>
        <w:ind w:firstLine="420"/>
        <w:jc w:val="center"/>
      </w:pPr>
      <w:r>
        <w:rPr>
          <w:rFonts w:hint="eastAsia"/>
        </w:rPr>
        <w:t>表15.2.2-1下部结构在设防烈度地震作用下弹性层间位移角限值</w:t>
      </w:r>
    </w:p>
    <w:tbl>
      <w:tblPr>
        <w:tblStyle w:val="27"/>
        <w:tblW w:w="5000" w:type="pct"/>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0" w:type="dxa"/>
          <w:bottom w:w="0" w:type="dxa"/>
          <w:right w:w="0" w:type="dxa"/>
        </w:tblCellMar>
      </w:tblPr>
      <w:tblGrid>
        <w:gridCol w:w="7407"/>
        <w:gridCol w:w="1967"/>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83" w:hRule="atLeast"/>
        </w:trPr>
        <w:tc>
          <w:tcPr>
            <w:tcW w:w="3951" w:type="pct"/>
            <w:tcBorders>
              <w:top w:val="single" w:color="000000" w:sz="8" w:space="0"/>
              <w:bottom w:val="single" w:color="000000" w:sz="8" w:space="0"/>
            </w:tcBorders>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hint="eastAsia" w:ascii="Times New Roman" w:hAnsi="宋体"/>
                <w:kern w:val="0"/>
                <w:sz w:val="18"/>
                <w:szCs w:val="20"/>
              </w:rPr>
              <w:t>下部结构类型</w:t>
            </w:r>
          </w:p>
        </w:tc>
        <w:tc>
          <w:tcPr>
            <w:tcW w:w="1049" w:type="pct"/>
            <w:tcBorders>
              <w:top w:val="single" w:color="000000" w:sz="8" w:space="0"/>
              <w:bottom w:val="single" w:color="000000" w:sz="8" w:space="0"/>
            </w:tcBorders>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hint="eastAsia" w:ascii="Times New Roman" w:hAnsi="宋体"/>
                <w:kern w:val="0"/>
                <w:sz w:val="18"/>
                <w:szCs w:val="20"/>
              </w:rPr>
              <w:t></w:t>
            </w:r>
            <w:r>
              <w:rPr>
                <w:rFonts w:ascii="Times New Roman" w:hAnsi="宋体"/>
                <w:kern w:val="0"/>
                <w:sz w:val="18"/>
                <w:szCs w:val="20"/>
              </w:rPr>
              <w:t xml:space="preserve">  </w:t>
            </w:r>
            <w:r>
              <w:rPr>
                <w:rFonts w:ascii="Arial" w:hAnsi="Arial" w:cs="Arial"/>
                <w:kern w:val="0"/>
                <w:sz w:val="18"/>
                <w:szCs w:val="20"/>
              </w:rPr>
              <w:t>θ</w:t>
            </w:r>
            <w:r>
              <w:rPr>
                <w:rFonts w:ascii="Times New Roman" w:hAnsi="宋体"/>
                <w:kern w:val="0"/>
                <w:sz w:val="18"/>
                <w:szCs w:val="20"/>
              </w:rPr>
              <w:t xml:space="preserve">e </w:t>
            </w:r>
            <w:r>
              <w:rPr>
                <w:rFonts w:hint="eastAsia" w:ascii="Times New Roman" w:hAnsi="宋体"/>
                <w:kern w:val="0"/>
                <w:sz w:val="18"/>
                <w:szCs w:val="20"/>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3951" w:type="pct"/>
            <w:tcBorders>
              <w:top w:val="single" w:color="000000" w:sz="8" w:space="0"/>
            </w:tcBorders>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hint="eastAsia" w:ascii="Times New Roman" w:hAnsi="宋体"/>
                <w:kern w:val="0"/>
                <w:sz w:val="18"/>
                <w:szCs w:val="20"/>
              </w:rPr>
              <w:t>钢筋混凝土框架结构</w:t>
            </w:r>
          </w:p>
        </w:tc>
        <w:tc>
          <w:tcPr>
            <w:tcW w:w="1049" w:type="pct"/>
            <w:tcBorders>
              <w:top w:val="single" w:color="000000" w:sz="8" w:space="0"/>
            </w:tcBorders>
            <w:shd w:val="clear" w:color="auto" w:fill="auto"/>
            <w:vAlign w:val="center"/>
          </w:tcPr>
          <w:p>
            <w:pPr>
              <w:adjustRightInd/>
              <w:snapToGrid w:val="0"/>
              <w:spacing w:before="156" w:beforeLines="50" w:line="240" w:lineRule="auto"/>
              <w:jc w:val="center"/>
              <w:rPr>
                <w:rFonts w:ascii="Times New Roman" w:hAnsi="宋体"/>
                <w:kern w:val="0"/>
                <w:sz w:val="18"/>
                <w:szCs w:val="20"/>
                <w:highlight w:val="yellow"/>
              </w:rPr>
            </w:pPr>
            <w:r>
              <w:rPr>
                <w:rFonts w:ascii="Times New Roman" w:hAnsi="宋体"/>
                <w:kern w:val="0"/>
                <w:sz w:val="18"/>
                <w:szCs w:val="20"/>
                <w:highlight w:val="yellow"/>
              </w:rPr>
              <w:t>1/500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725" w:hRule="atLeast"/>
        </w:trPr>
        <w:tc>
          <w:tcPr>
            <w:tcW w:w="3951" w:type="pct"/>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hint="eastAsia" w:ascii="Times New Roman" w:hAnsi="宋体"/>
                <w:kern w:val="0"/>
                <w:sz w:val="18"/>
                <w:szCs w:val="20"/>
              </w:rPr>
              <w:t>底部框架砌体房屋中的框架</w:t>
            </w:r>
            <w:r>
              <w:rPr>
                <w:rFonts w:ascii="Times New Roman" w:hAnsi="宋体"/>
                <w:kern w:val="0"/>
                <w:sz w:val="18"/>
                <w:szCs w:val="20"/>
              </w:rPr>
              <w:t>-</w:t>
            </w:r>
            <w:r>
              <w:rPr>
                <w:rFonts w:hint="eastAsia" w:ascii="Times New Roman" w:hAnsi="宋体"/>
                <w:kern w:val="0"/>
                <w:sz w:val="18"/>
                <w:szCs w:val="20"/>
              </w:rPr>
              <w:t>抗震墙、钢筋混凝土框架</w:t>
            </w:r>
            <w:r>
              <w:rPr>
                <w:rFonts w:ascii="Times New Roman" w:hAnsi="宋体"/>
                <w:kern w:val="0"/>
                <w:sz w:val="18"/>
                <w:szCs w:val="20"/>
              </w:rPr>
              <w:t>-</w:t>
            </w:r>
            <w:r>
              <w:rPr>
                <w:rFonts w:hint="eastAsia" w:ascii="Times New Roman" w:hAnsi="宋体"/>
                <w:kern w:val="0"/>
                <w:sz w:val="18"/>
                <w:szCs w:val="20"/>
              </w:rPr>
              <w:t>抗震墙、框架</w:t>
            </w:r>
            <w:r>
              <w:rPr>
                <w:rFonts w:ascii="Times New Roman" w:hAnsi="宋体"/>
                <w:kern w:val="0"/>
                <w:sz w:val="18"/>
                <w:szCs w:val="20"/>
              </w:rPr>
              <w:t>-</w:t>
            </w:r>
            <w:r>
              <w:rPr>
                <w:rFonts w:hint="eastAsia" w:ascii="Times New Roman" w:hAnsi="宋体"/>
                <w:kern w:val="0"/>
                <w:sz w:val="18"/>
                <w:szCs w:val="20"/>
              </w:rPr>
              <w:t>核心筒</w:t>
            </w:r>
          </w:p>
        </w:tc>
        <w:tc>
          <w:tcPr>
            <w:tcW w:w="1049" w:type="pct"/>
            <w:shd w:val="clear" w:color="auto" w:fill="auto"/>
            <w:vAlign w:val="center"/>
          </w:tcPr>
          <w:p>
            <w:pPr>
              <w:adjustRightInd/>
              <w:snapToGrid w:val="0"/>
              <w:spacing w:before="156" w:beforeLines="50" w:line="240" w:lineRule="auto"/>
              <w:jc w:val="center"/>
              <w:rPr>
                <w:rFonts w:ascii="Times New Roman" w:hAnsi="宋体"/>
                <w:kern w:val="0"/>
                <w:sz w:val="18"/>
                <w:szCs w:val="20"/>
                <w:highlight w:val="yellow"/>
              </w:rPr>
            </w:pPr>
            <w:r>
              <w:rPr>
                <w:rFonts w:ascii="Times New Roman" w:hAnsi="宋体"/>
                <w:kern w:val="0"/>
                <w:sz w:val="18"/>
                <w:szCs w:val="20"/>
                <w:highlight w:val="yellow"/>
              </w:rPr>
              <w:t>1/600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62" w:hRule="atLeast"/>
        </w:trPr>
        <w:tc>
          <w:tcPr>
            <w:tcW w:w="3951" w:type="pct"/>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hint="eastAsia" w:ascii="Times New Roman" w:hAnsi="宋体"/>
                <w:kern w:val="0"/>
                <w:sz w:val="18"/>
                <w:szCs w:val="20"/>
              </w:rPr>
              <w:t>板柱</w:t>
            </w:r>
            <w:r>
              <w:rPr>
                <w:rFonts w:ascii="Times New Roman" w:hAnsi="宋体"/>
                <w:kern w:val="0"/>
                <w:sz w:val="18"/>
                <w:szCs w:val="20"/>
              </w:rPr>
              <w:t>-</w:t>
            </w:r>
            <w:r>
              <w:rPr>
                <w:rFonts w:hint="eastAsia" w:ascii="Times New Roman" w:hAnsi="宋体"/>
                <w:kern w:val="0"/>
                <w:sz w:val="18"/>
                <w:szCs w:val="20"/>
              </w:rPr>
              <w:t>抗震墙、钢筋混凝土抗震墙结构</w:t>
            </w:r>
          </w:p>
        </w:tc>
        <w:tc>
          <w:tcPr>
            <w:tcW w:w="1049" w:type="pct"/>
            <w:shd w:val="clear" w:color="auto" w:fill="auto"/>
            <w:vAlign w:val="center"/>
          </w:tcPr>
          <w:p>
            <w:pPr>
              <w:adjustRightInd/>
              <w:snapToGrid w:val="0"/>
              <w:spacing w:before="156" w:beforeLines="50" w:line="240" w:lineRule="auto"/>
              <w:jc w:val="center"/>
              <w:rPr>
                <w:rFonts w:ascii="Times New Roman" w:hAnsi="宋体"/>
                <w:kern w:val="0"/>
                <w:sz w:val="18"/>
                <w:szCs w:val="20"/>
                <w:highlight w:val="yellow"/>
              </w:rPr>
            </w:pPr>
            <w:r>
              <w:rPr>
                <w:rFonts w:ascii="Times New Roman" w:hAnsi="宋体"/>
                <w:kern w:val="0"/>
                <w:sz w:val="18"/>
                <w:szCs w:val="20"/>
                <w:highlight w:val="yellow"/>
              </w:rPr>
              <w:t>1/700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3951" w:type="pct"/>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hint="eastAsia" w:ascii="Times New Roman" w:hAnsi="宋体"/>
                <w:kern w:val="0"/>
                <w:sz w:val="18"/>
                <w:szCs w:val="20"/>
              </w:rPr>
              <w:t>钢结构</w:t>
            </w:r>
          </w:p>
        </w:tc>
        <w:tc>
          <w:tcPr>
            <w:tcW w:w="1049" w:type="pct"/>
            <w:shd w:val="clear" w:color="auto" w:fill="auto"/>
            <w:vAlign w:val="center"/>
          </w:tcPr>
          <w:p>
            <w:pPr>
              <w:adjustRightInd/>
              <w:snapToGrid w:val="0"/>
              <w:spacing w:before="156" w:beforeLines="50" w:line="240" w:lineRule="auto"/>
              <w:jc w:val="center"/>
              <w:rPr>
                <w:rFonts w:ascii="Times New Roman" w:hAnsi="宋体"/>
                <w:kern w:val="0"/>
                <w:sz w:val="18"/>
                <w:szCs w:val="20"/>
                <w:highlight w:val="yellow"/>
              </w:rPr>
            </w:pPr>
            <w:r>
              <w:rPr>
                <w:rFonts w:ascii="Times New Roman" w:hAnsi="宋体"/>
                <w:kern w:val="0"/>
                <w:sz w:val="18"/>
                <w:szCs w:val="20"/>
                <w:highlight w:val="yellow"/>
              </w:rPr>
              <w:t>1/300</w:t>
            </w:r>
          </w:p>
        </w:tc>
      </w:tr>
    </w:tbl>
    <w:p>
      <w:pPr>
        <w:pStyle w:val="58"/>
        <w:ind w:firstLine="420"/>
      </w:pPr>
    </w:p>
    <w:p>
      <w:pPr>
        <w:pStyle w:val="58"/>
        <w:ind w:firstLine="420"/>
        <w:jc w:val="center"/>
      </w:pPr>
      <w:r>
        <w:rPr>
          <w:rFonts w:hint="eastAsia"/>
        </w:rPr>
        <w:t>表15.2.2-2下部结构在罕遇地震作用下弹塑性层间位移角限值</w:t>
      </w:r>
    </w:p>
    <w:tbl>
      <w:tblPr>
        <w:tblStyle w:val="27"/>
        <w:tblW w:w="5000" w:type="pct"/>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0" w:type="dxa"/>
          <w:bottom w:w="0" w:type="dxa"/>
          <w:right w:w="0" w:type="dxa"/>
        </w:tblCellMar>
      </w:tblPr>
      <w:tblGrid>
        <w:gridCol w:w="7404"/>
        <w:gridCol w:w="1970"/>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3949" w:type="pct"/>
            <w:tcBorders>
              <w:top w:val="single" w:color="000000" w:sz="8" w:space="0"/>
              <w:bottom w:val="single" w:color="000000" w:sz="8" w:space="0"/>
            </w:tcBorders>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hint="eastAsia" w:ascii="Times New Roman" w:hAnsi="宋体"/>
                <w:kern w:val="0"/>
                <w:sz w:val="18"/>
                <w:szCs w:val="20"/>
              </w:rPr>
              <w:t>下部结构类型</w:t>
            </w:r>
          </w:p>
        </w:tc>
        <w:tc>
          <w:tcPr>
            <w:tcW w:w="1051" w:type="pct"/>
            <w:tcBorders>
              <w:top w:val="single" w:color="000000" w:sz="8" w:space="0"/>
              <w:bottom w:val="single" w:color="000000" w:sz="8" w:space="0"/>
            </w:tcBorders>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hint="eastAsia" w:ascii="Times New Roman" w:hAnsi="宋体"/>
                <w:kern w:val="0"/>
                <w:sz w:val="18"/>
                <w:szCs w:val="20"/>
              </w:rPr>
              <w:t></w:t>
            </w:r>
            <w:r>
              <w:rPr>
                <w:rFonts w:ascii="Times New Roman" w:hAnsi="宋体"/>
                <w:kern w:val="0"/>
                <w:sz w:val="18"/>
                <w:szCs w:val="20"/>
              </w:rPr>
              <w:t xml:space="preserve"> </w:t>
            </w:r>
            <w:r>
              <w:rPr>
                <w:rFonts w:ascii="Arial" w:hAnsi="Arial" w:cs="Arial"/>
                <w:kern w:val="0"/>
                <w:sz w:val="18"/>
                <w:szCs w:val="20"/>
              </w:rPr>
              <w:t>θ</w:t>
            </w:r>
            <w:r>
              <w:rPr>
                <w:rFonts w:ascii="Times New Roman" w:hAnsi="宋体"/>
                <w:kern w:val="0"/>
                <w:sz w:val="18"/>
                <w:szCs w:val="20"/>
              </w:rPr>
              <w:t xml:space="preserve">p </w:t>
            </w:r>
            <w:r>
              <w:rPr>
                <w:rFonts w:hint="eastAsia" w:ascii="Times New Roman" w:hAnsi="宋体"/>
                <w:kern w:val="0"/>
                <w:sz w:val="18"/>
                <w:szCs w:val="20"/>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3949" w:type="pct"/>
            <w:tcBorders>
              <w:top w:val="single" w:color="000000" w:sz="8" w:space="0"/>
            </w:tcBorders>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hint="eastAsia" w:ascii="Times New Roman" w:hAnsi="宋体"/>
                <w:kern w:val="0"/>
                <w:sz w:val="18"/>
                <w:szCs w:val="20"/>
              </w:rPr>
              <w:t>钢筋混凝土框架结构</w:t>
            </w:r>
          </w:p>
        </w:tc>
        <w:tc>
          <w:tcPr>
            <w:tcW w:w="1051" w:type="pct"/>
            <w:tcBorders>
              <w:top w:val="single" w:color="000000" w:sz="8" w:space="0"/>
            </w:tcBorders>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ascii="Times New Roman" w:hAnsi="宋体"/>
                <w:kern w:val="0"/>
                <w:sz w:val="18"/>
                <w:szCs w:val="20"/>
              </w:rPr>
              <w:t>1/100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3949" w:type="pct"/>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hint="eastAsia" w:ascii="Times New Roman" w:hAnsi="宋体"/>
                <w:kern w:val="0"/>
                <w:sz w:val="18"/>
                <w:szCs w:val="20"/>
              </w:rPr>
              <w:t>底部框架砌体房屋中的框架</w:t>
            </w:r>
            <w:r>
              <w:rPr>
                <w:rFonts w:ascii="Times New Roman" w:hAnsi="宋体"/>
                <w:kern w:val="0"/>
                <w:sz w:val="18"/>
                <w:szCs w:val="20"/>
              </w:rPr>
              <w:t>-</w:t>
            </w:r>
            <w:r>
              <w:rPr>
                <w:rFonts w:hint="eastAsia" w:ascii="Times New Roman" w:hAnsi="宋体"/>
                <w:kern w:val="0"/>
                <w:sz w:val="18"/>
                <w:szCs w:val="20"/>
              </w:rPr>
              <w:t>抗震墙、钢筋混凝土框架</w:t>
            </w:r>
            <w:r>
              <w:rPr>
                <w:rFonts w:ascii="Times New Roman" w:hAnsi="宋体"/>
                <w:kern w:val="0"/>
                <w:sz w:val="18"/>
                <w:szCs w:val="20"/>
              </w:rPr>
              <w:t>-</w:t>
            </w:r>
            <w:r>
              <w:rPr>
                <w:rFonts w:hint="eastAsia" w:ascii="Times New Roman" w:hAnsi="宋体"/>
                <w:kern w:val="0"/>
                <w:sz w:val="18"/>
                <w:szCs w:val="20"/>
              </w:rPr>
              <w:t>抗震墙、框架</w:t>
            </w:r>
            <w:r>
              <w:rPr>
                <w:rFonts w:ascii="Times New Roman" w:hAnsi="宋体"/>
                <w:kern w:val="0"/>
                <w:sz w:val="18"/>
                <w:szCs w:val="20"/>
              </w:rPr>
              <w:t>-</w:t>
            </w:r>
            <w:r>
              <w:rPr>
                <w:rFonts w:hint="eastAsia" w:ascii="Times New Roman" w:hAnsi="宋体"/>
                <w:kern w:val="0"/>
                <w:sz w:val="18"/>
                <w:szCs w:val="20"/>
              </w:rPr>
              <w:t>核心筒结构</w:t>
            </w:r>
          </w:p>
        </w:tc>
        <w:tc>
          <w:tcPr>
            <w:tcW w:w="1051" w:type="pct"/>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ascii="Times New Roman" w:hAnsi="宋体"/>
                <w:kern w:val="0"/>
                <w:sz w:val="18"/>
                <w:szCs w:val="20"/>
              </w:rPr>
              <w:t>1/200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3949" w:type="pct"/>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hint="eastAsia" w:ascii="Times New Roman" w:hAnsi="宋体"/>
                <w:kern w:val="0"/>
                <w:sz w:val="18"/>
                <w:szCs w:val="20"/>
              </w:rPr>
              <w:t>钢筋混凝土抗震墙、板柱</w:t>
            </w:r>
            <w:r>
              <w:rPr>
                <w:rFonts w:ascii="Times New Roman" w:hAnsi="宋体"/>
                <w:kern w:val="0"/>
                <w:sz w:val="18"/>
                <w:szCs w:val="20"/>
              </w:rPr>
              <w:t>-</w:t>
            </w:r>
            <w:r>
              <w:rPr>
                <w:rFonts w:hint="eastAsia" w:ascii="Times New Roman" w:hAnsi="宋体"/>
                <w:kern w:val="0"/>
                <w:sz w:val="18"/>
                <w:szCs w:val="20"/>
              </w:rPr>
              <w:t>抗震墙结构</w:t>
            </w:r>
          </w:p>
        </w:tc>
        <w:tc>
          <w:tcPr>
            <w:tcW w:w="1051" w:type="pct"/>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ascii="Times New Roman" w:hAnsi="宋体"/>
                <w:kern w:val="0"/>
                <w:sz w:val="18"/>
                <w:szCs w:val="20"/>
              </w:rPr>
              <w:t>1/250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427" w:hRule="atLeast"/>
        </w:trPr>
        <w:tc>
          <w:tcPr>
            <w:tcW w:w="3949" w:type="pct"/>
            <w:tcBorders>
              <w:bottom w:val="single" w:color="000000" w:sz="8" w:space="0"/>
            </w:tcBorders>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hint="eastAsia" w:ascii="Times New Roman" w:hAnsi="宋体"/>
                <w:kern w:val="0"/>
                <w:sz w:val="18"/>
                <w:szCs w:val="20"/>
              </w:rPr>
              <w:t>钢结构</w:t>
            </w:r>
          </w:p>
        </w:tc>
        <w:tc>
          <w:tcPr>
            <w:tcW w:w="1051" w:type="pct"/>
            <w:tcBorders>
              <w:bottom w:val="single" w:color="000000" w:sz="8" w:space="0"/>
            </w:tcBorders>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ascii="Times New Roman" w:hAnsi="宋体"/>
                <w:kern w:val="0"/>
                <w:sz w:val="18"/>
                <w:szCs w:val="20"/>
              </w:rPr>
              <w:t>1/100</w:t>
            </w:r>
          </w:p>
        </w:tc>
      </w:tr>
    </w:tbl>
    <w:p>
      <w:pPr>
        <w:pStyle w:val="58"/>
        <w:ind w:firstLine="420"/>
      </w:pPr>
    </w:p>
    <w:p>
      <w:pPr>
        <w:pStyle w:val="58"/>
        <w:ind w:firstLine="420"/>
        <w:jc w:val="center"/>
      </w:pPr>
      <w:r>
        <w:rPr>
          <w:rFonts w:hint="eastAsia"/>
        </w:rPr>
        <w:t>表15.2.2-3下部结构在极罕遇地震作用下弹塑性层间位移角限值</w:t>
      </w:r>
    </w:p>
    <w:tbl>
      <w:tblPr>
        <w:tblStyle w:val="27"/>
        <w:tblW w:w="5000" w:type="pct"/>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0" w:type="dxa"/>
          <w:bottom w:w="0" w:type="dxa"/>
          <w:right w:w="0" w:type="dxa"/>
        </w:tblCellMar>
      </w:tblPr>
      <w:tblGrid>
        <w:gridCol w:w="7445"/>
        <w:gridCol w:w="1929"/>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83" w:hRule="atLeast"/>
        </w:trPr>
        <w:tc>
          <w:tcPr>
            <w:tcW w:w="3971" w:type="pct"/>
            <w:tcBorders>
              <w:top w:val="single" w:color="000000" w:sz="8" w:space="0"/>
              <w:bottom w:val="single" w:color="000000" w:sz="8" w:space="0"/>
            </w:tcBorders>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hint="eastAsia" w:ascii="Times New Roman" w:hAnsi="宋体"/>
                <w:kern w:val="0"/>
                <w:sz w:val="18"/>
                <w:szCs w:val="20"/>
              </w:rPr>
              <w:t>下部结构类型</w:t>
            </w:r>
          </w:p>
        </w:tc>
        <w:tc>
          <w:tcPr>
            <w:tcW w:w="1029" w:type="pct"/>
            <w:tcBorders>
              <w:top w:val="single" w:color="000000" w:sz="8" w:space="0"/>
              <w:bottom w:val="single" w:color="000000" w:sz="8" w:space="0"/>
            </w:tcBorders>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hint="eastAsia" w:ascii="Times New Roman" w:hAnsi="宋体"/>
                <w:kern w:val="0"/>
                <w:sz w:val="18"/>
                <w:szCs w:val="20"/>
              </w:rPr>
              <w:t></w:t>
            </w:r>
            <w:r>
              <w:rPr>
                <w:rFonts w:ascii="Times New Roman" w:hAnsi="宋体"/>
                <w:kern w:val="0"/>
                <w:sz w:val="18"/>
                <w:szCs w:val="20"/>
              </w:rPr>
              <w:t xml:space="preserve"> θp </w:t>
            </w:r>
            <w:r>
              <w:rPr>
                <w:rFonts w:hint="eastAsia" w:ascii="Times New Roman" w:hAnsi="宋体"/>
                <w:kern w:val="0"/>
                <w:sz w:val="18"/>
                <w:szCs w:val="20"/>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3971" w:type="pct"/>
            <w:tcBorders>
              <w:top w:val="single" w:color="000000" w:sz="8" w:space="0"/>
            </w:tcBorders>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hint="eastAsia" w:ascii="Times New Roman" w:hAnsi="宋体"/>
                <w:kern w:val="0"/>
                <w:sz w:val="18"/>
                <w:szCs w:val="20"/>
              </w:rPr>
              <w:t>钢筋混凝土框架结构</w:t>
            </w:r>
          </w:p>
        </w:tc>
        <w:tc>
          <w:tcPr>
            <w:tcW w:w="1029" w:type="pct"/>
            <w:tcBorders>
              <w:top w:val="single" w:color="000000" w:sz="8" w:space="0"/>
            </w:tcBorders>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ascii="Times New Roman" w:hAnsi="宋体"/>
                <w:kern w:val="0"/>
                <w:sz w:val="18"/>
                <w:szCs w:val="20"/>
              </w:rPr>
              <w:t>1/60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70" w:hRule="atLeast"/>
        </w:trPr>
        <w:tc>
          <w:tcPr>
            <w:tcW w:w="3971" w:type="pct"/>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hint="eastAsia" w:ascii="Times New Roman" w:hAnsi="宋体"/>
                <w:kern w:val="0"/>
                <w:sz w:val="18"/>
                <w:szCs w:val="20"/>
              </w:rPr>
              <w:t>底部框架砌体房屋中的框架</w:t>
            </w:r>
            <w:r>
              <w:rPr>
                <w:rFonts w:ascii="Times New Roman" w:hAnsi="宋体"/>
                <w:kern w:val="0"/>
                <w:sz w:val="18"/>
                <w:szCs w:val="20"/>
              </w:rPr>
              <w:t>-</w:t>
            </w:r>
            <w:r>
              <w:rPr>
                <w:rFonts w:hint="eastAsia" w:ascii="Times New Roman" w:hAnsi="宋体"/>
                <w:kern w:val="0"/>
                <w:sz w:val="18"/>
                <w:szCs w:val="20"/>
              </w:rPr>
              <w:t>抗震墙、钢筋混凝土框架</w:t>
            </w:r>
            <w:r>
              <w:rPr>
                <w:rFonts w:ascii="Times New Roman" w:hAnsi="宋体"/>
                <w:kern w:val="0"/>
                <w:sz w:val="18"/>
                <w:szCs w:val="20"/>
              </w:rPr>
              <w:t>-</w:t>
            </w:r>
            <w:r>
              <w:rPr>
                <w:rFonts w:hint="eastAsia" w:ascii="Times New Roman" w:hAnsi="宋体"/>
                <w:kern w:val="0"/>
                <w:sz w:val="18"/>
                <w:szCs w:val="20"/>
              </w:rPr>
              <w:t>抗震墙、框架</w:t>
            </w:r>
            <w:r>
              <w:rPr>
                <w:rFonts w:ascii="Times New Roman" w:hAnsi="宋体"/>
                <w:kern w:val="0"/>
                <w:sz w:val="18"/>
                <w:szCs w:val="20"/>
              </w:rPr>
              <w:t>-</w:t>
            </w:r>
            <w:r>
              <w:rPr>
                <w:rFonts w:hint="eastAsia" w:ascii="Times New Roman" w:hAnsi="宋体"/>
                <w:kern w:val="0"/>
                <w:sz w:val="18"/>
                <w:szCs w:val="20"/>
              </w:rPr>
              <w:t>核心筒结构</w:t>
            </w:r>
          </w:p>
        </w:tc>
        <w:tc>
          <w:tcPr>
            <w:tcW w:w="1029" w:type="pct"/>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ascii="Times New Roman" w:hAnsi="宋体"/>
                <w:kern w:val="0"/>
                <w:sz w:val="18"/>
                <w:szCs w:val="20"/>
              </w:rPr>
              <w:t>1/130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62" w:hRule="atLeast"/>
        </w:trPr>
        <w:tc>
          <w:tcPr>
            <w:tcW w:w="3971" w:type="pct"/>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hint="eastAsia" w:ascii="Times New Roman" w:hAnsi="宋体"/>
                <w:kern w:val="0"/>
                <w:sz w:val="18"/>
                <w:szCs w:val="20"/>
              </w:rPr>
              <w:t>钢筋混凝土抗震墙、板柱</w:t>
            </w:r>
            <w:r>
              <w:rPr>
                <w:rFonts w:ascii="Times New Roman" w:hAnsi="宋体"/>
                <w:kern w:val="0"/>
                <w:sz w:val="18"/>
                <w:szCs w:val="20"/>
              </w:rPr>
              <w:t>-</w:t>
            </w:r>
            <w:r>
              <w:rPr>
                <w:rFonts w:hint="eastAsia" w:ascii="Times New Roman" w:hAnsi="宋体"/>
                <w:kern w:val="0"/>
                <w:sz w:val="18"/>
                <w:szCs w:val="20"/>
              </w:rPr>
              <w:t>抗震墙结构</w:t>
            </w:r>
          </w:p>
        </w:tc>
        <w:tc>
          <w:tcPr>
            <w:tcW w:w="1029" w:type="pct"/>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ascii="Times New Roman" w:hAnsi="宋体"/>
                <w:kern w:val="0"/>
                <w:sz w:val="18"/>
                <w:szCs w:val="20"/>
              </w:rPr>
              <w:t>1/150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rPr>
          <w:trHeight w:val="380" w:hRule="atLeast"/>
        </w:trPr>
        <w:tc>
          <w:tcPr>
            <w:tcW w:w="3971" w:type="pct"/>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hint="eastAsia" w:ascii="Times New Roman" w:hAnsi="宋体"/>
                <w:kern w:val="0"/>
                <w:sz w:val="18"/>
                <w:szCs w:val="20"/>
              </w:rPr>
              <w:t>钢结构</w:t>
            </w:r>
          </w:p>
        </w:tc>
        <w:tc>
          <w:tcPr>
            <w:tcW w:w="1029" w:type="pct"/>
            <w:shd w:val="clear" w:color="auto" w:fill="auto"/>
            <w:vAlign w:val="center"/>
          </w:tcPr>
          <w:p>
            <w:pPr>
              <w:adjustRightInd/>
              <w:snapToGrid w:val="0"/>
              <w:spacing w:before="156" w:beforeLines="50" w:line="240" w:lineRule="auto"/>
              <w:jc w:val="center"/>
              <w:rPr>
                <w:rFonts w:ascii="Times New Roman" w:hAnsi="宋体"/>
                <w:kern w:val="0"/>
                <w:sz w:val="18"/>
                <w:szCs w:val="20"/>
              </w:rPr>
            </w:pPr>
            <w:r>
              <w:rPr>
                <w:rFonts w:ascii="Times New Roman" w:hAnsi="宋体"/>
                <w:kern w:val="0"/>
                <w:sz w:val="18"/>
                <w:szCs w:val="20"/>
              </w:rPr>
              <w:t>1/60</w:t>
            </w:r>
          </w:p>
        </w:tc>
      </w:tr>
    </w:tbl>
    <w:p>
      <w:pPr>
        <w:pStyle w:val="58"/>
        <w:ind w:firstLine="0" w:firstLineChars="0"/>
        <w:rPr>
          <w:rFonts w:ascii="华文楷体" w:hAnsi="华文楷体" w:eastAsia="华文楷体" w:cs="华文楷体"/>
          <w:color w:val="0000FF"/>
        </w:rPr>
      </w:pPr>
    </w:p>
    <w:p>
      <w:pPr>
        <w:pStyle w:val="58"/>
        <w:ind w:firstLine="0" w:firstLineChars="0"/>
      </w:pPr>
      <w:r>
        <w:rPr>
          <w:rFonts w:hint="eastAsia" w:ascii="华文楷体" w:hAnsi="华文楷体" w:eastAsia="华文楷体" w:cs="华文楷体"/>
          <w:color w:val="0000FF"/>
        </w:rPr>
        <w:t>条文说明:</w:t>
      </w:r>
      <w:r>
        <w:rPr>
          <w:rFonts w:hint="eastAsia"/>
        </w:rPr>
        <w:t xml:space="preserve"> </w:t>
      </w:r>
      <w:r>
        <w:rPr>
          <w:rFonts w:hint="eastAsia" w:ascii="华文楷体" w:hAnsi="华文楷体" w:eastAsia="华文楷体" w:cs="华文楷体"/>
          <w:color w:val="0000FF"/>
        </w:rPr>
        <w:t>对于整体隔震结构，隔震层以下的结构应具有较高的刚度。在罕遇地震作用下，对隔震层以下结构的层间弹塑性位移角采用和隔震层以上结构相同的限值。</w:t>
      </w:r>
    </w:p>
    <w:p>
      <w:pPr>
        <w:pStyle w:val="67"/>
        <w:spacing w:before="156" w:after="156"/>
      </w:pPr>
      <w:r>
        <w:rPr>
          <w:rFonts w:hint="eastAsia"/>
        </w:rPr>
        <w:t>隔震建筑下部结构的抗震等级应符合下列规定：</w:t>
      </w:r>
    </w:p>
    <w:p>
      <w:pPr>
        <w:pStyle w:val="111"/>
        <w:numPr>
          <w:ilvl w:val="1"/>
          <w:numId w:val="48"/>
        </w:numPr>
      </w:pPr>
      <w:r>
        <w:rPr>
          <w:rFonts w:hint="eastAsia"/>
        </w:rPr>
        <w:t>层间隔震结构位于地面以上的下部结构，其竖向投影向外延伸一跨范围内的所有竖向构件均属于关键构件，6、7度时钢筋混凝土框架结构的抗震等级为二级、钢筋混凝土抗震墙结构的抗震等级为一级，8、9度时钢筋混凝土框架结构的抗震等级为一级、钢筋混凝土抗震墙结构的抗震等级为一级；外延伸一跨范围以外结构的抗震等级按抗震建筑采用；</w:t>
      </w:r>
    </w:p>
    <w:p>
      <w:pPr>
        <w:pStyle w:val="111"/>
        <w:numPr>
          <w:ilvl w:val="1"/>
          <w:numId w:val="48"/>
        </w:numPr>
      </w:pPr>
      <w:r>
        <w:rPr>
          <w:rFonts w:hint="eastAsia"/>
        </w:rPr>
        <w:t>层间隔震结构，地下室地下一层抗震等级应与地面上一层相同，以下各层结构抗震等级可逐渐降低，但不得小于三级；</w:t>
      </w:r>
    </w:p>
    <w:p>
      <w:pPr>
        <w:pStyle w:val="111"/>
        <w:numPr>
          <w:ilvl w:val="1"/>
          <w:numId w:val="48"/>
        </w:numPr>
      </w:pPr>
      <w:r>
        <w:rPr>
          <w:rFonts w:hint="eastAsia"/>
        </w:rPr>
        <w:t>基底隔震结构，当隔震层设置在地下室柱或墙顶时，隔震层所在的地下室地下一层抗震等级应与隔震层上一层抗震等级相同，以下各层结构抗震等级可逐渐降低，但不得小于三级。</w:t>
      </w:r>
    </w:p>
    <w:p>
      <w:pPr>
        <w:pStyle w:val="107"/>
        <w:spacing w:before="156" w:after="156"/>
        <w:jc w:val="center"/>
      </w:pPr>
      <w:r>
        <w:rPr>
          <w:rFonts w:hint="eastAsia"/>
        </w:rPr>
        <w:t>隔震层以上结构设计</w:t>
      </w:r>
    </w:p>
    <w:p>
      <w:pPr>
        <w:pStyle w:val="67"/>
        <w:spacing w:before="156" w:after="156"/>
      </w:pPr>
      <w:r>
        <w:rPr>
          <w:rFonts w:hint="eastAsia"/>
        </w:rPr>
        <w:t>抗震等级可按底部剪力比及相应的抗震设防烈度确定；除应符合现行国家标准《建筑抗震设计规范》GB50011 相应设防烈度的规定外，尚应符合下列规定：</w:t>
      </w:r>
    </w:p>
    <w:p>
      <w:pPr>
        <w:pStyle w:val="111"/>
        <w:numPr>
          <w:ilvl w:val="1"/>
          <w:numId w:val="49"/>
        </w:numPr>
      </w:pPr>
      <w:r>
        <w:rPr>
          <w:rFonts w:hint="eastAsia"/>
        </w:rPr>
        <w:t>隔震结构底部剪力比大于0.4时，隔震结构应按本地区设防烈度规定采取相应的抗震措施，并应符合现行国家标准《建筑抗震设计规范》GB50011的规定；</w:t>
      </w:r>
    </w:p>
    <w:p>
      <w:pPr>
        <w:pStyle w:val="111"/>
        <w:numPr>
          <w:ilvl w:val="1"/>
          <w:numId w:val="49"/>
        </w:numPr>
      </w:pPr>
      <w:r>
        <w:rPr>
          <w:rFonts w:hint="eastAsia"/>
        </w:rPr>
        <w:t>隔震结构底部剪力比不大于0.4时，上部结构可按本地区设防烈度降低1度确定抗震措施；</w:t>
      </w:r>
    </w:p>
    <w:p>
      <w:pPr>
        <w:pStyle w:val="111"/>
        <w:numPr>
          <w:ilvl w:val="1"/>
          <w:numId w:val="49"/>
        </w:numPr>
      </w:pPr>
      <w:r>
        <w:rPr>
          <w:rFonts w:hint="eastAsia"/>
        </w:rPr>
        <w:t>与竖向地震作用有关的抗震措施，应符合按本地区设防烈度的规定，不得降低。</w:t>
      </w:r>
    </w:p>
    <w:p>
      <w:pPr>
        <w:pStyle w:val="67"/>
        <w:spacing w:before="156" w:after="156"/>
      </w:pPr>
      <w:r>
        <w:rPr>
          <w:rFonts w:hint="eastAsia"/>
        </w:rPr>
        <w:t>结构构件设计内力调整、构造措施等按《建筑抗震设计规范》GB50011相关规定采用。</w:t>
      </w:r>
    </w:p>
    <w:p>
      <w:pPr>
        <w:pStyle w:val="67"/>
        <w:spacing w:before="156" w:after="156"/>
      </w:pPr>
      <w:r>
        <w:rPr>
          <w:rFonts w:hint="eastAsia"/>
        </w:rPr>
        <w:t>与结构承载力相关的内力调整按《建筑抗震设计规范》GB50011相关规定采用。</w:t>
      </w:r>
    </w:p>
    <w:p>
      <w:pPr>
        <w:pStyle w:val="67"/>
        <w:spacing w:before="156" w:after="156"/>
      </w:pPr>
      <w:r>
        <w:rPr>
          <w:rFonts w:hint="eastAsia"/>
        </w:rPr>
        <w:t>混凝土抗震墙应符合下列规定：</w:t>
      </w:r>
    </w:p>
    <w:p>
      <w:pPr>
        <w:pStyle w:val="111"/>
        <w:numPr>
          <w:ilvl w:val="1"/>
          <w:numId w:val="50"/>
        </w:numPr>
      </w:pPr>
      <w:r>
        <w:rPr>
          <w:rFonts w:hint="eastAsia"/>
        </w:rPr>
        <w:t>抗震墙重力荷载代表值作用下的轴压比，抗震等级为一级时，9度不宜大于0.4，7、8度不宜大于0.5；抗震等级为二级、三级时，不宜大于0.6；</w:t>
      </w:r>
    </w:p>
    <w:p>
      <w:pPr>
        <w:pStyle w:val="111"/>
        <w:numPr>
          <w:ilvl w:val="1"/>
          <w:numId w:val="50"/>
        </w:numPr>
      </w:pPr>
      <w:r>
        <w:rPr>
          <w:rFonts w:hint="eastAsia"/>
        </w:rPr>
        <w:t>2抗震墙竖向和横向分布钢筋，抗震等级为一、二、三级时竖向和横向分布钢筋最小配筋率不应小于0.25%，抗震等级为四级时不应小于0.20%。</w:t>
      </w:r>
    </w:p>
    <w:p>
      <w:pPr>
        <w:pStyle w:val="111"/>
        <w:numPr>
          <w:ilvl w:val="1"/>
          <w:numId w:val="50"/>
        </w:numPr>
      </w:pPr>
      <w:r>
        <w:rPr>
          <w:rFonts w:hint="eastAsia"/>
        </w:rPr>
        <w:t>3抗震墙和开洞抗震墙下应设置转换梁，转换梁应符合下列规定：</w:t>
      </w:r>
    </w:p>
    <w:p>
      <w:pPr>
        <w:pStyle w:val="189"/>
      </w:pPr>
      <w:r>
        <w:rPr>
          <w:rFonts w:hint="eastAsia"/>
        </w:rPr>
        <w:t>转换次数不宜大于3。</w:t>
      </w:r>
    </w:p>
    <w:p>
      <w:pPr>
        <w:pStyle w:val="189"/>
      </w:pPr>
      <w:r>
        <w:rPr>
          <w:rFonts w:hint="eastAsia"/>
        </w:rPr>
        <w:t>梁上下纵向钢筋最小配筋率，一级和二级分别不应小于0.6%和0.5%。</w:t>
      </w:r>
    </w:p>
    <w:p>
      <w:pPr>
        <w:pStyle w:val="189"/>
      </w:pPr>
      <w:r>
        <w:rPr>
          <w:rFonts w:hint="eastAsia"/>
        </w:rPr>
        <w:t>支座处距柱边1.5倍梁高范围内，以及抗震墙洞口处距洞口两侧1.5倍梁高范围内的箍筋应加密，箍筋直径不应小于12mm，间距不应大于100mm。加密区含箍率不应小于1.3f</w:t>
      </w:r>
      <w:r>
        <w:rPr>
          <w:rFonts w:hint="eastAsia"/>
          <w:vertAlign w:val="subscript"/>
        </w:rPr>
        <w:t>t</w:t>
      </w:r>
      <w:r>
        <w:rPr>
          <w:rFonts w:hint="eastAsia"/>
        </w:rPr>
        <w:t>/f</w:t>
      </w:r>
      <w:r>
        <w:rPr>
          <w:rFonts w:hint="eastAsia"/>
          <w:vertAlign w:val="subscript"/>
        </w:rPr>
        <w:t>vy</w:t>
      </w:r>
      <w:r>
        <w:rPr>
          <w:rFonts w:hint="eastAsia"/>
        </w:rPr>
        <w:t>。</w:t>
      </w:r>
    </w:p>
    <w:p>
      <w:pPr>
        <w:pStyle w:val="67"/>
        <w:spacing w:before="156" w:after="156"/>
      </w:pPr>
      <w:r>
        <w:rPr>
          <w:rFonts w:hint="eastAsia"/>
        </w:rPr>
        <w:t>钢筋混凝土结构设计除应符合本标准规定外，其余设计要求均应符合国家现行标准《建筑抗震设计规范》GB50011 和《高层建筑混凝土结构技术规程》JGJ 3的有关规定。</w:t>
      </w:r>
    </w:p>
    <w:p>
      <w:pPr>
        <w:pStyle w:val="67"/>
        <w:spacing w:before="156" w:after="156"/>
      </w:pPr>
      <w:r>
        <w:rPr>
          <w:rFonts w:hint="eastAsia"/>
        </w:rPr>
        <w:t>钢结构柱应符合下列规定：</w:t>
      </w:r>
    </w:p>
    <w:p>
      <w:pPr>
        <w:pStyle w:val="111"/>
        <w:numPr>
          <w:ilvl w:val="1"/>
          <w:numId w:val="51"/>
        </w:numPr>
      </w:pPr>
      <w:r>
        <w:rPr>
          <w:rFonts w:hint="eastAsia"/>
        </w:rPr>
        <w:t>柱长细比应符合下列规定：</w:t>
      </w:r>
    </w:p>
    <w:p>
      <w:pPr>
        <w:pStyle w:val="115"/>
      </w:pPr>
      <w:r>
        <w:tab/>
      </w:r>
      <m:oMath>
        <m:r>
          <m:rPr/>
          <w:rPr>
            <w:rFonts w:ascii="Cambria Math" w:hAnsi="Cambria Math"/>
          </w:rPr>
          <m:t>λ≤β</m:t>
        </m:r>
        <m:rad>
          <m:radPr>
            <m:degHide m:val="1"/>
            <m:ctrlPr>
              <w:rPr>
                <w:rFonts w:ascii="Cambria Math" w:hAnsi="Cambria Math"/>
                <w:i/>
              </w:rPr>
            </m:ctrlPr>
          </m:radPr>
          <m:deg>
            <m:ctrlPr>
              <w:rPr>
                <w:rFonts w:ascii="Cambria Math" w:hAnsi="Cambria Math"/>
                <w:i/>
              </w:rPr>
            </m:ctrlPr>
          </m:deg>
          <m:e>
            <m:r>
              <m:rPr/>
              <w:rPr>
                <w:rFonts w:ascii="Cambria Math" w:hAnsi="Cambria Math"/>
              </w:rPr>
              <m:t>235/</m:t>
            </m:r>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ay</m:t>
                </m:r>
                <m:ctrlPr>
                  <w:rPr>
                    <w:rFonts w:ascii="Cambria Math" w:hAnsi="Cambria Math"/>
                    <w:i/>
                  </w:rPr>
                </m:ctrlPr>
              </m:sub>
            </m:sSub>
            <m:ctrlPr>
              <w:rPr>
                <w:rFonts w:ascii="Cambria Math" w:hAnsi="Cambria Math"/>
                <w:i/>
              </w:rPr>
            </m:ctrlPr>
          </m:e>
        </m:rad>
      </m:oMath>
      <w:r>
        <w:rPr>
          <w:rFonts w:ascii="微软雅黑" w:hAnsi="微软雅黑" w:eastAsia="微软雅黑"/>
        </w:rPr>
        <w:tab/>
      </w:r>
      <w:r>
        <w:t>(15.3.6)</w:t>
      </w:r>
    </w:p>
    <w:p>
      <w:pPr>
        <w:pStyle w:val="57"/>
        <w:ind w:firstLine="420"/>
      </w:pPr>
      <w:r>
        <w:rPr>
          <w:rFonts w:hint="eastAsia"/>
        </w:rPr>
        <w:t>式中：</w:t>
      </w:r>
      <w:r>
        <w:rPr>
          <w:rFonts w:cs="Calibri"/>
        </w:rPr>
        <w:t>λ</w:t>
      </w:r>
      <w:r>
        <w:rPr>
          <w:rFonts w:hint="eastAsia"/>
        </w:rPr>
        <w:t>——柱的长细比；</w:t>
      </w:r>
    </w:p>
    <w:p>
      <w:pPr>
        <w:pStyle w:val="58"/>
        <w:ind w:firstLine="420"/>
      </w:pPr>
      <w:r>
        <w:tab/>
      </w:r>
      <w:r>
        <w:t xml:space="preserve">  </w:t>
      </w:r>
      <w:r>
        <w:rPr>
          <w:rFonts w:ascii="Times New Roman"/>
        </w:rPr>
        <w:t>β——</w:t>
      </w:r>
      <w:r>
        <w:rPr>
          <w:rFonts w:hint="eastAsia" w:ascii="Times New Roman"/>
        </w:rPr>
        <w:t>计算系数，一、二、三、四级时，分别取</w:t>
      </w:r>
      <w:r>
        <w:rPr>
          <w:rFonts w:ascii="Times New Roman"/>
        </w:rPr>
        <w:t xml:space="preserve"> 50</w:t>
      </w:r>
      <w:r>
        <w:rPr>
          <w:rFonts w:hint="eastAsia" w:ascii="Times New Roman"/>
        </w:rPr>
        <w:t>、</w:t>
      </w:r>
      <w:r>
        <w:rPr>
          <w:rFonts w:ascii="Times New Roman"/>
        </w:rPr>
        <w:t>70</w:t>
      </w:r>
      <w:r>
        <w:rPr>
          <w:rFonts w:hint="eastAsia" w:ascii="Times New Roman"/>
        </w:rPr>
        <w:t>、</w:t>
      </w:r>
      <w:r>
        <w:rPr>
          <w:rFonts w:ascii="Times New Roman"/>
        </w:rPr>
        <w:t>90</w:t>
      </w:r>
      <w:r>
        <w:rPr>
          <w:rFonts w:hint="eastAsia" w:ascii="Times New Roman"/>
        </w:rPr>
        <w:t>、</w:t>
      </w:r>
      <w:r>
        <w:rPr>
          <w:rFonts w:ascii="Times New Roman"/>
        </w:rPr>
        <w:t>110</w:t>
      </w:r>
      <w:r>
        <w:rPr>
          <w:rFonts w:hint="eastAsia" w:ascii="Times New Roman"/>
        </w:rPr>
        <w:t>；</w:t>
      </w:r>
    </w:p>
    <w:p>
      <w:pPr>
        <w:pStyle w:val="58"/>
        <w:ind w:left="420" w:firstLine="630" w:firstLineChars="300"/>
        <w:rPr>
          <w:rFonts w:ascii="Times New Roman"/>
        </w:rPr>
      </w:pPr>
      <m:oMath>
        <m:sSub>
          <m:sSubPr>
            <m:ctrlPr>
              <w:rPr>
                <w:rFonts w:ascii="Cambria Math" w:hAnsi="Cambria Math"/>
                <w:i/>
                <w:kern w:val="2"/>
                <w:szCs w:val="21"/>
              </w:rPr>
            </m:ctrlPr>
          </m:sSubPr>
          <m:e>
            <m:r>
              <m:rPr/>
              <w:rPr>
                <w:rFonts w:ascii="Cambria Math" w:hAnsi="Cambria Math"/>
              </w:rPr>
              <m:t>f</m:t>
            </m:r>
            <m:ctrlPr>
              <w:rPr>
                <w:rFonts w:ascii="Cambria Math" w:hAnsi="Cambria Math"/>
                <w:i/>
                <w:kern w:val="2"/>
                <w:szCs w:val="21"/>
              </w:rPr>
            </m:ctrlPr>
          </m:e>
          <m:sub>
            <m:r>
              <m:rPr/>
              <w:rPr>
                <w:rFonts w:ascii="Cambria Math" w:hAnsi="Cambria Math"/>
              </w:rPr>
              <m:t>ay</m:t>
            </m:r>
            <m:ctrlPr>
              <w:rPr>
                <w:rFonts w:ascii="Cambria Math" w:hAnsi="Cambria Math"/>
                <w:i/>
                <w:kern w:val="2"/>
                <w:szCs w:val="21"/>
              </w:rPr>
            </m:ctrlPr>
          </m:sub>
        </m:sSub>
      </m:oMath>
      <w:r>
        <w:rPr>
          <w:rFonts w:ascii="Times New Roman"/>
        </w:rPr>
        <w:t>——</w:t>
      </w:r>
      <w:r>
        <w:rPr>
          <w:rFonts w:hint="eastAsia" w:ascii="Times New Roman"/>
        </w:rPr>
        <w:t>钢材屈服强度</w:t>
      </w:r>
      <w:r>
        <w:rPr>
          <w:rFonts w:ascii="Times New Roman"/>
        </w:rPr>
        <w:t>(MPa)</w:t>
      </w:r>
      <w:r>
        <w:rPr>
          <w:rFonts w:hint="eastAsia" w:ascii="Times New Roman"/>
        </w:rPr>
        <w:t>;</w:t>
      </w:r>
    </w:p>
    <w:p>
      <w:pPr>
        <w:pStyle w:val="111"/>
      </w:pPr>
      <w:r>
        <w:rPr>
          <w:rFonts w:hint="eastAsia"/>
        </w:rPr>
        <w:t>上部结构底层不应采用偏心支撑，宜采用屈曲约束支撑或中心支撑。</w:t>
      </w:r>
    </w:p>
    <w:p>
      <w:pPr>
        <w:pStyle w:val="67"/>
        <w:spacing w:before="156" w:after="156"/>
      </w:pPr>
      <w:r>
        <w:rPr>
          <w:rFonts w:hint="eastAsia"/>
        </w:rPr>
        <w:t>隔震结构抗震计算时，钢框架-支撑结构的框架部分按刚度分配计算得到的地震层剪力应乘以调整系数，达到不小于上部结构底部总地震剪力的25%和框架部分计算最大层剪力1.8倍二者的较小值。</w:t>
      </w:r>
    </w:p>
    <w:p>
      <w:pPr>
        <w:pStyle w:val="58"/>
        <w:ind w:firstLine="0" w:firstLineChars="0"/>
        <w:rPr>
          <w:rFonts w:hint="eastAsia" w:ascii="华文楷体" w:hAnsi="华文楷体" w:eastAsia="华文楷体" w:cs="华文楷体"/>
          <w:color w:val="0000FF"/>
        </w:rPr>
      </w:pPr>
      <w:r>
        <w:rPr>
          <w:rFonts w:hint="eastAsia" w:ascii="华文楷体" w:hAnsi="华文楷体" w:eastAsia="华文楷体" w:cs="华文楷体"/>
          <w:color w:val="0000FF"/>
        </w:rPr>
        <w:t>条文说明:（在设防地震和罕遇地震作用下，隔震层上部钢结构的底层应尽量保持稳定的强度和刚度，以便有效的传递隔震层上、下结构的内力和变形，此时不应采用偏心支撑，宜采用屈曲约束支撑或中心支撑。</w:t>
      </w:r>
    </w:p>
    <w:p>
      <w:pPr>
        <w:pStyle w:val="67"/>
        <w:spacing w:before="156" w:after="156"/>
      </w:pPr>
      <w:r>
        <w:rPr>
          <w:rFonts w:hint="eastAsia"/>
        </w:rPr>
        <w:t>钢结构设计除应符合本标准规定外，其余设计要求均应符合国家现行标准《钢结构设计标准》GB</w:t>
      </w:r>
      <w:r>
        <w:t xml:space="preserve"> </w:t>
      </w:r>
      <w:r>
        <w:rPr>
          <w:rFonts w:hint="eastAsia"/>
        </w:rPr>
        <w:t>50017、《建筑抗震规范》GB</w:t>
      </w:r>
      <w:r>
        <w:t xml:space="preserve"> </w:t>
      </w:r>
      <w:r>
        <w:rPr>
          <w:rFonts w:hint="eastAsia"/>
        </w:rPr>
        <w:t>50011和《高层民用建筑钢结构技术规程》JGJ</w:t>
      </w:r>
      <w:r>
        <w:t xml:space="preserve"> </w:t>
      </w:r>
      <w:r>
        <w:rPr>
          <w:rFonts w:hint="eastAsia"/>
        </w:rPr>
        <w:t>99的有关规定。</w:t>
      </w:r>
    </w:p>
    <w:p>
      <w:pPr>
        <w:pStyle w:val="58"/>
        <w:ind w:firstLine="0" w:firstLineChars="0"/>
      </w:pPr>
      <w:r>
        <w:rPr>
          <w:rFonts w:hint="eastAsia" w:ascii="华文楷体" w:hAnsi="华文楷体" w:eastAsia="华文楷体" w:cs="华文楷体"/>
          <w:color w:val="0000FF"/>
        </w:rPr>
        <w:t xml:space="preserve"> </w:t>
      </w:r>
    </w:p>
    <w:p>
      <w:pPr>
        <w:widowControl/>
        <w:adjustRightInd/>
        <w:spacing w:line="240" w:lineRule="auto"/>
        <w:jc w:val="left"/>
        <w:rPr>
          <w:rFonts w:ascii="黑体" w:hAnsi="Times New Roman" w:eastAsia="黑体"/>
          <w:kern w:val="0"/>
          <w:szCs w:val="20"/>
        </w:rPr>
      </w:pPr>
      <w:r>
        <w:br w:type="page"/>
      </w:r>
    </w:p>
    <w:p>
      <w:pPr>
        <w:pStyle w:val="106"/>
        <w:spacing w:before="312" w:after="312"/>
        <w:jc w:val="center"/>
      </w:pPr>
      <w:bookmarkStart w:id="64" w:name="_Toc92414106"/>
      <w:r>
        <w:rPr>
          <w:rFonts w:hint="eastAsia"/>
        </w:rPr>
        <w:t>多层隔震砌体与石结构建筑</w:t>
      </w:r>
      <w:bookmarkEnd w:id="64"/>
    </w:p>
    <w:p>
      <w:pPr>
        <w:pStyle w:val="107"/>
        <w:spacing w:before="156" w:after="156"/>
        <w:jc w:val="center"/>
      </w:pPr>
      <w:r>
        <w:rPr>
          <w:rFonts w:hint="eastAsia"/>
        </w:rPr>
        <w:t>一般规定</w:t>
      </w:r>
    </w:p>
    <w:p>
      <w:pPr>
        <w:pStyle w:val="167"/>
      </w:pPr>
      <w:r>
        <w:rPr>
          <w:rFonts w:hint="eastAsia"/>
        </w:rPr>
        <w:t>本章适用于普通砖、多孔砖（包括烧结、混凝土多孔砖）和混凝土小型空心砌块（包括配筋混凝土空心砌块）等砌体承重的多层建筑、石结构建筑、底层或底部两层框架-抗震墙砌体建筑的隔震设计。</w:t>
      </w:r>
    </w:p>
    <w:p>
      <w:pPr>
        <w:pStyle w:val="58"/>
        <w:ind w:firstLine="0" w:firstLineChars="0"/>
      </w:pPr>
      <w:r>
        <w:rPr>
          <w:rFonts w:hint="eastAsia" w:ascii="华文楷体" w:hAnsi="华文楷体" w:eastAsia="华文楷体" w:cs="华文楷体"/>
          <w:color w:val="0000FF"/>
        </w:rPr>
        <w:t>条文说明:西藏自治区尚存一定规模的石结构建筑，因此将石结构纳入本章的适用范围。</w:t>
      </w:r>
    </w:p>
    <w:p>
      <w:pPr>
        <w:pStyle w:val="67"/>
        <w:spacing w:before="156" w:after="156"/>
      </w:pPr>
      <w:r>
        <w:rPr>
          <w:rFonts w:hint="eastAsia"/>
        </w:rPr>
        <w:t>标准设防类隔震建筑底部剪力比不大于 0.4 时，建筑物层数和总高度可按降低 1 度的要求采取。</w:t>
      </w:r>
    </w:p>
    <w:p>
      <w:pPr>
        <w:pStyle w:val="58"/>
        <w:ind w:firstLine="0" w:firstLineChars="0"/>
        <w:rPr>
          <w:rFonts w:hint="eastAsia"/>
        </w:rPr>
      </w:pPr>
      <w:r>
        <w:rPr>
          <w:rFonts w:hint="eastAsia" w:ascii="华文楷体" w:hAnsi="华文楷体" w:eastAsia="华文楷体" w:cs="华文楷体"/>
          <w:color w:val="0000FF"/>
        </w:rPr>
        <w:t>条文说明:出于稳妥考虑，甲、乙类建筑与抗震结构的要求相同。</w:t>
      </w:r>
    </w:p>
    <w:p>
      <w:pPr>
        <w:pStyle w:val="67"/>
        <w:spacing w:before="156" w:after="156"/>
      </w:pPr>
      <w:r>
        <w:rPr>
          <w:rFonts w:hint="eastAsia"/>
        </w:rPr>
        <w:t>多层砌体建筑和底部框架-抗震墙建筑采用隔震设计时，应符合下列规定：</w:t>
      </w:r>
    </w:p>
    <w:p>
      <w:pPr>
        <w:pStyle w:val="111"/>
        <w:numPr>
          <w:ilvl w:val="1"/>
          <w:numId w:val="52"/>
        </w:numPr>
      </w:pPr>
      <w:r>
        <w:rPr>
          <w:rFonts w:hint="eastAsia"/>
        </w:rPr>
        <w:t>应优先采用横墙承重或纵横墙共同承重的结构体系；</w:t>
      </w:r>
    </w:p>
    <w:p>
      <w:pPr>
        <w:pStyle w:val="111"/>
        <w:numPr>
          <w:ilvl w:val="1"/>
          <w:numId w:val="52"/>
        </w:numPr>
      </w:pPr>
      <w:r>
        <w:rPr>
          <w:rFonts w:hint="eastAsia"/>
        </w:rPr>
        <w:t xml:space="preserve">隔震层宜设置基础底或地下室顶； </w:t>
      </w:r>
    </w:p>
    <w:p>
      <w:pPr>
        <w:pStyle w:val="111"/>
        <w:numPr>
          <w:ilvl w:val="1"/>
          <w:numId w:val="52"/>
        </w:numPr>
      </w:pPr>
      <w:r>
        <w:rPr>
          <w:rFonts w:hint="eastAsia"/>
        </w:rPr>
        <w:t>底层或底部两层框架-抗震墙结构，当框架-抗震墙部分不超过建筑物总高度的三分之一时，隔震层可设置在框架-抗震墙顶部；</w:t>
      </w:r>
    </w:p>
    <w:p>
      <w:pPr>
        <w:pStyle w:val="58"/>
        <w:ind w:firstLine="0" w:firstLineChars="0"/>
        <w:rPr>
          <w:rFonts w:hint="eastAsia"/>
        </w:rPr>
      </w:pPr>
      <w:r>
        <w:rPr>
          <w:rFonts w:hint="eastAsia" w:ascii="华文楷体" w:hAnsi="华文楷体" w:eastAsia="华文楷体" w:cs="华文楷体"/>
          <w:color w:val="0000FF"/>
        </w:rPr>
        <w:t>条文说明:</w:t>
      </w:r>
      <w:r>
        <w:rPr>
          <w:rFonts w:hint="eastAsia"/>
        </w:rPr>
        <w:t xml:space="preserve"> </w:t>
      </w:r>
      <w:r>
        <w:rPr>
          <w:rFonts w:hint="eastAsia" w:ascii="华文楷体" w:hAnsi="华文楷体" w:eastAsia="华文楷体" w:cs="华文楷体"/>
          <w:color w:val="0000FF"/>
        </w:rPr>
        <w:t>底部框架-抗震墙砌体结构，可采用基础隔震，也可采用层间隔震，但隔震层不宜设置在过高的位置，否则减震效果不好。</w:t>
      </w:r>
    </w:p>
    <w:p>
      <w:pPr>
        <w:pStyle w:val="67"/>
        <w:spacing w:before="156" w:after="156"/>
      </w:pPr>
      <w:r>
        <w:rPr>
          <w:rFonts w:hint="eastAsia"/>
        </w:rPr>
        <w:t>底层框架-抗震墙砌体建筑采用基底隔震设计时，对于底层框架-抗震墙砌体结构，第二层计入构造柱影响的侧向刚度与底层侧向刚度的比值，6、7度时不应大于2.0，8度时不应大于1.5，且均不应小于1.0；对于底部两层框架-抗震墙砌体结构，底层与底部第二层侧向刚度应接近，其第三层计入构造柱影响的侧向刚度与底部第二层侧向刚度的比值，6、7、8度时不应大于1.5，且均不应小于1.0。</w:t>
      </w:r>
    </w:p>
    <w:p>
      <w:pPr>
        <w:pStyle w:val="58"/>
        <w:ind w:firstLine="0" w:firstLineChars="0"/>
        <w:rPr>
          <w:rFonts w:hint="eastAsia" w:ascii="华文楷体" w:hAnsi="华文楷体" w:eastAsia="华文楷体" w:cs="华文楷体"/>
          <w:color w:val="0000FF"/>
        </w:rPr>
      </w:pPr>
      <w:r>
        <w:rPr>
          <w:rFonts w:hint="eastAsia" w:ascii="华文楷体" w:hAnsi="华文楷体" w:eastAsia="华文楷体" w:cs="华文楷体"/>
          <w:color w:val="0000FF"/>
        </w:rPr>
        <w:t>条文说明:上部结构的侧向刚度比较大时隔震效果较差。</w:t>
      </w:r>
    </w:p>
    <w:p>
      <w:pPr>
        <w:pStyle w:val="67"/>
        <w:spacing w:before="156" w:after="156"/>
      </w:pPr>
      <w:r>
        <w:rPr>
          <w:rFonts w:hint="eastAsia"/>
        </w:rPr>
        <w:t>多层砌体隔震建筑、石结构建筑和底部框架-抗震墙隔震建筑的地基及基础设计，应符合本规程第12.2节的相关规定。</w:t>
      </w:r>
    </w:p>
    <w:p>
      <w:pPr>
        <w:pStyle w:val="107"/>
        <w:spacing w:before="156" w:after="156"/>
        <w:jc w:val="center"/>
      </w:pPr>
      <w:r>
        <w:rPr>
          <w:rFonts w:hint="eastAsia"/>
        </w:rPr>
        <w:t>隔震层设计</w:t>
      </w:r>
    </w:p>
    <w:p>
      <w:pPr>
        <w:pStyle w:val="67"/>
        <w:spacing w:before="156" w:after="156"/>
      </w:pPr>
      <w:r>
        <w:rPr>
          <w:rFonts w:hint="eastAsia"/>
        </w:rPr>
        <w:t>多层砌体建筑、石结构建筑和底层框架-抗震墙砌体建筑的隔震层设计，应符合本标准第14章的相关规定。</w:t>
      </w:r>
    </w:p>
    <w:p>
      <w:pPr>
        <w:pStyle w:val="67"/>
        <w:spacing w:before="156" w:after="156"/>
      </w:pPr>
      <w:r>
        <w:rPr>
          <w:rFonts w:hint="eastAsia"/>
        </w:rPr>
        <w:t>多层砌体建筑的隔震层布置，应符合下列规定：</w:t>
      </w:r>
    </w:p>
    <w:p>
      <w:pPr>
        <w:pStyle w:val="111"/>
        <w:numPr>
          <w:ilvl w:val="1"/>
          <w:numId w:val="53"/>
        </w:numPr>
      </w:pPr>
      <w:r>
        <w:rPr>
          <w:rFonts w:hint="eastAsia"/>
        </w:rPr>
        <w:t xml:space="preserve">外墙四角和对应转角部位应布置隔震支座，其余位置的隔震支座应结合隔震层顶部梁受力和隔震支座受力的情况合理布置； </w:t>
      </w:r>
    </w:p>
    <w:p>
      <w:pPr>
        <w:pStyle w:val="111"/>
        <w:numPr>
          <w:ilvl w:val="1"/>
          <w:numId w:val="53"/>
        </w:numPr>
      </w:pPr>
      <w:r>
        <w:rPr>
          <w:rFonts w:hint="eastAsia"/>
        </w:rPr>
        <w:t xml:space="preserve">当隔震层位于地下室顶部时，隔震支座上下应设置混凝土圈梁； </w:t>
      </w:r>
    </w:p>
    <w:p>
      <w:pPr>
        <w:pStyle w:val="111"/>
        <w:numPr>
          <w:ilvl w:val="1"/>
          <w:numId w:val="53"/>
        </w:numPr>
      </w:pPr>
      <w:r>
        <w:rPr>
          <w:rFonts w:hint="eastAsia"/>
        </w:rPr>
        <w:t>采用托墙梁进行隔震转换设计时，托墙梁承载力应按设防烈度地震作用进行弹性验算。</w:t>
      </w:r>
    </w:p>
    <w:p>
      <w:pPr>
        <w:pStyle w:val="58"/>
        <w:ind w:firstLine="0" w:firstLineChars="0"/>
      </w:pPr>
      <w:r>
        <w:rPr>
          <w:rFonts w:hint="eastAsia" w:ascii="华文楷体" w:hAnsi="华文楷体" w:eastAsia="华文楷体" w:cs="华文楷体"/>
          <w:color w:val="0000FF"/>
        </w:rPr>
        <w:t>条文说明:</w:t>
      </w:r>
      <w:r>
        <w:rPr>
          <w:rFonts w:hint="eastAsia"/>
        </w:rPr>
        <w:t xml:space="preserve"> </w:t>
      </w:r>
      <w:r>
        <w:rPr>
          <w:rFonts w:hint="eastAsia" w:ascii="华文楷体" w:hAnsi="华文楷体" w:eastAsia="华文楷体" w:cs="华文楷体"/>
          <w:color w:val="0000FF"/>
        </w:rPr>
        <w:t>多层砌体房屋的隔震层相当于转换层，上部墙体荷载通过隔震层梁板传递给各隔震支座，隔震支座的布置应结合隔震层顶部梁受力和隔震支座受力的情况来确定。但结构房屋四角和对应转角部位处，应布置隔震支座。隔震层顶部梁要转换上部结构墙体荷载，类似于底部框架-抗震墙房屋的钢筋混凝土托墙梁，故构造也应满足托墙梁的要求。</w:t>
      </w:r>
    </w:p>
    <w:p>
      <w:pPr>
        <w:pStyle w:val="67"/>
        <w:spacing w:before="156" w:after="156"/>
      </w:pPr>
      <w:r>
        <w:rPr>
          <w:rFonts w:hint="eastAsia"/>
        </w:rPr>
        <w:t>底部框架-抗震墙建筑的隔震支座平面布置位置，宜设置在框架柱、抗震墙端和抗震墙交叉点处；当采用层间隔震时，隔震层布置要求与多层砌体建筑相同。</w:t>
      </w:r>
    </w:p>
    <w:p>
      <w:pPr>
        <w:pStyle w:val="58"/>
        <w:ind w:firstLine="420"/>
      </w:pPr>
    </w:p>
    <w:p>
      <w:pPr>
        <w:pStyle w:val="107"/>
        <w:spacing w:before="156" w:after="156"/>
        <w:jc w:val="center"/>
      </w:pPr>
      <w:r>
        <w:rPr>
          <w:rFonts w:hint="eastAsia"/>
        </w:rPr>
        <w:t>结构设计</w:t>
      </w:r>
    </w:p>
    <w:p>
      <w:pPr>
        <w:pStyle w:val="67"/>
        <w:spacing w:before="156" w:after="156"/>
      </w:pPr>
      <w:r>
        <w:rPr>
          <w:rFonts w:hint="eastAsia"/>
        </w:rPr>
        <w:t>多层砌体建筑、石结构建筑和底部框架-抗震墙砌体建筑的隔震设计可采用底部剪力法进行计算分析；重点设防类建筑、层间隔震、房屋平面或竖向不规则及多塔结构，尚应采用振型分解反应谱法或时程分析方法作补充计算。</w:t>
      </w:r>
    </w:p>
    <w:p>
      <w:pPr>
        <w:pStyle w:val="58"/>
        <w:ind w:firstLine="0" w:firstLineChars="0"/>
        <w:rPr>
          <w:rFonts w:hint="eastAsia"/>
        </w:rPr>
      </w:pPr>
      <w:r>
        <w:rPr>
          <w:rFonts w:hint="eastAsia" w:ascii="华文楷体" w:hAnsi="华文楷体" w:eastAsia="华文楷体" w:cs="华文楷体"/>
          <w:color w:val="0000FF"/>
        </w:rPr>
        <w:t>条文说明:</w:t>
      </w:r>
      <w:r>
        <w:rPr>
          <w:rFonts w:hint="eastAsia"/>
        </w:rPr>
        <w:t xml:space="preserve"> </w:t>
      </w:r>
      <w:r>
        <w:rPr>
          <w:rFonts w:hint="eastAsia" w:ascii="华文楷体" w:hAnsi="华文楷体" w:eastAsia="华文楷体" w:cs="华文楷体"/>
          <w:color w:val="0000FF"/>
        </w:rPr>
        <w:t>对于重要的建筑、层间隔震的建筑、上部结构的不规则的房屋，或隔震层楼板相连，上部结构首层以上设置防震缝的房屋，底部剪力法计算时可能存在较大误差，应采用振型分解反应谱法或时程分析方法作补充计算。</w:t>
      </w:r>
    </w:p>
    <w:p>
      <w:pPr>
        <w:pStyle w:val="67"/>
        <w:spacing w:before="156" w:after="156"/>
      </w:pPr>
      <w:r>
        <w:rPr>
          <w:rFonts w:hint="eastAsia"/>
        </w:rPr>
        <w:t>抗震等级可按底部剪力比及相应的抗震设防烈度确定；除应符合现行国家标准《建筑抗震设计规范》GB50011相应设防烈度的规定外，尚应符合下列规定：</w:t>
      </w:r>
    </w:p>
    <w:p>
      <w:pPr>
        <w:pStyle w:val="111"/>
        <w:numPr>
          <w:ilvl w:val="1"/>
          <w:numId w:val="54"/>
        </w:numPr>
      </w:pPr>
      <w:r>
        <w:rPr>
          <w:rFonts w:hint="eastAsia"/>
        </w:rPr>
        <w:t>隔震结构底部剪力比大于0.4时，隔震结构应按本地区设防烈度规定采取相应的抗震措施，并应符合现行国家标准《建筑抗震设计规范》GB50011的规定；</w:t>
      </w:r>
    </w:p>
    <w:p>
      <w:pPr>
        <w:pStyle w:val="111"/>
        <w:numPr>
          <w:ilvl w:val="1"/>
          <w:numId w:val="54"/>
        </w:numPr>
      </w:pPr>
      <w:r>
        <w:rPr>
          <w:rFonts w:hint="eastAsia"/>
        </w:rPr>
        <w:t>隔震结构底部剪力比不大于0.4时，上部结构可按本地区设防烈度降低1度确定抗震措施；</w:t>
      </w:r>
    </w:p>
    <w:p>
      <w:pPr>
        <w:pStyle w:val="111"/>
        <w:numPr>
          <w:ilvl w:val="1"/>
          <w:numId w:val="54"/>
        </w:numPr>
      </w:pPr>
      <w:r>
        <w:rPr>
          <w:rFonts w:hint="eastAsia"/>
        </w:rPr>
        <w:t>与竖向地震作用有关的抗震措施，应符合按本地区设防烈度的规定，不得降低。</w:t>
      </w:r>
    </w:p>
    <w:p>
      <w:pPr>
        <w:pStyle w:val="58"/>
        <w:ind w:firstLine="0" w:firstLineChars="0"/>
      </w:pPr>
      <w:r>
        <w:rPr>
          <w:rFonts w:hint="eastAsia" w:ascii="华文楷体" w:hAnsi="华文楷体" w:eastAsia="华文楷体" w:cs="华文楷体"/>
          <w:color w:val="0000FF"/>
        </w:rPr>
        <w:t>条文说明:隔震结构对竖向地震无减震效果，因此，竖向地震作用有关的抗震措施不得降低。</w:t>
      </w:r>
    </w:p>
    <w:p>
      <w:pPr>
        <w:pStyle w:val="67"/>
        <w:spacing w:before="156" w:after="156"/>
      </w:pPr>
      <w:r>
        <w:rPr>
          <w:rFonts w:hint="eastAsia"/>
        </w:rPr>
        <w:t>底部框架-抗震墙砌体建筑采用基底隔震设计时，底部框架-抗震墙砌体建筑的地震作用效应，应按抗震结构的相关规定调整，上部砌体结构按本章的规定进行设计；当采用层间隔震设计时，下部结构可采用框架，尚应符合本标准第15.2节的有关规定。</w:t>
      </w:r>
    </w:p>
    <w:p>
      <w:pPr>
        <w:pStyle w:val="67"/>
        <w:spacing w:before="156" w:after="156"/>
      </w:pPr>
      <w:r>
        <w:rPr>
          <w:rFonts w:hint="eastAsia"/>
        </w:rPr>
        <w:t>当上部结构需要考虑竖向地震作用时，托墙梁尚应计入竖向地震作用。</w:t>
      </w:r>
    </w:p>
    <w:p>
      <w:pPr>
        <w:pStyle w:val="67"/>
        <w:spacing w:before="156" w:after="156"/>
      </w:pPr>
      <w:r>
        <w:rPr>
          <w:rFonts w:hint="eastAsia"/>
        </w:rPr>
        <w:t>隔震层顶部楼盖宜采用整体钢筋混凝土梁板式楼盖，板厚不宜小于160mm；应采用双排双向配筋；应少开洞、开小洞，当洞口尺寸大于 800mm 时，洞口周边应设置边梁。</w:t>
      </w:r>
    </w:p>
    <w:p>
      <w:pPr>
        <w:pStyle w:val="58"/>
        <w:ind w:firstLine="0" w:firstLineChars="0"/>
        <w:rPr>
          <w:rFonts w:hint="eastAsia"/>
        </w:rPr>
      </w:pPr>
      <w:r>
        <w:rPr>
          <w:rFonts w:hint="eastAsia" w:ascii="华文楷体" w:hAnsi="华文楷体" w:eastAsia="华文楷体" w:cs="华文楷体"/>
          <w:color w:val="0000FF"/>
        </w:rPr>
        <w:t>条文说明:砌体结构对变形较为敏感，加强隔震层顶部楼盖，有益于提高砌体结构整体性，抑制不均匀沉降的发生。</w:t>
      </w:r>
    </w:p>
    <w:p>
      <w:pPr>
        <w:pStyle w:val="67"/>
        <w:spacing w:before="156" w:after="156"/>
      </w:pPr>
      <w:r>
        <w:rPr>
          <w:rFonts w:hint="eastAsia"/>
        </w:rPr>
        <w:t>结构构件设计内力调整、构造措施等按《建筑抗震设计规范》GB</w:t>
      </w:r>
      <w:r>
        <w:t xml:space="preserve"> </w:t>
      </w:r>
      <w:r>
        <w:rPr>
          <w:rFonts w:hint="eastAsia"/>
        </w:rPr>
        <w:t>50011相关规定采用。</w:t>
      </w:r>
    </w:p>
    <w:p>
      <w:pPr>
        <w:pStyle w:val="67"/>
        <w:spacing w:before="156" w:after="156"/>
      </w:pPr>
      <w:r>
        <w:rPr>
          <w:rFonts w:hint="eastAsia"/>
        </w:rPr>
        <w:t>结构整体构造措施等按《建筑抗震设计规范》GB</w:t>
      </w:r>
      <w:r>
        <w:t xml:space="preserve"> </w:t>
      </w:r>
      <w:r>
        <w:rPr>
          <w:rFonts w:hint="eastAsia"/>
        </w:rPr>
        <w:t>50011相关规定采用。</w:t>
      </w:r>
    </w:p>
    <w:p>
      <w:pPr>
        <w:pStyle w:val="176"/>
        <w:numPr>
          <w:ilvl w:val="0"/>
          <w:numId w:val="0"/>
        </w:numPr>
        <w:ind w:left="851" w:hanging="426"/>
      </w:pPr>
    </w:p>
    <w:p>
      <w:pPr>
        <w:widowControl/>
        <w:adjustRightInd/>
        <w:spacing w:line="240" w:lineRule="auto"/>
        <w:rPr>
          <w:rFonts w:ascii="黑体" w:hAnsi="Times New Roman" w:eastAsia="黑体"/>
          <w:kern w:val="0"/>
          <w:szCs w:val="20"/>
        </w:rPr>
      </w:pPr>
      <w:r>
        <w:br w:type="page"/>
      </w:r>
    </w:p>
    <w:p>
      <w:pPr>
        <w:pStyle w:val="106"/>
        <w:spacing w:before="312" w:after="312"/>
        <w:jc w:val="center"/>
      </w:pPr>
      <w:bookmarkStart w:id="65" w:name="_Toc92414107"/>
      <w:r>
        <w:rPr>
          <w:rFonts w:hint="eastAsia"/>
        </w:rPr>
        <w:t>既有建筑隔震加固</w:t>
      </w:r>
      <w:bookmarkEnd w:id="65"/>
    </w:p>
    <w:p>
      <w:pPr>
        <w:pStyle w:val="107"/>
        <w:spacing w:before="156" w:after="156"/>
        <w:jc w:val="center"/>
      </w:pPr>
      <w:r>
        <w:rPr>
          <w:rFonts w:hint="eastAsia"/>
        </w:rPr>
        <w:t>一般规定</w:t>
      </w:r>
    </w:p>
    <w:p>
      <w:pPr>
        <w:pStyle w:val="67"/>
        <w:spacing w:before="156" w:after="156"/>
      </w:pPr>
      <w:r>
        <w:rPr>
          <w:rFonts w:hint="eastAsia"/>
        </w:rPr>
        <w:t>本章适用于经鉴定不满足抗震设防要求的既有建筑及历史建筑的隔震加固。</w:t>
      </w:r>
    </w:p>
    <w:p>
      <w:pPr>
        <w:pStyle w:val="67"/>
        <w:spacing w:before="156" w:after="156"/>
      </w:pPr>
      <w:r>
        <w:rPr>
          <w:rFonts w:hint="eastAsia"/>
        </w:rPr>
        <w:t>既有建筑的隔震加固应采用加强结构抗震整体性的构造措施。历史建筑进行隔震加固宜使上部结构不做明显改动。</w:t>
      </w:r>
    </w:p>
    <w:p>
      <w:pPr>
        <w:pStyle w:val="58"/>
        <w:ind w:firstLine="0" w:firstLineChars="0"/>
        <w:rPr>
          <w:rFonts w:hint="eastAsia"/>
        </w:rPr>
      </w:pPr>
      <w:r>
        <w:rPr>
          <w:rFonts w:hint="eastAsia" w:ascii="华文楷体" w:hAnsi="华文楷体" w:eastAsia="华文楷体" w:cs="华文楷体"/>
          <w:color w:val="0000FF"/>
        </w:rPr>
        <w:t>条文说明:</w:t>
      </w:r>
      <w:r>
        <w:rPr>
          <w:rFonts w:hint="eastAsia"/>
        </w:rPr>
        <w:t xml:space="preserve"> </w:t>
      </w:r>
      <w:r>
        <w:rPr>
          <w:rFonts w:hint="eastAsia" w:ascii="华文楷体" w:hAnsi="华文楷体" w:eastAsia="华文楷体" w:cs="华文楷体"/>
          <w:color w:val="0000FF"/>
        </w:rPr>
        <w:t>历史建筑进行隔震加固设计应考虑到修旧如旧的诉求。</w:t>
      </w:r>
    </w:p>
    <w:p>
      <w:pPr>
        <w:pStyle w:val="67"/>
        <w:spacing w:before="156" w:after="156"/>
      </w:pPr>
      <w:r>
        <w:rPr>
          <w:rFonts w:hint="eastAsia"/>
        </w:rPr>
        <w:t>采用隔震技术加固的既有建筑除应符合本标准外，尚应符合国家现行标准的相关规定。</w:t>
      </w:r>
    </w:p>
    <w:p>
      <w:pPr>
        <w:pStyle w:val="107"/>
        <w:spacing w:before="156" w:after="156"/>
        <w:jc w:val="center"/>
      </w:pPr>
      <w:r>
        <w:rPr>
          <w:rFonts w:hint="eastAsia"/>
        </w:rPr>
        <w:t>地基础加固</w:t>
      </w:r>
    </w:p>
    <w:p>
      <w:pPr>
        <w:pStyle w:val="67"/>
        <w:spacing w:before="156" w:after="156"/>
      </w:pPr>
      <w:r>
        <w:rPr>
          <w:rFonts w:hint="eastAsia"/>
        </w:rPr>
        <w:t>隔震加固时，应考虑上部结构及隔震层的荷载变化，以及传力途径的改变，并对原有地基基础进行承载力复核。</w:t>
      </w:r>
    </w:p>
    <w:p>
      <w:pPr>
        <w:pStyle w:val="58"/>
        <w:ind w:firstLine="0" w:firstLineChars="0"/>
        <w:rPr>
          <w:rFonts w:hint="eastAsia"/>
        </w:rPr>
      </w:pPr>
      <w:r>
        <w:rPr>
          <w:rFonts w:hint="eastAsia" w:ascii="华文楷体" w:hAnsi="华文楷体" w:eastAsia="华文楷体" w:cs="华文楷体"/>
          <w:color w:val="0000FF"/>
        </w:rPr>
        <w:t>条文说明:可考虑地基在建筑物长期压力下，由于地基土固结引起的地基承载力提高，但应有确实的依据（如地基承载力原位试验）。</w:t>
      </w:r>
    </w:p>
    <w:p>
      <w:pPr>
        <w:pStyle w:val="67"/>
        <w:spacing w:before="156" w:after="156"/>
      </w:pPr>
      <w:r>
        <w:rPr>
          <w:rFonts w:hint="eastAsia"/>
        </w:rPr>
        <w:t>采用混凝土条形基础加固时，应按弹性地基梁进行地基基础验算。</w:t>
      </w:r>
    </w:p>
    <w:p>
      <w:pPr>
        <w:pStyle w:val="67"/>
        <w:spacing w:before="156" w:after="156"/>
      </w:pPr>
      <w:r>
        <w:rPr>
          <w:rFonts w:hint="eastAsia"/>
        </w:rPr>
        <w:t>当原基础埋深较浅不便于隔震层设置时，可采用变截面梁或增设支点的方式，减小梁高以便于隔震支座的设置。承载力复核。</w:t>
      </w:r>
    </w:p>
    <w:p>
      <w:pPr>
        <w:pStyle w:val="58"/>
        <w:ind w:firstLine="0" w:firstLineChars="0"/>
        <w:rPr>
          <w:rFonts w:hint="eastAsia" w:ascii="华文楷体" w:hAnsi="华文楷体" w:eastAsia="华文楷体" w:cs="华文楷体"/>
          <w:color w:val="0000FF"/>
        </w:rPr>
      </w:pPr>
      <w:r>
        <w:rPr>
          <w:rFonts w:hint="eastAsia" w:ascii="华文楷体" w:hAnsi="华文楷体" w:eastAsia="华文楷体" w:cs="华文楷体"/>
          <w:color w:val="0000FF"/>
        </w:rPr>
        <w:t>条文说明:原结构基础的埋置深度（或基础顶面标高）在很大程度上影响到隔震层的标高选择。一方面，荷载托换需要托换梁或节点具有足够的截面高度；另一方面，隔震层应尽量避免超过原结构的首层标高，从而影响建筑使用功能及门窗。可考虑采用变截面梁或增设支点的方式以减小隔震层截面高度。</w:t>
      </w:r>
    </w:p>
    <w:p>
      <w:pPr>
        <w:pStyle w:val="107"/>
        <w:spacing w:before="156" w:after="156"/>
        <w:jc w:val="center"/>
      </w:pPr>
      <w:r>
        <w:rPr>
          <w:rFonts w:hint="eastAsia"/>
        </w:rPr>
        <w:t>隔震层托换设计</w:t>
      </w:r>
    </w:p>
    <w:p>
      <w:pPr>
        <w:pStyle w:val="67"/>
        <w:spacing w:before="156" w:after="156"/>
      </w:pPr>
      <w:r>
        <w:rPr>
          <w:rFonts w:hint="eastAsia"/>
        </w:rPr>
        <w:t>隔震层楼板宜在同一标高，存在错层时，应加强错层部位的构造措施。多栋单体整体隔震时，连接两个单体的隔震层应做局部加强。</w:t>
      </w:r>
    </w:p>
    <w:p>
      <w:pPr>
        <w:pStyle w:val="58"/>
        <w:ind w:firstLine="0" w:firstLineChars="0"/>
        <w:rPr>
          <w:rFonts w:hint="eastAsia"/>
        </w:rPr>
      </w:pPr>
      <w:r>
        <w:rPr>
          <w:rFonts w:hint="eastAsia" w:ascii="华文楷体" w:hAnsi="华文楷体" w:eastAsia="华文楷体" w:cs="华文楷体"/>
          <w:color w:val="0000FF"/>
        </w:rPr>
        <w:t>条文说明:对于多栋建筑的隔震加固，目前一般有几类做法：（1）隔震层形成整体，上部结构不连接。此时应验算各栋单体之间的地震作用耦合效应以及位移需求；（2）隔震层和上部结构均在各楼层表格处连接，此时应做整体模型的抗震分析，并仍需满足原结构温度缝等设置需求；（3）单体做少量平移，以满足隔震建筑的位移需求；（4）在单体间设置耗能阻尼装置，兼有限位作用。</w:t>
      </w:r>
    </w:p>
    <w:p>
      <w:pPr>
        <w:pStyle w:val="67"/>
        <w:spacing w:before="156" w:after="156"/>
      </w:pPr>
      <w:r>
        <w:rPr>
          <w:rFonts w:hint="eastAsia"/>
        </w:rPr>
        <w:t>上部结构的竖向荷载应通过隔震层有效地传递给下部结构及基础。对于承重墙体、填充墙体及带有构造柱的墙体托换，可选择钢筋混凝土单梁（图17.</w:t>
      </w:r>
      <w:r>
        <w:t>3</w:t>
      </w:r>
      <w:r>
        <w:rPr>
          <w:rFonts w:hint="eastAsia"/>
        </w:rPr>
        <w:t>.2a）或双夹梁托换（图17.</w:t>
      </w:r>
      <w:r>
        <w:t>3</w:t>
      </w:r>
      <w:r>
        <w:rPr>
          <w:rFonts w:hint="eastAsia"/>
        </w:rPr>
        <w:t>.2b）。对于框架柱的荷载托换，可选择钢筋混凝土托换节点（图17.</w:t>
      </w:r>
      <w:r>
        <w:t>3</w:t>
      </w:r>
      <w:r>
        <w:rPr>
          <w:rFonts w:hint="eastAsia"/>
        </w:rPr>
        <w:t>.2c）或型钢混凝土托换节点（图17.</w:t>
      </w:r>
      <w:r>
        <w:t>3</w:t>
      </w:r>
      <w:r>
        <w:rPr>
          <w:rFonts w:hint="eastAsia"/>
        </w:rPr>
        <w:t>.2d），并应与原框架柱通过植筋、后浇混凝土等措施有效传递剪力。托换梁或节点应与隔震层楼板形成整体。</w:t>
      </w:r>
    </w:p>
    <w:p>
      <w:pPr>
        <w:pStyle w:val="58"/>
        <w:ind w:firstLine="420"/>
        <w:jc w:val="center"/>
      </w:pPr>
      <w:r>
        <w:drawing>
          <wp:inline distT="0" distB="0" distL="0" distR="0">
            <wp:extent cx="3357245" cy="23056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20"/>
                    <a:stretch>
                      <a:fillRect/>
                    </a:stretch>
                  </pic:blipFill>
                  <pic:spPr>
                    <a:xfrm>
                      <a:off x="0" y="0"/>
                      <a:ext cx="3363049" cy="2309883"/>
                    </a:xfrm>
                    <a:prstGeom prst="rect">
                      <a:avLst/>
                    </a:prstGeom>
                  </pic:spPr>
                </pic:pic>
              </a:graphicData>
            </a:graphic>
          </wp:inline>
        </w:drawing>
      </w:r>
    </w:p>
    <w:p>
      <w:pPr>
        <w:pStyle w:val="58"/>
        <w:ind w:firstLine="420"/>
        <w:jc w:val="center"/>
      </w:pPr>
      <w:r>
        <w:rPr>
          <w:rFonts w:hint="eastAsia"/>
        </w:rPr>
        <w:t>图17.</w:t>
      </w:r>
      <w:r>
        <w:t>3</w:t>
      </w:r>
      <w:r>
        <w:rPr>
          <w:rFonts w:hint="eastAsia"/>
        </w:rPr>
        <w:t>.2a  单梁墙体托换及隔震支座安装示意图</w:t>
      </w:r>
    </w:p>
    <w:p>
      <w:pPr>
        <w:adjustRightInd/>
        <w:spacing w:line="240" w:lineRule="auto"/>
        <w:jc w:val="center"/>
        <w:rPr>
          <w:rFonts w:ascii="宋体" w:hAnsi="宋体" w:cs="宋体"/>
        </w:rPr>
      </w:pPr>
      <w:r>
        <w:rPr>
          <w:rFonts w:ascii="宋体" w:hAnsi="宋体" w:cs="宋体"/>
        </w:rPr>
        <w:t>1—</w:t>
      </w:r>
      <w:r>
        <w:rPr>
          <w:rFonts w:hint="eastAsia" w:ascii="宋体" w:hAnsi="宋体" w:cs="宋体"/>
        </w:rPr>
        <w:t>隔震支座；</w:t>
      </w:r>
      <w:r>
        <w:rPr>
          <w:rFonts w:ascii="宋体" w:hAnsi="宋体" w:cs="宋体"/>
        </w:rPr>
        <w:t>2—</w:t>
      </w:r>
      <w:r>
        <w:rPr>
          <w:rFonts w:hint="eastAsia" w:ascii="宋体" w:hAnsi="宋体" w:cs="宋体"/>
        </w:rPr>
        <w:t>连接螺栓；</w:t>
      </w:r>
      <w:r>
        <w:rPr>
          <w:rFonts w:ascii="宋体" w:hAnsi="宋体" w:cs="宋体"/>
        </w:rPr>
        <w:t>3—</w:t>
      </w:r>
      <w:r>
        <w:rPr>
          <w:rFonts w:hint="eastAsia" w:ascii="宋体" w:hAnsi="宋体" w:cs="宋体"/>
        </w:rPr>
        <w:t>连接板（上）；</w:t>
      </w:r>
      <w:r>
        <w:rPr>
          <w:rFonts w:ascii="宋体" w:hAnsi="宋体" w:cs="宋体"/>
        </w:rPr>
        <w:t>4—</w:t>
      </w:r>
      <w:r>
        <w:rPr>
          <w:rFonts w:hint="eastAsia" w:ascii="宋体" w:hAnsi="宋体" w:cs="宋体"/>
        </w:rPr>
        <w:t>预埋钢板</w:t>
      </w:r>
      <w:r>
        <w:rPr>
          <w:rFonts w:ascii="宋体" w:hAnsi="宋体" w:cs="宋体"/>
        </w:rPr>
        <w:t xml:space="preserve"> </w:t>
      </w:r>
      <w:r>
        <w:rPr>
          <w:rFonts w:hint="eastAsia" w:ascii="宋体" w:hAnsi="宋体" w:cs="宋体"/>
        </w:rPr>
        <w:t>（上）；</w:t>
      </w:r>
      <w:r>
        <w:rPr>
          <w:rFonts w:ascii="宋体" w:hAnsi="宋体" w:cs="宋体"/>
        </w:rPr>
        <w:t>5—</w:t>
      </w:r>
      <w:r>
        <w:rPr>
          <w:rFonts w:hint="eastAsia" w:ascii="宋体" w:hAnsi="宋体" w:cs="宋体"/>
        </w:rPr>
        <w:t>上支墩；</w:t>
      </w:r>
      <w:r>
        <w:rPr>
          <w:rFonts w:ascii="宋体" w:hAnsi="宋体" w:cs="宋体"/>
        </w:rPr>
        <w:t>6—</w:t>
      </w:r>
      <w:r>
        <w:rPr>
          <w:rFonts w:hint="eastAsia" w:ascii="宋体" w:hAnsi="宋体" w:cs="宋体"/>
        </w:rPr>
        <w:t>连接板（下）；</w:t>
      </w:r>
      <w:r>
        <w:rPr>
          <w:rFonts w:ascii="宋体" w:hAnsi="宋体" w:cs="宋体"/>
        </w:rPr>
        <w:t>7—</w:t>
      </w:r>
      <w:r>
        <w:rPr>
          <w:rFonts w:hint="eastAsia" w:ascii="宋体" w:hAnsi="宋体" w:cs="宋体"/>
        </w:rPr>
        <w:t>预埋钢板（下）；</w:t>
      </w:r>
      <w:r>
        <w:rPr>
          <w:rFonts w:ascii="宋体" w:hAnsi="宋体" w:cs="宋体"/>
        </w:rPr>
        <w:t>8—</w:t>
      </w:r>
      <w:r>
        <w:rPr>
          <w:rFonts w:hint="eastAsia" w:ascii="宋体" w:hAnsi="宋体" w:cs="宋体"/>
        </w:rPr>
        <w:t>下</w:t>
      </w:r>
      <w:r>
        <w:rPr>
          <w:rFonts w:ascii="宋体" w:hAnsi="宋体" w:cs="宋体"/>
        </w:rPr>
        <w:t xml:space="preserve"> </w:t>
      </w:r>
      <w:r>
        <w:rPr>
          <w:rFonts w:hint="eastAsia" w:ascii="宋体" w:hAnsi="宋体" w:cs="宋体"/>
        </w:rPr>
        <w:t>支墩；</w:t>
      </w:r>
      <w:r>
        <w:rPr>
          <w:rFonts w:ascii="宋体" w:hAnsi="宋体" w:cs="宋体"/>
        </w:rPr>
        <w:t>9—</w:t>
      </w:r>
      <w:r>
        <w:rPr>
          <w:rFonts w:hint="eastAsia" w:ascii="宋体" w:hAnsi="宋体" w:cs="宋体"/>
        </w:rPr>
        <w:t>上托换梁；</w:t>
      </w:r>
      <w:r>
        <w:rPr>
          <w:rFonts w:ascii="宋体" w:hAnsi="宋体" w:cs="宋体"/>
        </w:rPr>
        <w:t>10—</w:t>
      </w:r>
      <w:r>
        <w:rPr>
          <w:rFonts w:hint="eastAsia" w:ascii="宋体" w:hAnsi="宋体" w:cs="宋体"/>
        </w:rPr>
        <w:t>下托换梁；</w:t>
      </w:r>
      <w:r>
        <w:rPr>
          <w:rFonts w:ascii="宋体" w:hAnsi="宋体" w:cs="宋体"/>
        </w:rPr>
        <w:t>11—</w:t>
      </w:r>
      <w:r>
        <w:rPr>
          <w:rFonts w:hint="eastAsia" w:ascii="宋体" w:hAnsi="宋体" w:cs="宋体"/>
        </w:rPr>
        <w:t>原墙体</w:t>
      </w:r>
    </w:p>
    <w:p>
      <w:pPr>
        <w:pStyle w:val="58"/>
        <w:ind w:firstLine="420"/>
        <w:jc w:val="center"/>
      </w:pPr>
    </w:p>
    <w:p>
      <w:pPr>
        <w:pStyle w:val="58"/>
        <w:ind w:firstLine="420"/>
        <w:jc w:val="center"/>
      </w:pPr>
      <w:r>
        <w:drawing>
          <wp:inline distT="0" distB="0" distL="0" distR="0">
            <wp:extent cx="3587115" cy="222567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21"/>
                    <a:stretch>
                      <a:fillRect/>
                    </a:stretch>
                  </pic:blipFill>
                  <pic:spPr>
                    <a:xfrm>
                      <a:off x="0" y="0"/>
                      <a:ext cx="3607763" cy="2238708"/>
                    </a:xfrm>
                    <a:prstGeom prst="rect">
                      <a:avLst/>
                    </a:prstGeom>
                  </pic:spPr>
                </pic:pic>
              </a:graphicData>
            </a:graphic>
          </wp:inline>
        </w:drawing>
      </w:r>
    </w:p>
    <w:p>
      <w:pPr>
        <w:pStyle w:val="58"/>
        <w:ind w:firstLine="420"/>
        <w:jc w:val="center"/>
      </w:pPr>
      <w:r>
        <w:rPr>
          <w:rFonts w:hint="eastAsia" w:hAnsi="宋体" w:cs="宋体"/>
          <w:szCs w:val="21"/>
        </w:rPr>
        <w:t>图</w:t>
      </w:r>
      <w:r>
        <w:rPr>
          <w:rFonts w:ascii="Times New Roman"/>
          <w:color w:val="000000" w:themeColor="text1"/>
          <w:szCs w:val="21"/>
          <w14:textFill>
            <w14:solidFill>
              <w14:schemeClr w14:val="tx1"/>
            </w14:solidFill>
          </w14:textFill>
        </w:rPr>
        <w:t>17.3.2b</w:t>
      </w:r>
      <w:r>
        <w:rPr>
          <w:rFonts w:hAnsi="宋体" w:cs="宋体"/>
          <w:szCs w:val="21"/>
        </w:rPr>
        <w:t xml:space="preserve"> </w:t>
      </w:r>
      <w:r>
        <w:rPr>
          <w:rFonts w:hint="eastAsia" w:hAnsi="宋体" w:cs="宋体"/>
          <w:szCs w:val="21"/>
        </w:rPr>
        <w:t>双夹梁墙体托换及隔震支座安装示意图</w:t>
      </w:r>
    </w:p>
    <w:p>
      <w:pPr>
        <w:pStyle w:val="58"/>
        <w:ind w:firstLine="420"/>
        <w:jc w:val="center"/>
        <w:rPr>
          <w:rFonts w:hAnsi="宋体" w:cs="宋体"/>
          <w:szCs w:val="21"/>
        </w:rPr>
      </w:pPr>
      <w:r>
        <w:rPr>
          <w:rFonts w:hAnsi="宋体" w:cs="宋体"/>
          <w:szCs w:val="21"/>
        </w:rPr>
        <w:t>1—</w:t>
      </w:r>
      <w:r>
        <w:rPr>
          <w:rFonts w:hint="eastAsia" w:hAnsi="宋体" w:cs="宋体"/>
          <w:szCs w:val="21"/>
        </w:rPr>
        <w:t>隔震支座；</w:t>
      </w:r>
      <w:r>
        <w:rPr>
          <w:rFonts w:hAnsi="宋体" w:cs="宋体"/>
          <w:szCs w:val="21"/>
        </w:rPr>
        <w:t>2—</w:t>
      </w:r>
      <w:r>
        <w:rPr>
          <w:rFonts w:hint="eastAsia" w:hAnsi="宋体" w:cs="宋体"/>
          <w:szCs w:val="21"/>
        </w:rPr>
        <w:t>连接螺栓；</w:t>
      </w:r>
      <w:r>
        <w:rPr>
          <w:rFonts w:hAnsi="宋体" w:cs="宋体"/>
          <w:szCs w:val="21"/>
        </w:rPr>
        <w:t>3—</w:t>
      </w:r>
      <w:r>
        <w:rPr>
          <w:rFonts w:hint="eastAsia" w:hAnsi="宋体" w:cs="宋体"/>
          <w:szCs w:val="21"/>
        </w:rPr>
        <w:t>连接板（上）；</w:t>
      </w:r>
      <w:r>
        <w:rPr>
          <w:rFonts w:hAnsi="宋体" w:cs="宋体"/>
          <w:szCs w:val="21"/>
        </w:rPr>
        <w:t>4—</w:t>
      </w:r>
      <w:r>
        <w:rPr>
          <w:rFonts w:hint="eastAsia" w:hAnsi="宋体" w:cs="宋体"/>
          <w:szCs w:val="21"/>
        </w:rPr>
        <w:t>预埋钢板（上）；</w:t>
      </w:r>
      <w:r>
        <w:rPr>
          <w:rFonts w:hAnsi="宋体" w:cs="宋体"/>
          <w:szCs w:val="21"/>
        </w:rPr>
        <w:t>5—</w:t>
      </w:r>
      <w:r>
        <w:rPr>
          <w:rFonts w:hint="eastAsia" w:hAnsi="宋体" w:cs="宋体"/>
          <w:szCs w:val="21"/>
        </w:rPr>
        <w:t>上支墩；</w:t>
      </w:r>
      <w:r>
        <w:rPr>
          <w:rFonts w:hAnsi="宋体" w:cs="宋体"/>
          <w:szCs w:val="21"/>
        </w:rPr>
        <w:t>6—</w:t>
      </w:r>
      <w:r>
        <w:rPr>
          <w:rFonts w:hint="eastAsia" w:hAnsi="宋体" w:cs="宋体"/>
          <w:szCs w:val="21"/>
        </w:rPr>
        <w:t>连接板（下）；</w:t>
      </w:r>
      <w:r>
        <w:rPr>
          <w:rFonts w:hAnsi="宋体" w:cs="宋体"/>
          <w:szCs w:val="21"/>
        </w:rPr>
        <w:t>7—</w:t>
      </w:r>
      <w:r>
        <w:rPr>
          <w:rFonts w:hint="eastAsia" w:hAnsi="宋体" w:cs="宋体"/>
          <w:szCs w:val="21"/>
        </w:rPr>
        <w:t>预埋钢板（下）；</w:t>
      </w:r>
      <w:r>
        <w:rPr>
          <w:rFonts w:hAnsi="宋体" w:cs="宋体"/>
          <w:szCs w:val="21"/>
        </w:rPr>
        <w:t>8—</w:t>
      </w:r>
      <w:r>
        <w:rPr>
          <w:rFonts w:hint="eastAsia" w:hAnsi="宋体" w:cs="宋体"/>
          <w:szCs w:val="21"/>
        </w:rPr>
        <w:t>下支墩；</w:t>
      </w:r>
      <w:r>
        <w:rPr>
          <w:rFonts w:hAnsi="宋体" w:cs="宋体"/>
          <w:szCs w:val="21"/>
        </w:rPr>
        <w:t>9—</w:t>
      </w:r>
      <w:r>
        <w:rPr>
          <w:rFonts w:hint="eastAsia" w:hAnsi="宋体" w:cs="宋体"/>
          <w:szCs w:val="21"/>
        </w:rPr>
        <w:t>上托换梁；</w:t>
      </w:r>
      <w:r>
        <w:rPr>
          <w:rFonts w:hAnsi="宋体" w:cs="宋体"/>
          <w:szCs w:val="21"/>
        </w:rPr>
        <w:t>10—</w:t>
      </w:r>
      <w:r>
        <w:rPr>
          <w:rFonts w:hint="eastAsia" w:hAnsi="宋体" w:cs="宋体"/>
          <w:szCs w:val="21"/>
        </w:rPr>
        <w:t>下托换梁；</w:t>
      </w:r>
      <w:r>
        <w:rPr>
          <w:rFonts w:hAnsi="宋体" w:cs="宋体"/>
          <w:szCs w:val="21"/>
        </w:rPr>
        <w:t>11—</w:t>
      </w:r>
      <w:r>
        <w:rPr>
          <w:rFonts w:hint="eastAsia" w:hAnsi="宋体" w:cs="宋体"/>
          <w:szCs w:val="21"/>
        </w:rPr>
        <w:t>原墙体</w:t>
      </w:r>
    </w:p>
    <w:p>
      <w:pPr>
        <w:pStyle w:val="58"/>
        <w:ind w:firstLine="420"/>
        <w:jc w:val="center"/>
      </w:pPr>
      <w:r>
        <w:drawing>
          <wp:inline distT="0" distB="0" distL="0" distR="0">
            <wp:extent cx="3648075" cy="29051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22"/>
                    <a:stretch>
                      <a:fillRect/>
                    </a:stretch>
                  </pic:blipFill>
                  <pic:spPr>
                    <a:xfrm>
                      <a:off x="0" y="0"/>
                      <a:ext cx="3648075" cy="2905125"/>
                    </a:xfrm>
                    <a:prstGeom prst="rect">
                      <a:avLst/>
                    </a:prstGeom>
                  </pic:spPr>
                </pic:pic>
              </a:graphicData>
            </a:graphic>
          </wp:inline>
        </w:drawing>
      </w:r>
    </w:p>
    <w:p>
      <w:pPr>
        <w:adjustRightInd/>
        <w:spacing w:line="240" w:lineRule="auto"/>
        <w:jc w:val="center"/>
        <w:rPr>
          <w:rFonts w:ascii="Times New Roman" w:hAnsi="Times New Roman"/>
          <w:color w:val="000000" w:themeColor="text1"/>
          <w14:textFill>
            <w14:solidFill>
              <w14:schemeClr w14:val="tx1"/>
            </w14:solidFill>
          </w14:textFill>
        </w:rPr>
      </w:pPr>
      <w:r>
        <w:rPr>
          <w:rFonts w:hint="eastAsia" w:ascii="宋体" w:hAnsi="宋体" w:cs="宋体"/>
        </w:rPr>
        <w:t>图</w:t>
      </w:r>
      <w:r>
        <w:rPr>
          <w:rFonts w:ascii="Times New Roman" w:hAnsi="Times New Roman"/>
          <w:color w:val="000000" w:themeColor="text1"/>
          <w14:textFill>
            <w14:solidFill>
              <w14:schemeClr w14:val="tx1"/>
            </w14:solidFill>
          </w14:textFill>
        </w:rPr>
        <w:t xml:space="preserve">17.3.2c  </w:t>
      </w:r>
      <w:r>
        <w:rPr>
          <w:rFonts w:hint="eastAsia" w:ascii="Times New Roman" w:hAnsi="Times New Roman"/>
          <w:color w:val="000000" w:themeColor="text1"/>
          <w14:textFill>
            <w14:solidFill>
              <w14:schemeClr w14:val="tx1"/>
            </w14:solidFill>
          </w14:textFill>
        </w:rPr>
        <w:t>框架柱托换及隔震支座安装示意图（钢筋混凝土托换节点）</w:t>
      </w:r>
      <w:r>
        <w:rPr>
          <w:rFonts w:ascii="Times New Roman" w:hAnsi="Times New Roman"/>
          <w:color w:val="000000" w:themeColor="text1"/>
          <w14:textFill>
            <w14:solidFill>
              <w14:schemeClr w14:val="tx1"/>
            </w14:solidFill>
          </w14:textFill>
        </w:rPr>
        <w:t xml:space="preserve"> </w:t>
      </w:r>
    </w:p>
    <w:p>
      <w:pPr>
        <w:adjustRightInd/>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隔震支座；</w:t>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连接螺栓；</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连接板（上）；</w:t>
      </w:r>
      <w:r>
        <w:rPr>
          <w:rFonts w:ascii="Times New Roman" w:hAnsi="Times New Roman"/>
          <w:color w:val="000000" w:themeColor="text1"/>
          <w14:textFill>
            <w14:solidFill>
              <w14:schemeClr w14:val="tx1"/>
            </w14:solidFill>
          </w14:textFill>
        </w:rPr>
        <w:t>4—</w:t>
      </w:r>
      <w:r>
        <w:rPr>
          <w:rFonts w:hint="eastAsia" w:ascii="Times New Roman" w:hAnsi="Times New Roman"/>
          <w:color w:val="000000" w:themeColor="text1"/>
          <w14:textFill>
            <w14:solidFill>
              <w14:schemeClr w14:val="tx1"/>
            </w14:solidFill>
          </w14:textFill>
        </w:rPr>
        <w:t>预埋钢板（上）；</w:t>
      </w:r>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14:textFill>
            <w14:solidFill>
              <w14:schemeClr w14:val="tx1"/>
            </w14:solidFill>
          </w14:textFill>
        </w:rPr>
        <w:t>上支墩；</w:t>
      </w:r>
      <w:r>
        <w:rPr>
          <w:rFonts w:ascii="Times New Roman" w:hAnsi="Times New Roman"/>
          <w:color w:val="000000" w:themeColor="text1"/>
          <w14:textFill>
            <w14:solidFill>
              <w14:schemeClr w14:val="tx1"/>
            </w14:solidFill>
          </w14:textFill>
        </w:rPr>
        <w:t>6—</w:t>
      </w:r>
      <w:r>
        <w:rPr>
          <w:rFonts w:hint="eastAsia" w:ascii="Times New Roman" w:hAnsi="Times New Roman"/>
          <w:color w:val="000000" w:themeColor="text1"/>
          <w14:textFill>
            <w14:solidFill>
              <w14:schemeClr w14:val="tx1"/>
            </w14:solidFill>
          </w14:textFill>
        </w:rPr>
        <w:t>连接板（下）；</w:t>
      </w:r>
      <w:r>
        <w:rPr>
          <w:rFonts w:ascii="Times New Roman" w:hAnsi="Times New Roman"/>
          <w:color w:val="000000" w:themeColor="text1"/>
          <w14:textFill>
            <w14:solidFill>
              <w14:schemeClr w14:val="tx1"/>
            </w14:solidFill>
          </w14:textFill>
        </w:rPr>
        <w:t>7—</w:t>
      </w:r>
      <w:r>
        <w:rPr>
          <w:rFonts w:hint="eastAsia" w:ascii="Times New Roman" w:hAnsi="Times New Roman"/>
          <w:color w:val="000000" w:themeColor="text1"/>
          <w14:textFill>
            <w14:solidFill>
              <w14:schemeClr w14:val="tx1"/>
            </w14:solidFill>
          </w14:textFill>
        </w:rPr>
        <w:t>预埋钢板（下）；</w:t>
      </w:r>
      <w:r>
        <w:rPr>
          <w:rFonts w:ascii="Times New Roman" w:hAnsi="Times New Roman"/>
          <w:color w:val="000000" w:themeColor="text1"/>
          <w14:textFill>
            <w14:solidFill>
              <w14:schemeClr w14:val="tx1"/>
            </w14:solidFill>
          </w14:textFill>
        </w:rPr>
        <w:t>8—</w:t>
      </w:r>
      <w:r>
        <w:rPr>
          <w:rFonts w:hint="eastAsia" w:ascii="Times New Roman" w:hAnsi="Times New Roman"/>
          <w:color w:val="000000" w:themeColor="text1"/>
          <w14:textFill>
            <w14:solidFill>
              <w14:schemeClr w14:val="tx1"/>
            </w14:solidFill>
          </w14:textFill>
        </w:rPr>
        <w:t>下支墩；</w:t>
      </w:r>
      <w:r>
        <w:rPr>
          <w:rFonts w:ascii="Times New Roman" w:hAnsi="Times New Roman"/>
          <w:color w:val="000000" w:themeColor="text1"/>
          <w14:textFill>
            <w14:solidFill>
              <w14:schemeClr w14:val="tx1"/>
            </w14:solidFill>
          </w14:textFill>
        </w:rPr>
        <w:t>9—</w:t>
      </w:r>
      <w:r>
        <w:rPr>
          <w:rFonts w:hint="eastAsia" w:ascii="Times New Roman" w:hAnsi="Times New Roman"/>
          <w:color w:val="000000" w:themeColor="text1"/>
          <w14:textFill>
            <w14:solidFill>
              <w14:schemeClr w14:val="tx1"/>
            </w14:solidFill>
          </w14:textFill>
        </w:rPr>
        <w:t>包柱梁；</w:t>
      </w:r>
      <w:r>
        <w:rPr>
          <w:rFonts w:ascii="Times New Roman" w:hAnsi="Times New Roman"/>
          <w:color w:val="000000" w:themeColor="text1"/>
          <w14:textFill>
            <w14:solidFill>
              <w14:schemeClr w14:val="tx1"/>
            </w14:solidFill>
          </w14:textFill>
        </w:rPr>
        <w:t>10—</w:t>
      </w:r>
      <w:r>
        <w:rPr>
          <w:rFonts w:hint="eastAsia" w:ascii="Times New Roman" w:hAnsi="Times New Roman"/>
          <w:color w:val="000000" w:themeColor="text1"/>
          <w14:textFill>
            <w14:solidFill>
              <w14:schemeClr w14:val="tx1"/>
            </w14:solidFill>
          </w14:textFill>
        </w:rPr>
        <w:t>所植钢筋；</w:t>
      </w:r>
      <w:r>
        <w:rPr>
          <w:rFonts w:ascii="Times New Roman" w:hAnsi="Times New Roman"/>
          <w:color w:val="000000" w:themeColor="text1"/>
          <w14:textFill>
            <w14:solidFill>
              <w14:schemeClr w14:val="tx1"/>
            </w14:solidFill>
          </w14:textFill>
        </w:rPr>
        <w:t>11—</w:t>
      </w:r>
      <w:r>
        <w:rPr>
          <w:rFonts w:hint="eastAsia" w:ascii="Times New Roman" w:hAnsi="Times New Roman"/>
          <w:color w:val="000000" w:themeColor="text1"/>
          <w14:textFill>
            <w14:solidFill>
              <w14:schemeClr w14:val="tx1"/>
            </w14:solidFill>
          </w14:textFill>
        </w:rPr>
        <w:t>原框架柱</w:t>
      </w:r>
    </w:p>
    <w:p>
      <w:pPr>
        <w:pStyle w:val="58"/>
        <w:ind w:firstLine="420"/>
        <w:jc w:val="center"/>
      </w:pPr>
      <w:r>
        <w:drawing>
          <wp:inline distT="0" distB="0" distL="0" distR="0">
            <wp:extent cx="3838575" cy="29813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23"/>
                    <a:stretch>
                      <a:fillRect/>
                    </a:stretch>
                  </pic:blipFill>
                  <pic:spPr>
                    <a:xfrm>
                      <a:off x="0" y="0"/>
                      <a:ext cx="3838575" cy="2981325"/>
                    </a:xfrm>
                    <a:prstGeom prst="rect">
                      <a:avLst/>
                    </a:prstGeom>
                  </pic:spPr>
                </pic:pic>
              </a:graphicData>
            </a:graphic>
          </wp:inline>
        </w:drawing>
      </w:r>
    </w:p>
    <w:p>
      <w:pPr>
        <w:adjustRightInd/>
        <w:spacing w:line="240" w:lineRule="auto"/>
        <w:jc w:val="center"/>
        <w:rPr>
          <w:rFonts w:ascii="宋体" w:hAnsi="宋体" w:cs="宋体"/>
        </w:rPr>
      </w:pPr>
      <w:r>
        <w:rPr>
          <w:rFonts w:hint="eastAsia" w:ascii="宋体" w:hAnsi="宋体" w:cs="宋体"/>
        </w:rPr>
        <w:t>图</w:t>
      </w:r>
      <w:r>
        <w:rPr>
          <w:rFonts w:ascii="宋体" w:hAnsi="宋体" w:cs="宋体"/>
        </w:rPr>
        <w:t xml:space="preserve">17.3.2d </w:t>
      </w:r>
      <w:r>
        <w:rPr>
          <w:rFonts w:hint="eastAsia" w:ascii="宋体" w:hAnsi="宋体" w:cs="宋体"/>
        </w:rPr>
        <w:t>框架柱托换及隔震支座安装示意图（采用的型钢混凝土托换节点）</w:t>
      </w:r>
    </w:p>
    <w:p>
      <w:pPr>
        <w:adjustRightInd/>
        <w:spacing w:line="240" w:lineRule="auto"/>
        <w:rPr>
          <w:rFonts w:ascii="宋体" w:hAnsi="宋体" w:cs="宋体"/>
        </w:rPr>
      </w:pPr>
      <w:r>
        <w:rPr>
          <w:rFonts w:ascii="宋体" w:hAnsi="宋体" w:cs="宋体"/>
        </w:rPr>
        <w:t>1—</w:t>
      </w:r>
      <w:r>
        <w:rPr>
          <w:rFonts w:hint="eastAsia" w:ascii="宋体" w:hAnsi="宋体" w:cs="宋体"/>
        </w:rPr>
        <w:t>隔震支座；</w:t>
      </w:r>
      <w:r>
        <w:rPr>
          <w:rFonts w:ascii="宋体" w:hAnsi="宋体" w:cs="宋体"/>
        </w:rPr>
        <w:t>2—</w:t>
      </w:r>
      <w:r>
        <w:rPr>
          <w:rFonts w:hint="eastAsia" w:ascii="宋体" w:hAnsi="宋体" w:cs="宋体"/>
        </w:rPr>
        <w:t>连接螺栓；</w:t>
      </w:r>
      <w:r>
        <w:rPr>
          <w:rFonts w:ascii="宋体" w:hAnsi="宋体" w:cs="宋体"/>
        </w:rPr>
        <w:t>3—</w:t>
      </w:r>
      <w:r>
        <w:rPr>
          <w:rFonts w:hint="eastAsia" w:ascii="宋体" w:hAnsi="宋体" w:cs="宋体"/>
        </w:rPr>
        <w:t>连接板（上）；</w:t>
      </w:r>
      <w:r>
        <w:rPr>
          <w:rFonts w:ascii="宋体" w:hAnsi="宋体" w:cs="宋体"/>
        </w:rPr>
        <w:t>4—</w:t>
      </w:r>
      <w:r>
        <w:rPr>
          <w:rFonts w:hint="eastAsia" w:ascii="宋体" w:hAnsi="宋体" w:cs="宋体"/>
        </w:rPr>
        <w:t>预埋钢板（上）；</w:t>
      </w:r>
      <w:r>
        <w:rPr>
          <w:rFonts w:ascii="宋体" w:hAnsi="宋体" w:cs="宋体"/>
        </w:rPr>
        <w:t>5—</w:t>
      </w:r>
      <w:r>
        <w:rPr>
          <w:rFonts w:hint="eastAsia" w:ascii="宋体" w:hAnsi="宋体" w:cs="宋体"/>
        </w:rPr>
        <w:t>上支墩；</w:t>
      </w:r>
      <w:r>
        <w:rPr>
          <w:rFonts w:ascii="宋体" w:hAnsi="宋体" w:cs="宋体"/>
        </w:rPr>
        <w:t>6—</w:t>
      </w:r>
      <w:r>
        <w:rPr>
          <w:rFonts w:hint="eastAsia" w:ascii="宋体" w:hAnsi="宋体" w:cs="宋体"/>
        </w:rPr>
        <w:t>连接板（下）；</w:t>
      </w:r>
      <w:r>
        <w:rPr>
          <w:rFonts w:ascii="宋体" w:hAnsi="宋体" w:cs="宋体"/>
        </w:rPr>
        <w:t>7—</w:t>
      </w:r>
      <w:r>
        <w:rPr>
          <w:rFonts w:hint="eastAsia" w:ascii="宋体" w:hAnsi="宋体" w:cs="宋体"/>
        </w:rPr>
        <w:t>预埋钢板（下）；</w:t>
      </w:r>
      <w:r>
        <w:rPr>
          <w:rFonts w:ascii="宋体" w:hAnsi="宋体" w:cs="宋体"/>
        </w:rPr>
        <w:t>8—</w:t>
      </w:r>
      <w:r>
        <w:rPr>
          <w:rFonts w:hint="eastAsia" w:ascii="宋体" w:hAnsi="宋体" w:cs="宋体"/>
        </w:rPr>
        <w:t>下支墩；</w:t>
      </w:r>
      <w:r>
        <w:rPr>
          <w:rFonts w:ascii="宋体" w:hAnsi="宋体" w:cs="宋体"/>
        </w:rPr>
        <w:t>9—</w:t>
      </w:r>
      <w:r>
        <w:rPr>
          <w:rFonts w:hint="eastAsia" w:ascii="宋体" w:hAnsi="宋体" w:cs="宋体"/>
        </w:rPr>
        <w:t>抗剪棒；</w:t>
      </w:r>
      <w:r>
        <w:rPr>
          <w:rFonts w:ascii="宋体" w:hAnsi="宋体" w:cs="宋体"/>
        </w:rPr>
        <w:t>10—</w:t>
      </w:r>
      <w:r>
        <w:rPr>
          <w:rFonts w:hint="eastAsia" w:ascii="宋体" w:hAnsi="宋体" w:cs="宋体"/>
        </w:rPr>
        <w:t>型钢；</w:t>
      </w:r>
      <w:r>
        <w:rPr>
          <w:rFonts w:ascii="宋体" w:hAnsi="宋体" w:cs="宋体"/>
        </w:rPr>
        <w:t>11—</w:t>
      </w:r>
      <w:r>
        <w:rPr>
          <w:rFonts w:hint="eastAsia" w:ascii="宋体" w:hAnsi="宋体" w:cs="宋体"/>
        </w:rPr>
        <w:t>混凝土；</w:t>
      </w:r>
      <w:r>
        <w:rPr>
          <w:rFonts w:ascii="宋体" w:hAnsi="宋体" w:cs="宋体"/>
        </w:rPr>
        <w:t>12—</w:t>
      </w:r>
      <w:r>
        <w:rPr>
          <w:rFonts w:hint="eastAsia" w:ascii="宋体" w:hAnsi="宋体" w:cs="宋体"/>
        </w:rPr>
        <w:t>原框架柱；</w:t>
      </w:r>
      <w:r>
        <w:rPr>
          <w:rFonts w:ascii="宋体" w:hAnsi="宋体" w:cs="宋体"/>
        </w:rPr>
        <w:t xml:space="preserve">13— </w:t>
      </w:r>
      <w:r>
        <w:rPr>
          <w:rFonts w:hint="eastAsia" w:ascii="宋体" w:hAnsi="宋体" w:cs="宋体"/>
        </w:rPr>
        <w:t>连接型钢</w:t>
      </w:r>
    </w:p>
    <w:p>
      <w:pPr>
        <w:pStyle w:val="58"/>
        <w:ind w:firstLine="420"/>
        <w:jc w:val="left"/>
      </w:pPr>
    </w:p>
    <w:p>
      <w:pPr>
        <w:pStyle w:val="107"/>
        <w:spacing w:before="156" w:after="156"/>
        <w:jc w:val="center"/>
      </w:pPr>
      <w:r>
        <w:rPr>
          <w:rFonts w:hint="eastAsia"/>
        </w:rPr>
        <w:t>隔震加固设计</w:t>
      </w:r>
    </w:p>
    <w:p>
      <w:pPr>
        <w:pStyle w:val="67"/>
        <w:spacing w:before="156" w:after="156"/>
      </w:pPr>
      <w:r>
        <w:rPr>
          <w:rFonts w:hint="eastAsia"/>
        </w:rPr>
        <w:t>结构构件的抗震验算时，结构构件内力的设计值的地震作用分项系数和承载力抗震调整系数应按本规程规定采用。A类和B类建筑的构件内力设计值按《建筑抗震鉴定标准》GB50023调整，C类建筑的构件内力设计值按《建筑抗震设计规范》GB50011调整。</w:t>
      </w:r>
    </w:p>
    <w:p>
      <w:pPr>
        <w:pStyle w:val="67"/>
        <w:spacing w:before="156" w:after="156"/>
      </w:pPr>
      <w:r>
        <w:rPr>
          <w:rFonts w:hint="eastAsia"/>
        </w:rPr>
        <w:t>按本规程进行抗震验算时，宜计入加固后仍存在的构造影响，并应符合现行行业标准《建筑抗震加固设计规程》JGJ 116 的规定。</w:t>
      </w:r>
    </w:p>
    <w:p>
      <w:pPr>
        <w:pStyle w:val="67"/>
        <w:spacing w:before="156" w:after="156"/>
      </w:pPr>
      <w:r>
        <w:rPr>
          <w:rFonts w:hint="eastAsia"/>
        </w:rPr>
        <w:t>现有建筑隔震后，上部结构的抗震措施，可按底部剪力比及相应地震烈度确定：</w:t>
      </w:r>
    </w:p>
    <w:p>
      <w:pPr>
        <w:pStyle w:val="111"/>
        <w:numPr>
          <w:ilvl w:val="1"/>
          <w:numId w:val="55"/>
        </w:numPr>
      </w:pPr>
      <w:r>
        <w:rPr>
          <w:rFonts w:hint="eastAsia"/>
        </w:rPr>
        <w:t>隔震结构底部剪力比大于 0.5 时，隔震结构应按原设防烈度采取相应的抗震措施。</w:t>
      </w:r>
    </w:p>
    <w:p>
      <w:pPr>
        <w:pStyle w:val="111"/>
        <w:numPr>
          <w:ilvl w:val="1"/>
          <w:numId w:val="55"/>
        </w:numPr>
      </w:pPr>
      <w:r>
        <w:rPr>
          <w:rFonts w:hint="eastAsia"/>
        </w:rPr>
        <w:t>隔震结构底部剪力比不大于 0.5 且大于 0.25 时，上部结构可适当降低按原设防烈度采取的抗震措施，但烈度降低不得超过 1 度。下部结构应仍按原设防烈度采取相应的抗震措施。</w:t>
      </w:r>
    </w:p>
    <w:p>
      <w:pPr>
        <w:pStyle w:val="111"/>
        <w:numPr>
          <w:ilvl w:val="1"/>
          <w:numId w:val="55"/>
        </w:numPr>
      </w:pPr>
      <w:r>
        <w:rPr>
          <w:rFonts w:hint="eastAsia"/>
        </w:rPr>
        <w:t>隔震结构底部剪力比不大于 0.25 时，上部结构可适当降低按原设防烈度采取的抗震措施，但烈度降低不得超过 2 度。</w:t>
      </w:r>
    </w:p>
    <w:p>
      <w:pPr>
        <w:pStyle w:val="67"/>
        <w:spacing w:before="156" w:after="156"/>
      </w:pPr>
      <w:r>
        <w:rPr>
          <w:rFonts w:hint="eastAsia"/>
        </w:rPr>
        <w:t>隔震层以下结构按设防烈度进行强度和变形验算，性能水准取2，根据原设防烈度按15.2节采取抗震措施。</w:t>
      </w:r>
    </w:p>
    <w:p>
      <w:pPr>
        <w:pStyle w:val="67"/>
        <w:spacing w:before="156" w:after="156"/>
      </w:pPr>
      <w:r>
        <w:rPr>
          <w:rFonts w:hint="eastAsia"/>
        </w:rPr>
        <w:t>既有建筑经隔震加固后，应满足按现行国家标准《建筑抗震鉴定标准》GB 50023-2009的变形、承载能力及抗震措施规定。有特殊要求的，可提出更高的性能设计目标。</w:t>
      </w:r>
    </w:p>
    <w:p>
      <w:pPr>
        <w:pStyle w:val="107"/>
        <w:spacing w:before="156" w:after="156"/>
        <w:jc w:val="center"/>
      </w:pPr>
      <w:r>
        <w:rPr>
          <w:rFonts w:hint="eastAsia"/>
        </w:rPr>
        <w:t>历史建筑加固设计</w:t>
      </w:r>
    </w:p>
    <w:p>
      <w:pPr>
        <w:pStyle w:val="67"/>
        <w:spacing w:before="156" w:after="156"/>
      </w:pPr>
      <w:r>
        <w:rPr>
          <w:rFonts w:hint="eastAsia"/>
        </w:rPr>
        <w:t>历史建筑的安全等级，应根据保护的重要性，结构破坏产生后果的严重性，以及加固项目的性质、范围等划分建筑加固的安全等级确定，并应符合表17.</w:t>
      </w:r>
      <w:r>
        <w:t>5</w:t>
      </w:r>
      <w:r>
        <w:rPr>
          <w:rFonts w:hint="eastAsia"/>
        </w:rPr>
        <w:t>.1 的规定。</w:t>
      </w:r>
    </w:p>
    <w:p>
      <w:pPr>
        <w:pStyle w:val="58"/>
        <w:ind w:firstLine="420"/>
        <w:jc w:val="center"/>
      </w:pPr>
      <w:r>
        <w:rPr>
          <w:rFonts w:hint="eastAsia"/>
        </w:rPr>
        <w:t>表 17.</w:t>
      </w:r>
      <w:r>
        <w:t>5</w:t>
      </w:r>
      <w:r>
        <w:rPr>
          <w:rFonts w:hint="eastAsia"/>
        </w:rPr>
        <w:t>.1  历史建筑的安全等级</w:t>
      </w:r>
    </w:p>
    <w:tbl>
      <w:tblPr>
        <w:tblStyle w:val="27"/>
        <w:tblW w:w="0" w:type="auto"/>
        <w:tblInd w:w="435"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632"/>
        <w:gridCol w:w="1555"/>
        <w:gridCol w:w="5139"/>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632" w:type="dxa"/>
            <w:tcBorders>
              <w:top w:val="single" w:color="000000" w:sz="8" w:space="0"/>
              <w:bottom w:val="single" w:color="000000" w:sz="8" w:space="0"/>
            </w:tcBorders>
            <w:shd w:val="clear" w:color="auto" w:fill="auto"/>
            <w:vAlign w:val="center"/>
          </w:tcPr>
          <w:p>
            <w:pPr>
              <w:autoSpaceDE w:val="0"/>
              <w:autoSpaceDN w:val="0"/>
              <w:adjustRightInd/>
              <w:spacing w:before="3" w:line="240" w:lineRule="auto"/>
              <w:ind w:left="262" w:right="255"/>
              <w:jc w:val="center"/>
              <w:rPr>
                <w:rFonts w:ascii="宋体" w:hAnsi="宋体" w:cs="宋体"/>
                <w:kern w:val="0"/>
                <w:sz w:val="18"/>
                <w:szCs w:val="22"/>
                <w:lang w:eastAsia="en-US"/>
              </w:rPr>
            </w:pPr>
            <w:r>
              <w:rPr>
                <w:rFonts w:hint="eastAsia" w:ascii="宋体" w:hAnsi="宋体" w:cs="宋体"/>
                <w:w w:val="95"/>
                <w:kern w:val="0"/>
                <w:sz w:val="18"/>
                <w:szCs w:val="22"/>
                <w:lang w:eastAsia="en-US"/>
              </w:rPr>
              <w:t>安全等级</w:t>
            </w:r>
          </w:p>
        </w:tc>
        <w:tc>
          <w:tcPr>
            <w:tcW w:w="1555" w:type="dxa"/>
            <w:tcBorders>
              <w:top w:val="single" w:color="000000" w:sz="8" w:space="0"/>
              <w:bottom w:val="single" w:color="000000" w:sz="8" w:space="0"/>
            </w:tcBorders>
            <w:shd w:val="clear" w:color="auto" w:fill="auto"/>
            <w:vAlign w:val="center"/>
          </w:tcPr>
          <w:p>
            <w:pPr>
              <w:autoSpaceDE w:val="0"/>
              <w:autoSpaceDN w:val="0"/>
              <w:adjustRightInd/>
              <w:spacing w:before="3" w:line="240" w:lineRule="auto"/>
              <w:ind w:left="216" w:right="208"/>
              <w:jc w:val="center"/>
              <w:rPr>
                <w:rFonts w:ascii="宋体" w:hAnsi="宋体" w:cs="宋体"/>
                <w:kern w:val="0"/>
                <w:sz w:val="18"/>
                <w:szCs w:val="22"/>
                <w:lang w:eastAsia="en-US"/>
              </w:rPr>
            </w:pPr>
            <w:r>
              <w:rPr>
                <w:rFonts w:hint="eastAsia" w:ascii="宋体" w:hAnsi="宋体" w:cs="宋体"/>
                <w:w w:val="95"/>
                <w:kern w:val="0"/>
                <w:sz w:val="18"/>
                <w:szCs w:val="22"/>
                <w:lang w:eastAsia="en-US"/>
              </w:rPr>
              <w:t>损坏后果</w:t>
            </w:r>
          </w:p>
        </w:tc>
        <w:tc>
          <w:tcPr>
            <w:tcW w:w="5139" w:type="dxa"/>
            <w:tcBorders>
              <w:top w:val="single" w:color="000000" w:sz="8" w:space="0"/>
              <w:bottom w:val="single" w:color="000000" w:sz="8" w:space="0"/>
            </w:tcBorders>
            <w:shd w:val="clear" w:color="auto" w:fill="auto"/>
            <w:vAlign w:val="center"/>
          </w:tcPr>
          <w:p>
            <w:pPr>
              <w:autoSpaceDE w:val="0"/>
              <w:autoSpaceDN w:val="0"/>
              <w:adjustRightInd/>
              <w:spacing w:before="3" w:line="240" w:lineRule="auto"/>
              <w:ind w:left="254" w:right="245"/>
              <w:jc w:val="center"/>
              <w:rPr>
                <w:rFonts w:ascii="宋体" w:hAnsi="宋体" w:cs="宋体"/>
                <w:kern w:val="0"/>
                <w:sz w:val="18"/>
                <w:szCs w:val="22"/>
                <w:lang w:eastAsia="en-US"/>
              </w:rPr>
            </w:pPr>
            <w:r>
              <w:rPr>
                <w:rFonts w:hint="eastAsia" w:ascii="宋体" w:hAnsi="宋体" w:cs="宋体"/>
                <w:w w:val="95"/>
                <w:kern w:val="0"/>
                <w:sz w:val="18"/>
                <w:szCs w:val="22"/>
                <w:lang w:eastAsia="en-US"/>
              </w:rPr>
              <w:t>建筑物类型</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632" w:type="dxa"/>
            <w:tcBorders>
              <w:top w:val="single" w:color="000000" w:sz="8" w:space="0"/>
            </w:tcBorders>
            <w:shd w:val="clear" w:color="auto" w:fill="auto"/>
            <w:vAlign w:val="center"/>
          </w:tcPr>
          <w:p>
            <w:pPr>
              <w:autoSpaceDE w:val="0"/>
              <w:autoSpaceDN w:val="0"/>
              <w:adjustRightInd/>
              <w:spacing w:before="3" w:line="240" w:lineRule="auto"/>
              <w:ind w:left="262" w:right="254"/>
              <w:jc w:val="center"/>
              <w:rPr>
                <w:rFonts w:ascii="宋体" w:hAnsi="宋体" w:cs="宋体"/>
                <w:kern w:val="0"/>
                <w:sz w:val="18"/>
                <w:szCs w:val="22"/>
                <w:lang w:eastAsia="en-US"/>
              </w:rPr>
            </w:pPr>
            <w:r>
              <w:rPr>
                <w:rFonts w:hint="eastAsia" w:ascii="宋体" w:hAnsi="宋体" w:cs="宋体"/>
                <w:w w:val="95"/>
                <w:kern w:val="0"/>
                <w:sz w:val="18"/>
                <w:szCs w:val="22"/>
                <w:lang w:eastAsia="en-US"/>
              </w:rPr>
              <w:t>一级</w:t>
            </w:r>
          </w:p>
        </w:tc>
        <w:tc>
          <w:tcPr>
            <w:tcW w:w="1555" w:type="dxa"/>
            <w:tcBorders>
              <w:top w:val="single" w:color="000000" w:sz="8" w:space="0"/>
            </w:tcBorders>
            <w:shd w:val="clear" w:color="auto" w:fill="auto"/>
            <w:vAlign w:val="center"/>
          </w:tcPr>
          <w:p>
            <w:pPr>
              <w:autoSpaceDE w:val="0"/>
              <w:autoSpaceDN w:val="0"/>
              <w:adjustRightInd/>
              <w:spacing w:before="3" w:line="240" w:lineRule="auto"/>
              <w:ind w:left="216" w:right="207"/>
              <w:jc w:val="center"/>
              <w:rPr>
                <w:rFonts w:ascii="宋体" w:hAnsi="宋体" w:cs="宋体"/>
                <w:kern w:val="0"/>
                <w:sz w:val="18"/>
                <w:szCs w:val="22"/>
                <w:lang w:eastAsia="en-US"/>
              </w:rPr>
            </w:pPr>
            <w:r>
              <w:rPr>
                <w:rFonts w:hint="eastAsia" w:ascii="宋体" w:hAnsi="宋体" w:cs="宋体"/>
                <w:w w:val="95"/>
                <w:kern w:val="0"/>
                <w:sz w:val="18"/>
                <w:szCs w:val="22"/>
                <w:lang w:eastAsia="en-US"/>
              </w:rPr>
              <w:t>很严重</w:t>
            </w:r>
          </w:p>
        </w:tc>
        <w:tc>
          <w:tcPr>
            <w:tcW w:w="5139" w:type="dxa"/>
            <w:tcBorders>
              <w:top w:val="single" w:color="000000" w:sz="8" w:space="0"/>
            </w:tcBorders>
            <w:shd w:val="clear" w:color="auto" w:fill="auto"/>
            <w:vAlign w:val="center"/>
          </w:tcPr>
          <w:p>
            <w:pPr>
              <w:autoSpaceDE w:val="0"/>
              <w:autoSpaceDN w:val="0"/>
              <w:adjustRightInd/>
              <w:spacing w:before="3" w:line="240" w:lineRule="auto"/>
              <w:ind w:left="252" w:right="245"/>
              <w:jc w:val="center"/>
              <w:rPr>
                <w:rFonts w:ascii="宋体" w:hAnsi="宋体" w:cs="宋体"/>
                <w:kern w:val="0"/>
                <w:sz w:val="18"/>
                <w:szCs w:val="22"/>
                <w:lang w:eastAsia="en-US"/>
              </w:rPr>
            </w:pPr>
            <w:r>
              <w:rPr>
                <w:rFonts w:hint="eastAsia" w:ascii="宋体" w:hAnsi="宋体" w:cs="宋体"/>
                <w:w w:val="95"/>
                <w:kern w:val="0"/>
                <w:sz w:val="18"/>
                <w:szCs w:val="22"/>
                <w:lang w:eastAsia="en-US"/>
              </w:rPr>
              <w:t>重要的保护建筑</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632" w:type="dxa"/>
            <w:shd w:val="clear" w:color="auto" w:fill="auto"/>
            <w:vAlign w:val="center"/>
          </w:tcPr>
          <w:p>
            <w:pPr>
              <w:autoSpaceDE w:val="0"/>
              <w:autoSpaceDN w:val="0"/>
              <w:adjustRightInd/>
              <w:spacing w:before="3" w:line="240" w:lineRule="auto"/>
              <w:ind w:left="262" w:right="254"/>
              <w:jc w:val="center"/>
              <w:rPr>
                <w:rFonts w:ascii="宋体" w:hAnsi="宋体" w:cs="宋体"/>
                <w:kern w:val="0"/>
                <w:sz w:val="18"/>
                <w:szCs w:val="22"/>
                <w:lang w:eastAsia="en-US"/>
              </w:rPr>
            </w:pPr>
            <w:r>
              <w:rPr>
                <w:rFonts w:hint="eastAsia" w:ascii="宋体" w:hAnsi="宋体" w:cs="宋体"/>
                <w:w w:val="95"/>
                <w:kern w:val="0"/>
                <w:sz w:val="18"/>
                <w:szCs w:val="22"/>
                <w:lang w:eastAsia="en-US"/>
              </w:rPr>
              <w:t>二级</w:t>
            </w:r>
          </w:p>
        </w:tc>
        <w:tc>
          <w:tcPr>
            <w:tcW w:w="1555" w:type="dxa"/>
            <w:shd w:val="clear" w:color="auto" w:fill="auto"/>
            <w:vAlign w:val="center"/>
          </w:tcPr>
          <w:p>
            <w:pPr>
              <w:autoSpaceDE w:val="0"/>
              <w:autoSpaceDN w:val="0"/>
              <w:adjustRightInd/>
              <w:spacing w:before="3" w:line="240" w:lineRule="auto"/>
              <w:ind w:left="216" w:right="208"/>
              <w:jc w:val="center"/>
              <w:rPr>
                <w:rFonts w:ascii="宋体" w:hAnsi="宋体" w:cs="宋体"/>
                <w:kern w:val="0"/>
                <w:sz w:val="18"/>
                <w:szCs w:val="22"/>
                <w:lang w:eastAsia="en-US"/>
              </w:rPr>
            </w:pPr>
            <w:r>
              <w:rPr>
                <w:rFonts w:hint="eastAsia" w:ascii="宋体" w:hAnsi="宋体" w:cs="宋体"/>
                <w:w w:val="95"/>
                <w:kern w:val="0"/>
                <w:sz w:val="18"/>
                <w:szCs w:val="22"/>
                <w:lang w:eastAsia="en-US"/>
              </w:rPr>
              <w:t>严重</w:t>
            </w:r>
          </w:p>
        </w:tc>
        <w:tc>
          <w:tcPr>
            <w:tcW w:w="5139" w:type="dxa"/>
            <w:shd w:val="clear" w:color="auto" w:fill="auto"/>
            <w:vAlign w:val="center"/>
          </w:tcPr>
          <w:p>
            <w:pPr>
              <w:autoSpaceDE w:val="0"/>
              <w:autoSpaceDN w:val="0"/>
              <w:adjustRightInd/>
              <w:spacing w:before="3" w:line="240" w:lineRule="auto"/>
              <w:ind w:left="252" w:right="245"/>
              <w:jc w:val="center"/>
              <w:rPr>
                <w:rFonts w:ascii="宋体" w:hAnsi="宋体" w:cs="宋体"/>
                <w:kern w:val="0"/>
                <w:sz w:val="18"/>
                <w:szCs w:val="22"/>
                <w:lang w:eastAsia="en-US"/>
              </w:rPr>
            </w:pPr>
            <w:r>
              <w:rPr>
                <w:rFonts w:hint="eastAsia" w:ascii="宋体" w:hAnsi="宋体" w:cs="宋体"/>
                <w:w w:val="95"/>
                <w:kern w:val="0"/>
                <w:sz w:val="18"/>
                <w:szCs w:val="22"/>
                <w:lang w:eastAsia="en-US"/>
              </w:rPr>
              <w:t>一般的保护建筑</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632" w:type="dxa"/>
            <w:shd w:val="clear" w:color="auto" w:fill="auto"/>
            <w:vAlign w:val="center"/>
          </w:tcPr>
          <w:p>
            <w:pPr>
              <w:autoSpaceDE w:val="0"/>
              <w:autoSpaceDN w:val="0"/>
              <w:adjustRightInd/>
              <w:spacing w:before="184" w:line="240" w:lineRule="auto"/>
              <w:ind w:left="262" w:right="254"/>
              <w:jc w:val="center"/>
              <w:rPr>
                <w:rFonts w:ascii="宋体" w:hAnsi="宋体" w:cs="宋体"/>
                <w:kern w:val="0"/>
                <w:sz w:val="18"/>
                <w:szCs w:val="22"/>
                <w:lang w:eastAsia="en-US"/>
              </w:rPr>
            </w:pPr>
            <w:r>
              <w:rPr>
                <w:rFonts w:hint="eastAsia" w:ascii="宋体" w:hAnsi="宋体" w:cs="宋体"/>
                <w:w w:val="95"/>
                <w:kern w:val="0"/>
                <w:sz w:val="18"/>
                <w:szCs w:val="22"/>
                <w:lang w:eastAsia="en-US"/>
              </w:rPr>
              <w:t>三级</w:t>
            </w:r>
          </w:p>
        </w:tc>
        <w:tc>
          <w:tcPr>
            <w:tcW w:w="1555" w:type="dxa"/>
            <w:shd w:val="clear" w:color="auto" w:fill="auto"/>
            <w:vAlign w:val="center"/>
          </w:tcPr>
          <w:p>
            <w:pPr>
              <w:autoSpaceDE w:val="0"/>
              <w:autoSpaceDN w:val="0"/>
              <w:adjustRightInd/>
              <w:spacing w:before="184" w:line="240" w:lineRule="auto"/>
              <w:ind w:left="216" w:right="207"/>
              <w:jc w:val="center"/>
              <w:rPr>
                <w:rFonts w:ascii="宋体" w:hAnsi="宋体" w:cs="宋体"/>
                <w:kern w:val="0"/>
                <w:sz w:val="18"/>
                <w:szCs w:val="22"/>
                <w:lang w:eastAsia="en-US"/>
              </w:rPr>
            </w:pPr>
            <w:r>
              <w:rPr>
                <w:rFonts w:hint="eastAsia" w:ascii="宋体" w:hAnsi="宋体" w:cs="宋体"/>
                <w:w w:val="95"/>
                <w:kern w:val="0"/>
                <w:sz w:val="18"/>
                <w:szCs w:val="22"/>
                <w:lang w:eastAsia="en-US"/>
              </w:rPr>
              <w:t>不严重</w:t>
            </w:r>
          </w:p>
        </w:tc>
        <w:tc>
          <w:tcPr>
            <w:tcW w:w="5139" w:type="dxa"/>
            <w:shd w:val="clear" w:color="auto" w:fill="auto"/>
            <w:vAlign w:val="center"/>
          </w:tcPr>
          <w:p>
            <w:pPr>
              <w:autoSpaceDE w:val="0"/>
              <w:autoSpaceDN w:val="0"/>
              <w:adjustRightInd/>
              <w:spacing w:before="3" w:line="240" w:lineRule="auto"/>
              <w:ind w:left="254" w:right="245"/>
              <w:jc w:val="center"/>
              <w:rPr>
                <w:rFonts w:ascii="宋体" w:hAnsi="宋体" w:cs="宋体"/>
                <w:kern w:val="0"/>
                <w:sz w:val="18"/>
                <w:szCs w:val="22"/>
              </w:rPr>
            </w:pPr>
            <w:r>
              <w:rPr>
                <w:rFonts w:hint="eastAsia" w:ascii="宋体" w:hAnsi="宋体" w:cs="宋体"/>
                <w:w w:val="95"/>
                <w:kern w:val="0"/>
                <w:sz w:val="18"/>
                <w:szCs w:val="22"/>
              </w:rPr>
              <w:t>建筑体量小</w:t>
            </w:r>
            <w:r>
              <w:rPr>
                <w:rFonts w:ascii="Times New Roman" w:hAnsi="宋体" w:eastAsia="Times New Roman" w:cs="宋体"/>
                <w:w w:val="95"/>
                <w:kern w:val="0"/>
                <w:sz w:val="18"/>
                <w:szCs w:val="22"/>
              </w:rPr>
              <w:t>,</w:t>
            </w:r>
            <w:r>
              <w:rPr>
                <w:rFonts w:hint="eastAsia" w:ascii="宋体" w:hAnsi="宋体" w:cs="宋体"/>
                <w:w w:val="95"/>
                <w:kern w:val="0"/>
                <w:sz w:val="18"/>
                <w:szCs w:val="22"/>
              </w:rPr>
              <w:t>保护级别低，加固实施受限制的建筑</w:t>
            </w:r>
          </w:p>
        </w:tc>
      </w:tr>
    </w:tbl>
    <w:p>
      <w:pPr>
        <w:pStyle w:val="58"/>
        <w:ind w:firstLine="420"/>
      </w:pPr>
      <w:r>
        <w:rPr>
          <w:rFonts w:hint="eastAsia"/>
        </w:rPr>
        <w:t>注: 1 重要的保护建筑指公共建筑、纪念性建筑；</w:t>
      </w:r>
    </w:p>
    <w:p>
      <w:pPr>
        <w:pStyle w:val="58"/>
        <w:ind w:left="420" w:firstLine="420"/>
      </w:pPr>
      <w:r>
        <w:rPr>
          <w:rFonts w:hint="eastAsia"/>
        </w:rPr>
        <w:t>2 特殊的建筑物，其加固安全等级，应根据具体情况另行确定。</w:t>
      </w:r>
    </w:p>
    <w:p>
      <w:pPr>
        <w:pStyle w:val="58"/>
        <w:ind w:firstLine="0" w:firstLineChars="0"/>
      </w:pPr>
      <w:r>
        <w:rPr>
          <w:rFonts w:hint="eastAsia" w:ascii="华文楷体" w:hAnsi="华文楷体" w:eastAsia="华文楷体" w:cs="华文楷体"/>
          <w:color w:val="0000FF"/>
        </w:rPr>
        <w:t>条文说明:</w:t>
      </w:r>
      <w:r>
        <w:rPr>
          <w:rFonts w:hint="eastAsia"/>
        </w:rPr>
        <w:t xml:space="preserve"> </w:t>
      </w:r>
      <w:r>
        <w:rPr>
          <w:rFonts w:hint="eastAsia" w:ascii="华文楷体" w:hAnsi="华文楷体" w:eastAsia="华文楷体" w:cs="华文楷体"/>
          <w:color w:val="0000FF"/>
        </w:rPr>
        <w:t>对于历史类建筑，在遭遇同样的地震影响时，其损坏程度可略大于相同后续使用年限的其它建筑。</w:t>
      </w:r>
    </w:p>
    <w:p>
      <w:pPr>
        <w:pStyle w:val="58"/>
        <w:ind w:left="420" w:firstLine="420"/>
        <w:rPr>
          <w:rFonts w:hint="eastAsia"/>
        </w:rPr>
      </w:pPr>
    </w:p>
    <w:p>
      <w:pPr>
        <w:pStyle w:val="67"/>
        <w:spacing w:before="156" w:after="156"/>
      </w:pPr>
      <w:r>
        <w:rPr>
          <w:rFonts w:hint="eastAsia"/>
        </w:rPr>
        <w:t>历史建筑隔震加固的荷载取值，应符合下列规定：</w:t>
      </w:r>
    </w:p>
    <w:p>
      <w:pPr>
        <w:pStyle w:val="111"/>
        <w:numPr>
          <w:ilvl w:val="1"/>
          <w:numId w:val="56"/>
        </w:numPr>
      </w:pPr>
      <w:r>
        <w:rPr>
          <w:rFonts w:hint="eastAsia"/>
        </w:rPr>
        <w:t>永久荷载应按现行国家标准《建筑结构荷载规范》GB50009 执行或按建筑用料实测值，荷载分项系数应取 1.1。</w:t>
      </w:r>
    </w:p>
    <w:p>
      <w:pPr>
        <w:pStyle w:val="111"/>
        <w:numPr>
          <w:ilvl w:val="1"/>
          <w:numId w:val="56"/>
        </w:numPr>
      </w:pPr>
      <w:r>
        <w:rPr>
          <w:rFonts w:hint="eastAsia"/>
        </w:rPr>
        <w:t>可变荷载，一级建筑加固，应按现行国家标准《建筑结构荷 载规范》GB50009 确定；二级建筑加固，应按现行国家标准《建筑结构荷载规范》GB50009 基本组合的标准值确定，荷载分项系数应取不小于 1.1；三级建筑加固，当有可靠的控制措施时，按实际使用荷载确定，但不应低于现行国家标准《建筑结构荷载规范》GB50009 标准值的 80%，荷载分项系数应取不小于 1.0。</w:t>
      </w:r>
    </w:p>
    <w:p>
      <w:pPr>
        <w:pStyle w:val="58"/>
        <w:ind w:firstLine="0" w:firstLineChars="0"/>
        <w:rPr>
          <w:rFonts w:hint="eastAsia" w:ascii="华文楷体" w:hAnsi="华文楷体" w:eastAsia="华文楷体" w:cs="华文楷体"/>
          <w:color w:val="0000FF"/>
        </w:rPr>
      </w:pPr>
      <w:r>
        <w:rPr>
          <w:rFonts w:hint="eastAsia" w:ascii="华文楷体" w:hAnsi="华文楷体" w:eastAsia="华文楷体" w:cs="华文楷体"/>
          <w:color w:val="0000FF"/>
        </w:rPr>
        <w:t>条文说明:历史建筑结构承载力验算时,其荷载取值可考虑不同加固安全等级的要求。</w:t>
      </w:r>
    </w:p>
    <w:p>
      <w:pPr>
        <w:pStyle w:val="58"/>
        <w:ind w:firstLine="0" w:firstLineChars="0"/>
        <w:rPr>
          <w:rFonts w:hint="eastAsia" w:ascii="华文楷体" w:hAnsi="华文楷体" w:eastAsia="华文楷体" w:cs="华文楷体"/>
          <w:color w:val="0000FF"/>
        </w:rPr>
      </w:pPr>
      <w:r>
        <w:rPr>
          <w:rFonts w:hint="eastAsia" w:ascii="华文楷体" w:hAnsi="华文楷体" w:eastAsia="华文楷体" w:cs="华文楷体"/>
          <w:color w:val="0000FF"/>
        </w:rPr>
        <w:t>1 永久荷载应按现行荷载规范取值，若历史建筑中所用材料和构造方式在现行设计中已不再采用，应以实测为准。</w:t>
      </w:r>
    </w:p>
    <w:p>
      <w:pPr>
        <w:pStyle w:val="58"/>
        <w:ind w:firstLine="0" w:firstLineChars="0"/>
        <w:rPr>
          <w:rFonts w:hint="eastAsia"/>
        </w:rPr>
      </w:pPr>
      <w:r>
        <w:rPr>
          <w:rFonts w:hint="eastAsia" w:ascii="华文楷体" w:hAnsi="华文楷体" w:eastAsia="华文楷体" w:cs="华文楷体"/>
          <w:color w:val="0000FF"/>
        </w:rPr>
        <w:t>2 可变荷载取值中，对于三级建筑加固，当有可靠控制措施时，可按实际使用荷载确定，但不得低于现行规范标准值的80%。</w:t>
      </w:r>
    </w:p>
    <w:p>
      <w:pPr>
        <w:pStyle w:val="67"/>
        <w:spacing w:before="156" w:after="156"/>
      </w:pPr>
      <w:r>
        <w:rPr>
          <w:rFonts w:hint="eastAsia"/>
        </w:rPr>
        <w:t>历史建筑中的砖墙，宜采用双夹梁式托换方式；木柱可采用 抱箍式托换，钢筋混凝土柱可采用钢筋混凝土或型钢混凝土托换节点，并应尽量控制托换结构的高度，避免影响历史建筑的风貌。</w:t>
      </w:r>
    </w:p>
    <w:p>
      <w:pPr>
        <w:pStyle w:val="67"/>
        <w:spacing w:before="156" w:after="156"/>
      </w:pPr>
      <w:r>
        <w:rPr>
          <w:rFonts w:hint="eastAsia"/>
        </w:rPr>
        <w:t>历史建筑经隔震加固后，尚应加强对隔震层及上部结构的观测。</w:t>
      </w:r>
    </w:p>
    <w:p>
      <w:pPr>
        <w:pStyle w:val="58"/>
        <w:ind w:firstLine="0" w:firstLineChars="0"/>
        <w:rPr>
          <w:rFonts w:ascii="华文楷体" w:hAnsi="华文楷体" w:eastAsia="华文楷体" w:cs="华文楷体"/>
          <w:color w:val="0000FF"/>
        </w:rPr>
      </w:pPr>
      <w:r>
        <w:rPr>
          <w:rFonts w:hint="eastAsia" w:ascii="华文楷体" w:hAnsi="华文楷体" w:eastAsia="华文楷体" w:cs="华文楷体"/>
          <w:color w:val="0000FF"/>
        </w:rPr>
        <w:t>条文说明:对于有些加固难度较高、有特殊保护要求的历史建筑，可以采用持久的观测及维护方法来保护。西藏自治区采用隔震加固的历史建筑尚缺少足够的工程案例，具体实施时应结合历史建筑长期维护方案指定相应的隔震观测装置。</w:t>
      </w:r>
    </w:p>
    <w:p>
      <w:pPr>
        <w:widowControl/>
        <w:adjustRightInd/>
        <w:spacing w:line="240" w:lineRule="auto"/>
        <w:jc w:val="left"/>
        <w:rPr>
          <w:rFonts w:ascii="黑体" w:hAnsi="Times New Roman" w:eastAsia="黑体"/>
          <w:kern w:val="0"/>
          <w:szCs w:val="20"/>
        </w:rPr>
      </w:pPr>
      <w:r>
        <w:br w:type="page"/>
      </w:r>
    </w:p>
    <w:p>
      <w:pPr>
        <w:pStyle w:val="106"/>
        <w:spacing w:before="312" w:after="312"/>
        <w:jc w:val="center"/>
      </w:pPr>
      <w:bookmarkStart w:id="66" w:name="_Toc92414108"/>
      <w:r>
        <w:rPr>
          <w:rFonts w:hint="eastAsia"/>
        </w:rPr>
        <w:t>隔震建筑施工、验收与维护</w:t>
      </w:r>
      <w:bookmarkEnd w:id="66"/>
    </w:p>
    <w:p>
      <w:pPr>
        <w:pStyle w:val="107"/>
        <w:spacing w:before="156" w:after="156"/>
        <w:jc w:val="center"/>
      </w:pPr>
      <w:r>
        <w:rPr>
          <w:rFonts w:hint="eastAsia"/>
        </w:rPr>
        <w:t>一般规定</w:t>
      </w:r>
    </w:p>
    <w:p>
      <w:pPr>
        <w:pStyle w:val="67"/>
        <w:spacing w:before="156" w:after="156"/>
      </w:pPr>
      <w:r>
        <w:rPr>
          <w:rFonts w:hint="eastAsia"/>
        </w:rPr>
        <w:t>建筑隔震工程施工所采用的各类计量器具，均应经校准或检定合格，且应在有效期内使用。</w:t>
      </w:r>
    </w:p>
    <w:p>
      <w:pPr>
        <w:pStyle w:val="67"/>
        <w:spacing w:before="156" w:after="156"/>
      </w:pPr>
      <w:r>
        <w:rPr>
          <w:rFonts w:hint="eastAsia"/>
        </w:rPr>
        <w:t>支座安装应在上道工序交接检验合格后进行施工；支座安装工程施工经质量验收合格后，方可进行后续工程施工。相关施工要求应符合下列规定：</w:t>
      </w:r>
    </w:p>
    <w:p>
      <w:pPr>
        <w:pStyle w:val="111"/>
        <w:numPr>
          <w:ilvl w:val="1"/>
          <w:numId w:val="57"/>
        </w:numPr>
      </w:pPr>
      <w:r>
        <w:rPr>
          <w:rFonts w:hint="eastAsia"/>
        </w:rPr>
        <w:t>支座的支墩(柱)与承台或底板宜分开施工，承台或底板混凝土应振捣平整；</w:t>
      </w:r>
    </w:p>
    <w:p>
      <w:pPr>
        <w:pStyle w:val="111"/>
      </w:pPr>
      <w:r>
        <w:rPr>
          <w:rFonts w:hint="eastAsia"/>
        </w:rPr>
        <w:t>承台、底板混凝土初凝前，应进行测量定位，绑扎支墩(柱)的钢筋及周边钢筋，应预留预埋锚筋或锚杆、套筒的位置；</w:t>
      </w:r>
    </w:p>
    <w:p>
      <w:pPr>
        <w:pStyle w:val="111"/>
      </w:pPr>
      <w:r>
        <w:rPr>
          <w:rFonts w:hint="eastAsia"/>
        </w:rPr>
        <w:t>下支墩(柱)上的连接板在安装过程中，应对其轴线、标高和水平度进行精确的测量定位，并应用连接螺栓对螺栓孔进行临时旋拧封闭；</w:t>
      </w:r>
    </w:p>
    <w:p>
      <w:pPr>
        <w:pStyle w:val="111"/>
      </w:pPr>
      <w:r>
        <w:rPr>
          <w:rFonts w:hint="eastAsia"/>
        </w:rPr>
        <w:t>安装下支墩(柱)侧模，应用水准仪测定模板高度，并应在模板上弹出水平线；</w:t>
      </w:r>
    </w:p>
    <w:p>
      <w:pPr>
        <w:pStyle w:val="111"/>
      </w:pPr>
      <w:r>
        <w:rPr>
          <w:rFonts w:hint="eastAsia"/>
        </w:rPr>
        <w:t>浇筑下支墩(柱)混凝土时，应减少对预埋件的影响；混凝土浇筑完毕后，应对支座中心的平面位置和标高进行复测并记录，若有移动，应立即校正；</w:t>
      </w:r>
    </w:p>
    <w:p>
      <w:pPr>
        <w:pStyle w:val="111"/>
      </w:pPr>
      <w:r>
        <w:rPr>
          <w:rFonts w:hint="eastAsia"/>
        </w:rPr>
        <w:t>模板拆除后，应采用同强度的水泥砂浆进行找平，找平后应对砂浆面进行标高复核；</w:t>
      </w:r>
    </w:p>
    <w:p>
      <w:pPr>
        <w:pStyle w:val="111"/>
      </w:pPr>
      <w:r>
        <w:rPr>
          <w:rFonts w:hint="eastAsia"/>
        </w:rPr>
        <w:t>安装支座时，应用全站仪或水准仪复测支座标高及平面位置，并应拧紧螺栓；</w:t>
      </w:r>
    </w:p>
    <w:p>
      <w:pPr>
        <w:pStyle w:val="111"/>
      </w:pPr>
      <w:r>
        <w:rPr>
          <w:rFonts w:hint="eastAsia"/>
        </w:rPr>
        <w:t>上支墩(柱)连接件在安装过程中，应对其轴线、标高和水平度进行精确的测量定位。</w:t>
      </w:r>
    </w:p>
    <w:p>
      <w:pPr>
        <w:pStyle w:val="58"/>
        <w:ind w:firstLine="420"/>
      </w:pPr>
    </w:p>
    <w:p>
      <w:pPr>
        <w:pStyle w:val="58"/>
        <w:ind w:firstLine="420"/>
      </w:pPr>
      <w:r>
        <w:rPr>
          <w:rFonts w:hint="eastAsia"/>
        </w:rPr>
        <w:t>18.1.3阻尼器安装应在支座安装及上部梁板体系施工验收合格后进行，或在隔震层上部结构施工验收合格后进行。</w:t>
      </w:r>
    </w:p>
    <w:p>
      <w:pPr>
        <w:pStyle w:val="107"/>
        <w:spacing w:before="156" w:after="156"/>
        <w:jc w:val="center"/>
      </w:pPr>
      <w:r>
        <w:rPr>
          <w:rFonts w:hint="eastAsia"/>
        </w:rPr>
        <w:t>支座安装</w:t>
      </w:r>
    </w:p>
    <w:p>
      <w:pPr>
        <w:pStyle w:val="67"/>
        <w:spacing w:before="156" w:after="156"/>
      </w:pPr>
      <w:r>
        <w:rPr>
          <w:rFonts w:hint="eastAsia"/>
        </w:rPr>
        <w:t>支座下支墩(柱)施工应符合下列规定：</w:t>
      </w:r>
    </w:p>
    <w:p>
      <w:pPr>
        <w:pStyle w:val="111"/>
        <w:numPr>
          <w:ilvl w:val="1"/>
          <w:numId w:val="58"/>
        </w:numPr>
      </w:pPr>
      <w:r>
        <w:rPr>
          <w:rFonts w:hint="eastAsia"/>
        </w:rPr>
        <w:t>支座下支墩(柱)钢筋安装、绑扎时，应确定支座下预埋套筒或锚筋的位置，不应相互阻挡。</w:t>
      </w:r>
    </w:p>
    <w:p>
      <w:pPr>
        <w:pStyle w:val="111"/>
        <w:numPr>
          <w:ilvl w:val="1"/>
          <w:numId w:val="58"/>
        </w:numPr>
      </w:pPr>
      <w:r>
        <w:rPr>
          <w:rFonts w:hint="eastAsia"/>
        </w:rPr>
        <w:t>支座下连接板预埋就位后，应校核其标高、平面位置、水平度，并应符合本规范和设计要求。</w:t>
      </w:r>
    </w:p>
    <w:p>
      <w:pPr>
        <w:pStyle w:val="111"/>
        <w:numPr>
          <w:ilvl w:val="1"/>
          <w:numId w:val="58"/>
        </w:numPr>
      </w:pPr>
      <w:r>
        <w:rPr>
          <w:rFonts w:hint="eastAsia"/>
        </w:rPr>
        <w:t>支座下支墩(柱)的混凝土宜分二次浇筑，浇筑时应有排气措施。第一次宜浇筑至支座下连接板以下，第二次浇筑前应复核支座下连接板的平面位置、标高和水平度。二次浇筑的混凝土宜采用高流动性且收缩小的混凝土、微膨胀或无收缩高强砂浆，其强度等级宜比原设计强度等级提高一级。混凝土不应有空鼓。</w:t>
      </w:r>
    </w:p>
    <w:p>
      <w:pPr>
        <w:pStyle w:val="111"/>
        <w:numPr>
          <w:ilvl w:val="1"/>
          <w:numId w:val="58"/>
        </w:numPr>
      </w:pPr>
      <w:r>
        <w:rPr>
          <w:rFonts w:hint="eastAsia"/>
        </w:rPr>
        <w:t>浇筑混凝土前，应对螺栓孔采取临时封闭措施，不应灌入混凝土。混凝土浇筑完成后应及时将下连接板表面清洁干净。.</w:t>
      </w:r>
    </w:p>
    <w:p>
      <w:pPr>
        <w:pStyle w:val="111"/>
        <w:numPr>
          <w:ilvl w:val="1"/>
          <w:numId w:val="58"/>
        </w:numPr>
      </w:pPr>
      <w:r>
        <w:rPr>
          <w:rFonts w:hint="eastAsia"/>
        </w:rPr>
        <w:t>混凝土初凝前，应校核下连接板的平面位置、高程和水平度，发现问题应立即采取处理措施以满足要求，并应保留相关记录。</w:t>
      </w:r>
    </w:p>
    <w:p>
      <w:pPr>
        <w:pStyle w:val="67"/>
        <w:spacing w:before="156" w:after="156"/>
      </w:pPr>
      <w:r>
        <w:rPr>
          <w:rFonts w:hint="eastAsia"/>
        </w:rPr>
        <w:t>支座安装应符合下列规定：</w:t>
      </w:r>
    </w:p>
    <w:p>
      <w:pPr>
        <w:pStyle w:val="111"/>
        <w:numPr>
          <w:ilvl w:val="1"/>
          <w:numId w:val="59"/>
        </w:numPr>
      </w:pPr>
      <w:r>
        <w:rPr>
          <w:rFonts w:hint="eastAsia"/>
        </w:rPr>
        <w:t>下支墩(柱)混凝土强度达到设计强度的75％以上时方可进行支座安装；</w:t>
      </w:r>
    </w:p>
    <w:p>
      <w:pPr>
        <w:pStyle w:val="111"/>
        <w:numPr>
          <w:ilvl w:val="1"/>
          <w:numId w:val="59"/>
        </w:numPr>
      </w:pPr>
      <w:r>
        <w:rPr>
          <w:rFonts w:hint="eastAsia"/>
        </w:rPr>
        <w:t>支座安装前应复核下连接板的平面位置、标高和水平度，并应保留相关记录；</w:t>
      </w:r>
    </w:p>
    <w:p>
      <w:pPr>
        <w:pStyle w:val="111"/>
        <w:numPr>
          <w:ilvl w:val="1"/>
          <w:numId w:val="59"/>
        </w:numPr>
      </w:pPr>
      <w:r>
        <w:rPr>
          <w:rFonts w:hint="eastAsia"/>
        </w:rPr>
        <w:t>支座吊装时，应按厂家提供的吊点安装吊具；吊运过程中，支座宜水平；</w:t>
      </w:r>
    </w:p>
    <w:p>
      <w:pPr>
        <w:pStyle w:val="111"/>
        <w:numPr>
          <w:ilvl w:val="1"/>
          <w:numId w:val="59"/>
        </w:numPr>
      </w:pPr>
      <w:r>
        <w:rPr>
          <w:rFonts w:hint="eastAsia"/>
        </w:rPr>
        <w:t>支座安装过程中应采取措施，不得发生水平变形；</w:t>
      </w:r>
    </w:p>
    <w:p>
      <w:pPr>
        <w:pStyle w:val="111"/>
        <w:numPr>
          <w:ilvl w:val="1"/>
          <w:numId w:val="59"/>
        </w:numPr>
      </w:pPr>
      <w:r>
        <w:rPr>
          <w:rFonts w:hint="eastAsia"/>
        </w:rPr>
        <w:t>支座就位后，应复核其平面位置、顶面高程和顶面水平度；</w:t>
      </w:r>
    </w:p>
    <w:p>
      <w:pPr>
        <w:pStyle w:val="111"/>
        <w:numPr>
          <w:ilvl w:val="1"/>
          <w:numId w:val="59"/>
        </w:numPr>
      </w:pPr>
      <w:r>
        <w:rPr>
          <w:rFonts w:hint="eastAsia"/>
        </w:rPr>
        <w:t>螺栓应对称拧紧；</w:t>
      </w:r>
    </w:p>
    <w:p>
      <w:pPr>
        <w:pStyle w:val="111"/>
        <w:numPr>
          <w:ilvl w:val="1"/>
          <w:numId w:val="59"/>
        </w:numPr>
      </w:pPr>
      <w:r>
        <w:rPr>
          <w:rFonts w:hint="eastAsia"/>
        </w:rPr>
        <w:t>支座安装后，支座与下支墩(柱)顶面的连接板应密贴；</w:t>
      </w:r>
    </w:p>
    <w:p>
      <w:pPr>
        <w:pStyle w:val="111"/>
        <w:numPr>
          <w:ilvl w:val="1"/>
          <w:numId w:val="59"/>
        </w:numPr>
      </w:pPr>
      <w:r>
        <w:rPr>
          <w:rFonts w:hint="eastAsia"/>
        </w:rPr>
        <w:t>当同一支墩(柱)下采用多个支座组合时，必须采用同一厂家产品。</w:t>
      </w:r>
    </w:p>
    <w:p>
      <w:pPr>
        <w:pStyle w:val="67"/>
        <w:spacing w:before="156" w:after="156"/>
      </w:pPr>
      <w:r>
        <w:rPr>
          <w:rFonts w:hint="eastAsia"/>
        </w:rPr>
        <w:t>支座相邻上部结构施工应符合下列规定：</w:t>
      </w:r>
    </w:p>
    <w:p>
      <w:pPr>
        <w:pStyle w:val="111"/>
        <w:numPr>
          <w:ilvl w:val="1"/>
          <w:numId w:val="60"/>
        </w:numPr>
      </w:pPr>
      <w:r>
        <w:rPr>
          <w:rFonts w:hint="eastAsia"/>
        </w:rPr>
        <w:t>支座安装验收合格后，方可进行后续工程施工；</w:t>
      </w:r>
    </w:p>
    <w:p>
      <w:pPr>
        <w:pStyle w:val="111"/>
        <w:numPr>
          <w:ilvl w:val="1"/>
          <w:numId w:val="60"/>
        </w:numPr>
      </w:pPr>
      <w:r>
        <w:rPr>
          <w:rFonts w:hint="eastAsia"/>
        </w:rPr>
        <w:t>支座上连接板安装后，将锚定螺栓就位，应校核其位置、高程等，并应保留记录；</w:t>
      </w:r>
    </w:p>
    <w:p>
      <w:pPr>
        <w:pStyle w:val="111"/>
        <w:numPr>
          <w:ilvl w:val="1"/>
          <w:numId w:val="60"/>
        </w:numPr>
      </w:pPr>
      <w:r>
        <w:rPr>
          <w:rFonts w:hint="eastAsia"/>
        </w:rPr>
        <w:t>支座安装后应立即采取保护措施，后续施工过程中不得污染、损伤；</w:t>
      </w:r>
    </w:p>
    <w:p>
      <w:pPr>
        <w:pStyle w:val="111"/>
        <w:numPr>
          <w:ilvl w:val="1"/>
          <w:numId w:val="60"/>
        </w:numPr>
      </w:pPr>
      <w:r>
        <w:rPr>
          <w:rFonts w:hint="eastAsia"/>
        </w:rPr>
        <w:t>支座上部相邻结构的模板和混凝土工程施工时，应对隔震层采取临时固定措施，不应发生水平位移；</w:t>
      </w:r>
    </w:p>
    <w:p>
      <w:pPr>
        <w:pStyle w:val="111"/>
        <w:numPr>
          <w:ilvl w:val="1"/>
          <w:numId w:val="60"/>
        </w:numPr>
      </w:pPr>
      <w:r>
        <w:rPr>
          <w:rFonts w:hint="eastAsia"/>
        </w:rPr>
        <w:t>对单层面积较大或长度超过100m的支座相邻上部混凝土结构、大跨度的钢结构或设计有特殊要求的，应制定专项施工方案，不应产生过大的温度变形和混凝土干缩变形；</w:t>
      </w:r>
    </w:p>
    <w:p>
      <w:pPr>
        <w:pStyle w:val="111"/>
        <w:numPr>
          <w:ilvl w:val="1"/>
          <w:numId w:val="60"/>
        </w:numPr>
      </w:pPr>
      <w:r>
        <w:rPr>
          <w:rFonts w:hint="eastAsia"/>
        </w:rPr>
        <w:t>当支座相邻上部结构为钢结构和钢骨结构时，应对全部支座采取临时固定措施；</w:t>
      </w:r>
    </w:p>
    <w:p>
      <w:pPr>
        <w:pStyle w:val="111"/>
        <w:numPr>
          <w:ilvl w:val="1"/>
          <w:numId w:val="60"/>
        </w:numPr>
      </w:pPr>
      <w:r>
        <w:rPr>
          <w:rFonts w:hint="eastAsia"/>
        </w:rPr>
        <w:t>在支座相邻上部结构施工过程中，应定期观测支座竖向变形，并应保留相应记录。</w:t>
      </w:r>
    </w:p>
    <w:p>
      <w:pPr>
        <w:pStyle w:val="107"/>
        <w:spacing w:before="156" w:after="156"/>
        <w:jc w:val="center"/>
      </w:pPr>
      <w:r>
        <w:rPr>
          <w:rFonts w:hint="eastAsia"/>
        </w:rPr>
        <w:t>建筑隔震工程验收</w:t>
      </w:r>
    </w:p>
    <w:p>
      <w:pPr>
        <w:pStyle w:val="67"/>
        <w:spacing w:before="156" w:after="156"/>
      </w:pPr>
      <w:r>
        <w:rPr>
          <w:rFonts w:hint="eastAsia"/>
        </w:rPr>
        <w:t>建筑隔震工程施工质量验收应在自检合格基础上，按检验批、分项工程、子分部工程验收，应符合下列规定：</w:t>
      </w:r>
    </w:p>
    <w:p>
      <w:pPr>
        <w:pStyle w:val="111"/>
        <w:numPr>
          <w:ilvl w:val="1"/>
          <w:numId w:val="61"/>
        </w:numPr>
      </w:pPr>
      <w:r>
        <w:rPr>
          <w:rFonts w:hint="eastAsia"/>
        </w:rPr>
        <w:t>工程施工质量应符合本规范和设计要求；</w:t>
      </w:r>
    </w:p>
    <w:p>
      <w:pPr>
        <w:pStyle w:val="111"/>
        <w:numPr>
          <w:ilvl w:val="1"/>
          <w:numId w:val="61"/>
        </w:numPr>
      </w:pPr>
      <w:r>
        <w:rPr>
          <w:rFonts w:hint="eastAsia"/>
        </w:rPr>
        <w:t>参加工程施工质量验收的各方人员应具备规定的资格；</w:t>
      </w:r>
    </w:p>
    <w:p>
      <w:pPr>
        <w:pStyle w:val="111"/>
        <w:numPr>
          <w:ilvl w:val="1"/>
          <w:numId w:val="61"/>
        </w:numPr>
      </w:pPr>
      <w:r>
        <w:rPr>
          <w:rFonts w:hint="eastAsia"/>
        </w:rPr>
        <w:t>隐蔽工程在隐蔽前，应由相关单位进行隐蔽工程验收，确认合格后，形成隐蔽验收文件；</w:t>
      </w:r>
    </w:p>
    <w:p>
      <w:pPr>
        <w:pStyle w:val="111"/>
        <w:numPr>
          <w:ilvl w:val="1"/>
          <w:numId w:val="61"/>
        </w:numPr>
      </w:pPr>
      <w:r>
        <w:rPr>
          <w:rFonts w:hint="eastAsia"/>
        </w:rPr>
        <w:t>检验批的质量应按主控项目和一般项目进行验收；</w:t>
      </w:r>
    </w:p>
    <w:p>
      <w:pPr>
        <w:pStyle w:val="111"/>
        <w:numPr>
          <w:ilvl w:val="1"/>
          <w:numId w:val="61"/>
        </w:numPr>
      </w:pPr>
      <w:r>
        <w:rPr>
          <w:rFonts w:hint="eastAsia"/>
        </w:rPr>
        <w:t>工程的外观质量应由验收人员通过现场检查共同确认；</w:t>
      </w:r>
    </w:p>
    <w:p>
      <w:pPr>
        <w:pStyle w:val="67"/>
        <w:spacing w:before="156" w:after="156"/>
      </w:pPr>
      <w:r>
        <w:rPr>
          <w:rFonts w:hint="eastAsia"/>
        </w:rPr>
        <w:t>建筑隔震工程上部结构验收和竣工验收时，均应对隔震缝和柔性连接进行验收检查。</w:t>
      </w:r>
    </w:p>
    <w:p>
      <w:pPr>
        <w:pStyle w:val="67"/>
        <w:spacing w:before="156" w:after="156"/>
      </w:pPr>
      <w:r>
        <w:rPr>
          <w:rFonts w:hint="eastAsia"/>
        </w:rPr>
        <w:t>建筑隔震工程施工质量验收时，应提供下列文件和记录：</w:t>
      </w:r>
    </w:p>
    <w:p>
      <w:pPr>
        <w:pStyle w:val="111"/>
        <w:numPr>
          <w:ilvl w:val="1"/>
          <w:numId w:val="62"/>
        </w:numPr>
      </w:pPr>
      <w:r>
        <w:rPr>
          <w:rFonts w:hint="eastAsia"/>
        </w:rPr>
        <w:t>工程相关设计文件及设计变更文件；</w:t>
      </w:r>
    </w:p>
    <w:p>
      <w:pPr>
        <w:pStyle w:val="111"/>
        <w:numPr>
          <w:ilvl w:val="1"/>
          <w:numId w:val="62"/>
        </w:numPr>
      </w:pPr>
      <w:r>
        <w:rPr>
          <w:rFonts w:hint="eastAsia"/>
        </w:rPr>
        <w:t>支座、阻尼器及相关材料质量合格证明文件、中文标识、性能检测报告和复验报告；</w:t>
      </w:r>
    </w:p>
    <w:p>
      <w:pPr>
        <w:pStyle w:val="111"/>
        <w:numPr>
          <w:ilvl w:val="1"/>
          <w:numId w:val="62"/>
        </w:numPr>
      </w:pPr>
      <w:r>
        <w:rPr>
          <w:rFonts w:hint="eastAsia"/>
        </w:rPr>
        <w:t>施工现场质量管理检查记录；</w:t>
      </w:r>
    </w:p>
    <w:p>
      <w:pPr>
        <w:pStyle w:val="111"/>
        <w:numPr>
          <w:ilvl w:val="1"/>
          <w:numId w:val="62"/>
        </w:numPr>
      </w:pPr>
      <w:r>
        <w:rPr>
          <w:rFonts w:hint="eastAsia"/>
        </w:rPr>
        <w:t>有关安全及功能的检验和见证检测项目检查记录；</w:t>
      </w:r>
    </w:p>
    <w:p>
      <w:pPr>
        <w:pStyle w:val="111"/>
        <w:numPr>
          <w:ilvl w:val="1"/>
          <w:numId w:val="62"/>
        </w:numPr>
      </w:pPr>
      <w:r>
        <w:rPr>
          <w:rFonts w:hint="eastAsia"/>
        </w:rPr>
        <w:t>有关观感质量检验项目检查记录；</w:t>
      </w:r>
    </w:p>
    <w:p>
      <w:pPr>
        <w:pStyle w:val="111"/>
        <w:numPr>
          <w:ilvl w:val="1"/>
          <w:numId w:val="62"/>
        </w:numPr>
      </w:pPr>
      <w:r>
        <w:rPr>
          <w:rFonts w:hint="eastAsia"/>
        </w:rPr>
        <w:t>分项工程所含各检验批质量验收记录；</w:t>
      </w:r>
    </w:p>
    <w:p>
      <w:pPr>
        <w:pStyle w:val="111"/>
        <w:numPr>
          <w:ilvl w:val="1"/>
          <w:numId w:val="62"/>
        </w:numPr>
      </w:pPr>
      <w:r>
        <w:rPr>
          <w:rFonts w:hint="eastAsia"/>
        </w:rPr>
        <w:t>工程重大质量问题的处理方案和验收记录；</w:t>
      </w:r>
    </w:p>
    <w:p>
      <w:pPr>
        <w:pStyle w:val="111"/>
        <w:numPr>
          <w:ilvl w:val="1"/>
          <w:numId w:val="62"/>
        </w:numPr>
      </w:pPr>
      <w:r>
        <w:rPr>
          <w:rFonts w:hint="eastAsia"/>
        </w:rPr>
        <w:t>隔震装置使用维护手册、维修管理及计划；</w:t>
      </w:r>
    </w:p>
    <w:p>
      <w:pPr>
        <w:pStyle w:val="111"/>
        <w:numPr>
          <w:ilvl w:val="1"/>
          <w:numId w:val="62"/>
        </w:numPr>
      </w:pPr>
      <w:r>
        <w:rPr>
          <w:rFonts w:hint="eastAsia"/>
        </w:rPr>
        <w:t>其他必要的文件和记录；</w:t>
      </w:r>
    </w:p>
    <w:p>
      <w:pPr>
        <w:pStyle w:val="107"/>
        <w:spacing w:before="156" w:after="156"/>
        <w:jc w:val="center"/>
      </w:pPr>
      <w:r>
        <w:rPr>
          <w:rFonts w:hint="eastAsia"/>
        </w:rPr>
        <w:t>维护</w:t>
      </w:r>
    </w:p>
    <w:p>
      <w:pPr>
        <w:pStyle w:val="67"/>
        <w:spacing w:before="156" w:after="156"/>
      </w:pPr>
      <w:r>
        <w:rPr>
          <w:rFonts w:hint="eastAsia"/>
        </w:rPr>
        <w:t>隔震建筑应设置标识，并应标明其功能特殊性、使用及维护注意事项。隔震建筑的标识设置范围和内容应符合下列规定：</w:t>
      </w:r>
    </w:p>
    <w:p>
      <w:pPr>
        <w:pStyle w:val="111"/>
        <w:numPr>
          <w:ilvl w:val="1"/>
          <w:numId w:val="63"/>
        </w:numPr>
      </w:pPr>
      <w:r>
        <w:rPr>
          <w:rFonts w:hint="eastAsia"/>
        </w:rPr>
        <w:t>门厅入口处应标明隔震建筑，并应简单阐述隔震原理、房屋使用者注意问题，同时给出主要建筑结构平面图、剖面图、隔震层布置图、隔震缝布置图以及隔震产品描述等；</w:t>
      </w:r>
    </w:p>
    <w:p>
      <w:pPr>
        <w:pStyle w:val="111"/>
        <w:numPr>
          <w:ilvl w:val="1"/>
          <w:numId w:val="63"/>
        </w:numPr>
      </w:pPr>
      <w:r>
        <w:rPr>
          <w:rFonts w:hint="eastAsia"/>
        </w:rPr>
        <w:t>水平隔震缝处应标明此处为上部结构与下部结构完全分开的水平缝；</w:t>
      </w:r>
    </w:p>
    <w:p>
      <w:pPr>
        <w:pStyle w:val="111"/>
        <w:numPr>
          <w:ilvl w:val="1"/>
          <w:numId w:val="63"/>
        </w:numPr>
      </w:pPr>
      <w:r>
        <w:rPr>
          <w:rFonts w:hint="eastAsia"/>
        </w:rPr>
        <w:t>建筑物周围的竖向隔震缝(又称隔震沟)处应标明地震时此处为建筑物的移动空间，并应在其范围内设置标线或警示线；</w:t>
      </w:r>
    </w:p>
    <w:p>
      <w:pPr>
        <w:pStyle w:val="67"/>
        <w:spacing w:before="156" w:after="156"/>
      </w:pPr>
      <w:r>
        <w:rPr>
          <w:rFonts w:hint="eastAsia"/>
        </w:rPr>
        <w:t>隔震建筑工程竣工验收前，应提交由支座和阻尼器生产厂家、设计等单位编写的使用维护手册及维护管理计划；隔震建筑的维护检查可分为常规检查、定期检查、应急检查。</w:t>
      </w:r>
    </w:p>
    <w:p>
      <w:pPr>
        <w:pStyle w:val="67"/>
        <w:spacing w:before="156" w:after="156"/>
      </w:pPr>
      <w:r>
        <w:rPr>
          <w:rFonts w:hint="eastAsia"/>
        </w:rPr>
        <w:t>隔震建筑工程除对建筑常规维护项目进行检验、检查外，还应对隔震建筑特有的项目进行检验、检查。检查项目可包括支座、阻尼器、隔震缝、柔性连接等等；检查应按本规范第14章相关规定执行。</w:t>
      </w:r>
    </w:p>
    <w:p>
      <w:pPr>
        <w:pStyle w:val="67"/>
        <w:spacing w:before="156" w:after="156"/>
      </w:pPr>
      <w:r>
        <w:rPr>
          <w:rFonts w:hint="eastAsia"/>
        </w:rPr>
        <w:t>定期检查应为竣工后的1年、3年、5年、10年，之后每10年进行一次。除支座的水平变形和竖向压缩变形应使用仪器测量外，其他项目均可通过观察方式进行检查。</w:t>
      </w:r>
    </w:p>
    <w:p>
      <w:pPr>
        <w:pStyle w:val="67"/>
        <w:spacing w:before="156" w:after="156"/>
      </w:pPr>
      <w:r>
        <w:rPr>
          <w:rFonts w:hint="eastAsia"/>
        </w:rPr>
        <w:t>当发生可能对隔震层相关构件及装置造成损伤的地震或火灾等灾害后，应及时进行应急检查。</w:t>
      </w: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widowControl/>
        <w:adjustRightInd/>
        <w:spacing w:line="240" w:lineRule="auto"/>
        <w:jc w:val="left"/>
        <w:rPr>
          <w:rFonts w:ascii="宋体" w:hAnsi="Times New Roman"/>
          <w:kern w:val="0"/>
          <w:szCs w:val="20"/>
        </w:rPr>
      </w:pPr>
      <w:r>
        <w:br w:type="page"/>
      </w:r>
    </w:p>
    <w:p>
      <w:pPr>
        <w:pStyle w:val="58"/>
        <w:ind w:firstLine="420"/>
      </w:pPr>
    </w:p>
    <w:p>
      <w:pPr>
        <w:pStyle w:val="106"/>
        <w:spacing w:before="312" w:after="312"/>
      </w:pPr>
      <w:bookmarkStart w:id="67" w:name="_Toc17233326"/>
      <w:bookmarkStart w:id="68" w:name="_Toc17233334"/>
      <w:bookmarkStart w:id="69" w:name="_Toc24884212"/>
      <w:bookmarkStart w:id="70" w:name="_Toc24884219"/>
      <w:bookmarkStart w:id="71" w:name="_Toc26648466"/>
      <w:bookmarkStart w:id="72" w:name="_Toc26718931"/>
      <w:bookmarkStart w:id="73" w:name="_Toc26986531"/>
      <w:bookmarkStart w:id="74" w:name="_Toc26986772"/>
      <w:bookmarkStart w:id="75" w:name="_Toc89941394"/>
      <w:bookmarkStart w:id="76" w:name="_Toc89951412"/>
      <w:bookmarkStart w:id="77" w:name="_Toc89952153"/>
      <w:bookmarkStart w:id="78" w:name="_Toc89952257"/>
      <w:bookmarkStart w:id="79" w:name="_Toc89952330"/>
      <w:bookmarkStart w:id="80" w:name="_Toc92414109"/>
      <w:r>
        <w:rPr>
          <w:rFonts w:hint="eastAsia"/>
        </w:rPr>
        <w:t>规范性引用文件</w:t>
      </w:r>
      <w:bookmarkEnd w:id="67"/>
      <w:bookmarkEnd w:id="68"/>
      <w:bookmarkEnd w:id="69"/>
      <w:bookmarkEnd w:id="70"/>
      <w:bookmarkEnd w:id="71"/>
      <w:bookmarkEnd w:id="72"/>
      <w:bookmarkEnd w:id="73"/>
      <w:bookmarkEnd w:id="74"/>
      <w:bookmarkEnd w:id="75"/>
      <w:bookmarkEnd w:id="76"/>
      <w:bookmarkEnd w:id="77"/>
      <w:bookmarkEnd w:id="78"/>
      <w:bookmarkEnd w:id="79"/>
      <w:bookmarkEnd w:id="80"/>
    </w:p>
    <w:sdt>
      <w:sdtPr>
        <w:rPr>
          <w:rFonts w:hint="eastAsia"/>
        </w:rPr>
        <w:id w:val="715848253"/>
        <w:placeholder>
          <w:docPart w:val="0E7A2ABF0DD3437DA340BB2AAF96B48F"/>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8"/>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111"/>
        <w:numPr>
          <w:ilvl w:val="1"/>
          <w:numId w:val="64"/>
        </w:numPr>
      </w:pPr>
      <w:r>
        <w:rPr>
          <w:rFonts w:hint="eastAsia"/>
        </w:rPr>
        <w:t>《建筑工程抗震设防分类标准》GB</w:t>
      </w:r>
      <w:r>
        <w:t xml:space="preserve"> </w:t>
      </w:r>
      <w:r>
        <w:rPr>
          <w:rFonts w:hint="eastAsia"/>
        </w:rPr>
        <w:t>50223</w:t>
      </w:r>
    </w:p>
    <w:p>
      <w:pPr>
        <w:pStyle w:val="111"/>
        <w:numPr>
          <w:ilvl w:val="1"/>
          <w:numId w:val="64"/>
        </w:numPr>
      </w:pPr>
      <w:r>
        <w:rPr>
          <w:rFonts w:hint="eastAsia"/>
        </w:rPr>
        <w:t>《建筑结构可靠度设计统一标准》GB 50068</w:t>
      </w:r>
    </w:p>
    <w:p>
      <w:pPr>
        <w:pStyle w:val="111"/>
        <w:numPr>
          <w:ilvl w:val="1"/>
          <w:numId w:val="64"/>
        </w:numPr>
      </w:pPr>
      <w:r>
        <w:rPr>
          <w:rFonts w:hint="eastAsia"/>
        </w:rPr>
        <w:t>《建筑抗震设计规范》 GB</w:t>
      </w:r>
      <w:r>
        <w:t xml:space="preserve"> </w:t>
      </w:r>
      <w:r>
        <w:rPr>
          <w:rFonts w:hint="eastAsia"/>
        </w:rPr>
        <w:t>50011</w:t>
      </w:r>
    </w:p>
    <w:p>
      <w:pPr>
        <w:pStyle w:val="111"/>
        <w:numPr>
          <w:ilvl w:val="1"/>
          <w:numId w:val="64"/>
        </w:numPr>
      </w:pPr>
      <w:r>
        <w:rPr>
          <w:rFonts w:hint="eastAsia"/>
        </w:rPr>
        <w:t>《建筑结构荷载规范》GB 50009</w:t>
      </w:r>
    </w:p>
    <w:p>
      <w:pPr>
        <w:pStyle w:val="111"/>
        <w:numPr>
          <w:ilvl w:val="1"/>
          <w:numId w:val="64"/>
        </w:numPr>
      </w:pPr>
      <w:r>
        <w:rPr>
          <w:rFonts w:hint="eastAsia"/>
        </w:rPr>
        <w:t>《建筑与市政工程抗震通用规范》GB</w:t>
      </w:r>
      <w:r>
        <w:t xml:space="preserve"> </w:t>
      </w:r>
      <w:r>
        <w:rPr>
          <w:rFonts w:hint="eastAsia"/>
        </w:rPr>
        <w:t>55002</w:t>
      </w:r>
    </w:p>
    <w:p>
      <w:pPr>
        <w:pStyle w:val="111"/>
        <w:numPr>
          <w:ilvl w:val="1"/>
          <w:numId w:val="64"/>
        </w:numPr>
      </w:pPr>
      <w:r>
        <w:rPr>
          <w:rFonts w:hint="eastAsia"/>
        </w:rPr>
        <w:t>《中国地震动参数区划图》GB 18306</w:t>
      </w:r>
    </w:p>
    <w:p>
      <w:pPr>
        <w:pStyle w:val="111"/>
        <w:numPr>
          <w:ilvl w:val="1"/>
          <w:numId w:val="64"/>
        </w:numPr>
      </w:pPr>
      <w:r>
        <w:rPr>
          <w:rFonts w:hint="eastAsia"/>
        </w:rPr>
        <w:t>《建筑消能减震技术规程》JGJ 297</w:t>
      </w:r>
    </w:p>
    <w:p>
      <w:pPr>
        <w:pStyle w:val="111"/>
        <w:numPr>
          <w:ilvl w:val="1"/>
          <w:numId w:val="64"/>
        </w:numPr>
      </w:pPr>
      <w:r>
        <w:rPr>
          <w:rFonts w:hint="eastAsia"/>
        </w:rPr>
        <w:t>《建筑消能减震加固技术规程》T/CECS 547</w:t>
      </w:r>
    </w:p>
    <w:p>
      <w:pPr>
        <w:pStyle w:val="111"/>
        <w:numPr>
          <w:ilvl w:val="1"/>
          <w:numId w:val="64"/>
        </w:numPr>
      </w:pPr>
      <w:r>
        <w:rPr>
          <w:rFonts w:hint="eastAsia"/>
        </w:rPr>
        <w:t>《橡胶支座 第3部分 建筑隔震橡胶支座》GB 20688.3</w:t>
      </w:r>
    </w:p>
    <w:p>
      <w:pPr>
        <w:pStyle w:val="111"/>
        <w:numPr>
          <w:ilvl w:val="1"/>
          <w:numId w:val="64"/>
        </w:numPr>
      </w:pPr>
      <w:r>
        <w:rPr>
          <w:rFonts w:hint="eastAsia"/>
        </w:rPr>
        <w:t>《混凝土结构设计规范》GB 50010</w:t>
      </w:r>
    </w:p>
    <w:p>
      <w:pPr>
        <w:pStyle w:val="111"/>
        <w:numPr>
          <w:ilvl w:val="1"/>
          <w:numId w:val="64"/>
        </w:numPr>
      </w:pPr>
      <w:r>
        <w:rPr>
          <w:rFonts w:hint="eastAsia"/>
        </w:rPr>
        <w:t>《建筑工程容许振动标准》GB</w:t>
      </w:r>
      <w:r>
        <w:t xml:space="preserve"> </w:t>
      </w:r>
      <w:r>
        <w:rPr>
          <w:rFonts w:hint="eastAsia"/>
        </w:rPr>
        <w:t>50868</w:t>
      </w:r>
    </w:p>
    <w:p>
      <w:pPr>
        <w:pStyle w:val="111"/>
        <w:numPr>
          <w:ilvl w:val="1"/>
          <w:numId w:val="64"/>
        </w:numPr>
      </w:pPr>
      <w:r>
        <w:rPr>
          <w:rFonts w:hint="eastAsia"/>
        </w:rPr>
        <w:t>《空间网格结构技术规程》JGJ</w:t>
      </w:r>
      <w:r>
        <w:t xml:space="preserve"> </w:t>
      </w:r>
      <w:r>
        <w:rPr>
          <w:rFonts w:hint="eastAsia"/>
        </w:rPr>
        <w:t>7-2010</w:t>
      </w:r>
    </w:p>
    <w:p>
      <w:pPr>
        <w:pStyle w:val="111"/>
        <w:numPr>
          <w:ilvl w:val="1"/>
          <w:numId w:val="64"/>
        </w:numPr>
      </w:pPr>
      <w:r>
        <w:rPr>
          <w:rFonts w:hint="eastAsia"/>
        </w:rPr>
        <w:t>《钢结构设计规范》GB 50017-2003</w:t>
      </w:r>
    </w:p>
    <w:p>
      <w:pPr>
        <w:pStyle w:val="111"/>
        <w:numPr>
          <w:ilvl w:val="1"/>
          <w:numId w:val="64"/>
        </w:numPr>
      </w:pPr>
      <w:r>
        <w:rPr>
          <w:rFonts w:hint="eastAsia"/>
        </w:rPr>
        <w:t xml:space="preserve"> 《建筑抗震鉴定标准》GB 50023</w:t>
      </w:r>
    </w:p>
    <w:p>
      <w:pPr>
        <w:pStyle w:val="111"/>
        <w:numPr>
          <w:ilvl w:val="1"/>
          <w:numId w:val="64"/>
        </w:numPr>
      </w:pPr>
      <w:r>
        <w:rPr>
          <w:rFonts w:hint="eastAsia"/>
        </w:rPr>
        <w:t>《高层建筑混凝土结构技术规程》JGJ3</w:t>
      </w:r>
    </w:p>
    <w:p>
      <w:pPr>
        <w:pStyle w:val="111"/>
        <w:numPr>
          <w:ilvl w:val="1"/>
          <w:numId w:val="64"/>
        </w:numPr>
      </w:pPr>
      <w:r>
        <w:rPr>
          <w:rFonts w:hint="eastAsia"/>
        </w:rPr>
        <w:t>《橡胶支座 第5部分：建筑隔震弹性滑板支座》 GB 20688.5</w:t>
      </w:r>
    </w:p>
    <w:p>
      <w:pPr>
        <w:pStyle w:val="111"/>
        <w:numPr>
          <w:ilvl w:val="1"/>
          <w:numId w:val="64"/>
        </w:numPr>
      </w:pPr>
      <w:r>
        <w:rPr>
          <w:rFonts w:hint="eastAsia"/>
        </w:rPr>
        <w:t>《建筑消能阻尼器》JG/T 209</w:t>
      </w:r>
    </w:p>
    <w:p>
      <w:pPr>
        <w:pStyle w:val="58"/>
        <w:ind w:firstLine="420"/>
      </w:pPr>
    </w:p>
    <w:p>
      <w:pPr>
        <w:pStyle w:val="58"/>
        <w:ind w:firstLine="420"/>
        <w:sectPr>
          <w:pgSz w:w="11906" w:h="16838"/>
          <w:pgMar w:top="2410" w:right="1134" w:bottom="1134" w:left="1134" w:header="1418" w:footer="1134" w:gutter="284"/>
          <w:pgNumType w:start="1"/>
          <w:cols w:space="425" w:num="1"/>
          <w:formProt w:val="0"/>
          <w:docGrid w:type="lines" w:linePitch="312" w:charSpace="0"/>
        </w:sectPr>
      </w:pPr>
    </w:p>
    <w:bookmarkEnd w:id="28"/>
    <w:p>
      <w:pPr>
        <w:pStyle w:val="200"/>
        <w:rPr>
          <w:vanish w:val="0"/>
        </w:rPr>
      </w:pPr>
      <w:bookmarkStart w:id="81" w:name="BookMark5"/>
    </w:p>
    <w:p>
      <w:pPr>
        <w:pStyle w:val="201"/>
        <w:rPr>
          <w:vanish w:val="0"/>
        </w:rPr>
      </w:pPr>
    </w:p>
    <w:p>
      <w:pPr>
        <w:pStyle w:val="78"/>
        <w:spacing w:before="78" w:after="156"/>
      </w:pPr>
      <w:r>
        <w:br w:type="textWrapping"/>
      </w:r>
      <w:bookmarkStart w:id="82" w:name="_Toc92414110"/>
      <w:r>
        <w:rPr>
          <w:rFonts w:hint="eastAsia"/>
        </w:rPr>
        <w:t>（资料性）</w:t>
      </w:r>
      <w:r>
        <w:br w:type="textWrapping"/>
      </w:r>
      <w:r>
        <w:rPr>
          <w:rFonts w:hint="eastAsia"/>
        </w:rPr>
        <w:t>复振型影响系数计算公式</w:t>
      </w:r>
      <w:bookmarkEnd w:id="82"/>
    </w:p>
    <w:p>
      <w:pPr>
        <w:pStyle w:val="58"/>
        <w:ind w:firstLine="420"/>
      </w:pPr>
      <w:r>
        <w:rPr>
          <w:rFonts w:hint="eastAsia"/>
        </w:rPr>
        <w:t>A.0.1 复振型分解反应谱法中第j阶振型向量和参与系数可按下式计算：：</w:t>
      </w:r>
    </w:p>
    <w:p>
      <w:pPr>
        <w:pStyle w:val="58"/>
        <w:ind w:firstLine="420"/>
        <w:jc w:val="right"/>
      </w:pPr>
      <w:r>
        <w:rPr>
          <w:position w:val="-16"/>
          <w:szCs w:val="21"/>
        </w:rPr>
        <w:object>
          <v:shape id="_x0000_i1270" o:spt="75" type="#_x0000_t75" style="height:22.05pt;width:90.35pt;" o:ole="t" filled="f" o:preferrelative="t" stroked="f" coordsize="21600,21600">
            <v:path/>
            <v:fill on="f" focussize="0,0"/>
            <v:stroke on="f" joinstyle="miter"/>
            <v:imagedata r:id="rId525" o:title=""/>
            <o:lock v:ext="edit" aspectratio="t"/>
            <w10:wrap type="none"/>
            <w10:anchorlock/>
          </v:shape>
          <o:OLEObject Type="Embed" ProgID="Equation.DSMT4" ShapeID="_x0000_i1270" DrawAspect="Content" ObjectID="_1468075970" r:id="rId524">
            <o:LockedField>false</o:LockedField>
          </o:OLEObject>
        </w:object>
      </w:r>
      <w:r>
        <w:rPr>
          <w:rFonts w:hint="eastAsia"/>
        </w:rPr>
        <w:t xml:space="preserve">                      （A</w:t>
      </w:r>
      <w:r>
        <w:t>.</w:t>
      </w:r>
      <w:r>
        <w:rPr>
          <w:rFonts w:hint="eastAsia"/>
        </w:rPr>
        <w:t>0.1-1）</w:t>
      </w:r>
    </w:p>
    <w:p>
      <w:pPr>
        <w:pStyle w:val="58"/>
        <w:ind w:firstLine="420"/>
        <w:jc w:val="right"/>
      </w:pPr>
      <w:r>
        <w:rPr>
          <w:position w:val="-16"/>
          <w:szCs w:val="21"/>
        </w:rPr>
        <w:object>
          <v:shape id="_x0000_i1271" o:spt="75" type="#_x0000_t75" style="height:22.05pt;width:71.25pt;" o:ole="t" filled="f" o:preferrelative="t" stroked="f" coordsize="21600,21600">
            <v:path/>
            <v:fill on="f" focussize="0,0"/>
            <v:stroke on="f" joinstyle="miter"/>
            <v:imagedata r:id="rId527" o:title=""/>
            <o:lock v:ext="edit" aspectratio="t"/>
            <w10:wrap type="none"/>
            <w10:anchorlock/>
          </v:shape>
          <o:OLEObject Type="Embed" ProgID="Equation.DSMT4" ShapeID="_x0000_i1271" DrawAspect="Content" ObjectID="_1468075971" r:id="rId526">
            <o:LockedField>false</o:LockedField>
          </o:OLEObject>
        </w:object>
      </w:r>
      <w:r>
        <w:rPr>
          <w:rFonts w:hint="eastAsia"/>
        </w:rPr>
        <w:t xml:space="preserve">                        （A.0.1-2）</w:t>
      </w:r>
    </w:p>
    <w:p>
      <w:pPr>
        <w:pStyle w:val="115"/>
        <w:jc w:val="right"/>
      </w:pPr>
      <w:r>
        <w:tab/>
      </w:r>
      <m:oMath>
        <m:sSub>
          <m:sSubPr>
            <m:ctrlPr>
              <w:rPr>
                <w:rStyle w:val="188"/>
                <w:rFonts w:ascii="Cambria Math" w:hAnsi="Cambria Math"/>
                <w:i/>
              </w:rPr>
            </m:ctrlPr>
          </m:sSubPr>
          <m:e>
            <m:r>
              <m:rPr/>
              <w:rPr>
                <w:rStyle w:val="188"/>
                <w:rFonts w:ascii="Cambria Math" w:hAnsi="Cambria Math"/>
              </w:rPr>
              <m:t>c</m:t>
            </m:r>
            <m:ctrlPr>
              <w:rPr>
                <w:rStyle w:val="188"/>
                <w:rFonts w:ascii="Cambria Math" w:hAnsi="Cambria Math"/>
                <w:i/>
              </w:rPr>
            </m:ctrlPr>
          </m:e>
          <m:sub>
            <m:r>
              <m:rPr/>
              <w:rPr>
                <w:rStyle w:val="188"/>
                <w:rFonts w:ascii="Cambria Math" w:hAnsi="Cambria Math"/>
              </w:rPr>
              <m:t>ji</m:t>
            </m:r>
            <m:ctrlPr>
              <w:rPr>
                <w:rStyle w:val="188"/>
                <w:rFonts w:ascii="Cambria Math" w:hAnsi="Cambria Math"/>
                <w:i/>
              </w:rPr>
            </m:ctrlPr>
          </m:sub>
        </m:sSub>
        <m:r>
          <m:rPr/>
          <w:rPr>
            <w:rStyle w:val="188"/>
            <w:rFonts w:ascii="Cambria Math" w:hAnsi="Cambria Math"/>
          </w:rPr>
          <m:t>=</m:t>
        </m:r>
        <m:sSubSup>
          <m:sSubSupPr>
            <m:ctrlPr>
              <w:rPr>
                <w:rStyle w:val="188"/>
                <w:rFonts w:ascii="Cambria Math" w:hAnsi="Cambria Math"/>
                <w:i/>
              </w:rPr>
            </m:ctrlPr>
          </m:sSubSupPr>
          <m:e>
            <m:r>
              <m:rPr/>
              <w:rPr>
                <w:rStyle w:val="188"/>
                <w:rFonts w:hint="eastAsia" w:ascii="Cambria Math" w:hAnsi="Cambria Math"/>
              </w:rPr>
              <m:t>c</m:t>
            </m:r>
            <m:ctrlPr>
              <w:rPr>
                <w:rStyle w:val="188"/>
                <w:rFonts w:ascii="Cambria Math" w:hAnsi="Cambria Math"/>
                <w:i/>
              </w:rPr>
            </m:ctrlPr>
          </m:e>
          <m:sub>
            <m:r>
              <m:rPr/>
              <w:rPr>
                <w:rStyle w:val="188"/>
                <w:rFonts w:ascii="Cambria Math" w:hAnsi="Cambria Math"/>
              </w:rPr>
              <m:t>ji</m:t>
            </m:r>
            <m:ctrlPr>
              <w:rPr>
                <w:rStyle w:val="188"/>
                <w:rFonts w:ascii="Cambria Math" w:hAnsi="Cambria Math"/>
                <w:i/>
              </w:rPr>
            </m:ctrlPr>
          </m:sub>
          <m:sup>
            <m:r>
              <m:rPr/>
              <w:rPr>
                <w:rStyle w:val="188"/>
                <w:rFonts w:ascii="Cambria Math" w:hAnsi="Cambria Math"/>
              </w:rPr>
              <m:t>0</m:t>
            </m:r>
            <m:ctrlPr>
              <w:rPr>
                <w:rStyle w:val="188"/>
                <w:rFonts w:ascii="Cambria Math" w:hAnsi="Cambria Math"/>
                <w:i/>
              </w:rPr>
            </m:ctrlPr>
          </m:sup>
        </m:sSubSup>
        <m:f>
          <m:fPr>
            <m:ctrlPr>
              <w:rPr>
                <w:rStyle w:val="188"/>
                <w:rFonts w:ascii="Cambria Math" w:hAnsi="Cambria Math"/>
                <w:i/>
              </w:rPr>
            </m:ctrlPr>
          </m:fPr>
          <m:num>
            <m:sSub>
              <m:sSubPr>
                <m:ctrlPr>
                  <w:rPr>
                    <w:rStyle w:val="188"/>
                    <w:rFonts w:ascii="Cambria Math" w:hAnsi="Cambria Math"/>
                    <w:i/>
                  </w:rPr>
                </m:ctrlPr>
              </m:sSubPr>
              <m:e>
                <m:r>
                  <m:rPr/>
                  <w:rPr>
                    <w:rStyle w:val="188"/>
                    <w:rFonts w:ascii="Cambria Math" w:hAnsi="Cambria Math"/>
                  </w:rPr>
                  <m:t>η</m:t>
                </m:r>
                <m:ctrlPr>
                  <w:rPr>
                    <w:rStyle w:val="188"/>
                    <w:rFonts w:ascii="Cambria Math" w:hAnsi="Cambria Math"/>
                    <w:i/>
                  </w:rPr>
                </m:ctrlPr>
              </m:e>
              <m:sub>
                <m:r>
                  <m:rPr/>
                  <w:rPr>
                    <w:rStyle w:val="188"/>
                    <w:rFonts w:ascii="Cambria Math" w:hAnsi="Cambria Math"/>
                  </w:rPr>
                  <m:t>j</m:t>
                </m:r>
                <m:ctrlPr>
                  <w:rPr>
                    <w:rStyle w:val="188"/>
                    <w:rFonts w:ascii="Cambria Math" w:hAnsi="Cambria Math"/>
                    <w:i/>
                  </w:rPr>
                </m:ctrlPr>
              </m:sub>
            </m:sSub>
            <m:sSub>
              <m:sSubPr>
                <m:ctrlPr>
                  <w:rPr>
                    <w:rStyle w:val="188"/>
                    <w:rFonts w:ascii="Cambria Math" w:hAnsi="Cambria Math"/>
                    <w:i/>
                  </w:rPr>
                </m:ctrlPr>
              </m:sSubPr>
              <m:e>
                <m:r>
                  <m:rPr/>
                  <w:rPr>
                    <w:rStyle w:val="188"/>
                    <w:rFonts w:ascii="Cambria Math" w:hAnsi="Cambria Math"/>
                  </w:rPr>
                  <m:t>λ</m:t>
                </m:r>
                <m:ctrlPr>
                  <w:rPr>
                    <w:rStyle w:val="188"/>
                    <w:rFonts w:ascii="Cambria Math" w:hAnsi="Cambria Math"/>
                    <w:i/>
                  </w:rPr>
                </m:ctrlPr>
              </m:e>
              <m:sub>
                <m:r>
                  <m:rPr/>
                  <w:rPr>
                    <w:rStyle w:val="188"/>
                    <w:rFonts w:ascii="Cambria Math" w:hAnsi="Cambria Math"/>
                  </w:rPr>
                  <m:t>j</m:t>
                </m:r>
                <m:ctrlPr>
                  <w:rPr>
                    <w:rStyle w:val="188"/>
                    <w:rFonts w:ascii="Cambria Math" w:hAnsi="Cambria Math"/>
                    <w:i/>
                  </w:rPr>
                </m:ctrlPr>
              </m:sub>
            </m:sSub>
            <m:ctrlPr>
              <w:rPr>
                <w:rStyle w:val="188"/>
                <w:rFonts w:ascii="Cambria Math" w:hAnsi="Cambria Math"/>
                <w:i/>
              </w:rPr>
            </m:ctrlPr>
          </m:num>
          <m:den>
            <m:r>
              <m:rPr/>
              <w:rPr>
                <w:rStyle w:val="188"/>
                <w:rFonts w:ascii="Cambria Math" w:hAnsi="Cambria Math"/>
              </w:rPr>
              <m:t>Re</m:t>
            </m:r>
            <m:d>
              <m:dPr>
                <m:ctrlPr>
                  <w:rPr>
                    <w:rStyle w:val="188"/>
                    <w:rFonts w:ascii="Cambria Math" w:hAnsi="Cambria Math"/>
                    <w:i/>
                  </w:rPr>
                </m:ctrlPr>
              </m:dPr>
              <m:e>
                <m:sSub>
                  <m:sSubPr>
                    <m:ctrlPr>
                      <w:rPr>
                        <w:rStyle w:val="188"/>
                        <w:rFonts w:ascii="Cambria Math" w:hAnsi="Cambria Math"/>
                        <w:i/>
                      </w:rPr>
                    </m:ctrlPr>
                  </m:sSubPr>
                  <m:e>
                    <m:r>
                      <m:rPr/>
                      <w:rPr>
                        <w:rStyle w:val="188"/>
                        <w:rFonts w:ascii="Cambria Math" w:hAnsi="Cambria Math"/>
                      </w:rPr>
                      <m:t>η</m:t>
                    </m:r>
                    <m:ctrlPr>
                      <w:rPr>
                        <w:rStyle w:val="188"/>
                        <w:rFonts w:ascii="Cambria Math" w:hAnsi="Cambria Math"/>
                        <w:i/>
                      </w:rPr>
                    </m:ctrlPr>
                  </m:e>
                  <m:sub>
                    <m:r>
                      <m:rPr/>
                      <w:rPr>
                        <w:rStyle w:val="188"/>
                        <w:rFonts w:ascii="Cambria Math" w:hAnsi="Cambria Math"/>
                      </w:rPr>
                      <m:t>j</m:t>
                    </m:r>
                    <m:ctrlPr>
                      <w:rPr>
                        <w:rStyle w:val="188"/>
                        <w:rFonts w:ascii="Cambria Math" w:hAnsi="Cambria Math"/>
                        <w:i/>
                      </w:rPr>
                    </m:ctrlPr>
                  </m:sub>
                </m:sSub>
                <m:sSub>
                  <m:sSubPr>
                    <m:ctrlPr>
                      <w:rPr>
                        <w:rStyle w:val="188"/>
                        <w:rFonts w:ascii="Cambria Math" w:hAnsi="Cambria Math"/>
                        <w:i/>
                      </w:rPr>
                    </m:ctrlPr>
                  </m:sSubPr>
                  <m:e>
                    <m:r>
                      <m:rPr/>
                      <w:rPr>
                        <w:rStyle w:val="188"/>
                        <w:rFonts w:ascii="Cambria Math" w:hAnsi="Cambria Math"/>
                      </w:rPr>
                      <m:t>λ</m:t>
                    </m:r>
                    <m:ctrlPr>
                      <w:rPr>
                        <w:rStyle w:val="188"/>
                        <w:rFonts w:ascii="Cambria Math" w:hAnsi="Cambria Math"/>
                        <w:i/>
                      </w:rPr>
                    </m:ctrlPr>
                  </m:e>
                  <m:sub>
                    <m:r>
                      <m:rPr/>
                      <w:rPr>
                        <w:rStyle w:val="188"/>
                        <w:rFonts w:ascii="Cambria Math" w:hAnsi="Cambria Math"/>
                      </w:rPr>
                      <m:t>j</m:t>
                    </m:r>
                    <m:ctrlPr>
                      <w:rPr>
                        <w:rStyle w:val="188"/>
                        <w:rFonts w:ascii="Cambria Math" w:hAnsi="Cambria Math"/>
                        <w:i/>
                      </w:rPr>
                    </m:ctrlPr>
                  </m:sub>
                </m:sSub>
                <m:ctrlPr>
                  <w:rPr>
                    <w:rStyle w:val="188"/>
                    <w:rFonts w:ascii="Cambria Math" w:hAnsi="Cambria Math"/>
                    <w:i/>
                  </w:rPr>
                </m:ctrlPr>
              </m:e>
            </m:d>
            <m:ctrlPr>
              <w:rPr>
                <w:rStyle w:val="188"/>
                <w:rFonts w:ascii="Cambria Math" w:hAnsi="Cambria Math"/>
                <w:i/>
              </w:rPr>
            </m:ctrlPr>
          </m:den>
        </m:f>
      </m:oMath>
      <w:r>
        <w:rPr>
          <w:rFonts w:ascii="微软雅黑" w:hAnsi="微软雅黑" w:eastAsia="微软雅黑"/>
        </w:rPr>
        <w:t xml:space="preserve">                            </w:t>
      </w:r>
      <w:r>
        <w:t>(A.0.1-3)</w:t>
      </w:r>
    </w:p>
    <w:p>
      <w:pPr>
        <w:pStyle w:val="115"/>
        <w:jc w:val="right"/>
      </w:pPr>
      <w:r>
        <w:tab/>
      </w:r>
      <m:oMath>
        <m:sSub>
          <m:sSubPr>
            <m:ctrlPr>
              <w:rPr>
                <w:rFonts w:ascii="Cambria Math" w:hAnsi="Cambria Math"/>
                <w:i/>
              </w:rPr>
            </m:ctrlPr>
          </m:sSubPr>
          <m:e>
            <m:r>
              <m:rPr/>
              <w:rPr>
                <w:rFonts w:ascii="Cambria Math" w:hAnsi="Cambria Math"/>
              </w:rPr>
              <m:t>η</m:t>
            </m:r>
            <m:ctrlPr>
              <w:rPr>
                <w:rFonts w:ascii="Cambria Math" w:hAnsi="Cambria Math"/>
                <w:i/>
              </w:rPr>
            </m:ctrlPr>
          </m:e>
          <m:sub>
            <m:r>
              <m:rPr/>
              <w:rPr>
                <w:rFonts w:hint="eastAsia" w:ascii="Cambria Math" w:hAnsi="Cambria Math"/>
              </w:rPr>
              <m:t>j</m:t>
            </m:r>
            <m:ctrlPr>
              <w:rPr>
                <w:rFonts w:ascii="Cambria Math" w:hAnsi="Cambria Math"/>
                <w:i/>
              </w:rPr>
            </m:ctrlPr>
          </m:sub>
        </m:sSub>
        <m:r>
          <m:rPr/>
          <w:rPr>
            <w:rFonts w:ascii="Cambria Math" w:hAnsi="Cambria Math"/>
          </w:rPr>
          <m:t>=</m:t>
        </m:r>
        <m:f>
          <m:fPr>
            <m:ctrlPr>
              <w:rPr>
                <w:rFonts w:ascii="Cambria Math" w:hAnsi="Cambria Math"/>
                <w:i/>
              </w:rPr>
            </m:ctrlPr>
          </m:fPr>
          <m:num>
            <m:r>
              <m:rPr/>
              <w:rPr>
                <w:rFonts w:ascii="Cambria Math" w:hAnsi="Cambria Math"/>
              </w:rPr>
              <m:t>−</m:t>
            </m:r>
            <m:sSubSup>
              <m:sSubSupPr>
                <m:ctrlPr>
                  <w:rPr>
                    <w:rFonts w:ascii="Cambria Math" w:hAnsi="Cambria Math"/>
                    <w:i/>
                  </w:rPr>
                </m:ctrlPr>
              </m:sSubSupPr>
              <m:e>
                <m:r>
                  <m:rPr/>
                  <w:rPr>
                    <w:rFonts w:ascii="Cambria Math" w:hAnsi="Cambria Math"/>
                  </w:rPr>
                  <m:t>λ</m:t>
                </m:r>
                <m:ctrlPr>
                  <w:rPr>
                    <w:rFonts w:ascii="Cambria Math" w:hAnsi="Cambria Math"/>
                    <w:i/>
                  </w:rPr>
                </m:ctrlPr>
              </m:e>
              <m:sub>
                <m:r>
                  <m:rPr/>
                  <w:rPr>
                    <w:rFonts w:ascii="Cambria Math" w:hAnsi="Cambria Math"/>
                  </w:rPr>
                  <m:t>j</m:t>
                </m:r>
                <m:ctrlPr>
                  <w:rPr>
                    <w:rFonts w:ascii="Cambria Math" w:hAnsi="Cambria Math"/>
                    <w:i/>
                  </w:rPr>
                </m:ctrlPr>
              </m:sub>
              <m:sup>
                <m:r>
                  <m:rPr/>
                  <w:rPr>
                    <w:rFonts w:ascii="Cambria Math" w:hAnsi="Cambria Math"/>
                  </w:rPr>
                  <m:t>2</m:t>
                </m:r>
                <m:ctrlPr>
                  <w:rPr>
                    <w:rFonts w:ascii="Cambria Math" w:hAnsi="Cambria Math"/>
                    <w:i/>
                  </w:rPr>
                </m:ctrlPr>
              </m:sup>
            </m:sSubSup>
            <m:sSubSup>
              <m:sSubSupPr>
                <m:ctrlPr>
                  <w:rPr>
                    <w:rFonts w:ascii="Cambria Math" w:hAnsi="Cambria Math"/>
                    <w:i/>
                  </w:rPr>
                </m:ctrlPr>
              </m:sSubSupPr>
              <m:e>
                <m:r>
                  <m:rPr/>
                  <w:rPr>
                    <w:rFonts w:ascii="Cambria Math" w:hAnsi="Cambria Math"/>
                  </w:rPr>
                  <m:t>φ</m:t>
                </m:r>
                <m:ctrlPr>
                  <w:rPr>
                    <w:rFonts w:ascii="Cambria Math" w:hAnsi="Cambria Math"/>
                    <w:i/>
                  </w:rPr>
                </m:ctrlPr>
              </m:e>
              <m:sub>
                <m:r>
                  <m:rPr/>
                  <w:rPr>
                    <w:rFonts w:ascii="Cambria Math" w:hAnsi="Cambria Math"/>
                  </w:rPr>
                  <m:t>j</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Mr</m:t>
            </m:r>
            <m:ctrlPr>
              <w:rPr>
                <w:rFonts w:ascii="Cambria Math" w:hAnsi="Cambria Math"/>
                <w:i/>
              </w:rPr>
            </m:ctrlPr>
          </m:num>
          <m:den>
            <m:r>
              <m:rPr/>
              <w:rPr>
                <w:rFonts w:ascii="Cambria Math" w:hAnsi="Cambria Math"/>
              </w:rPr>
              <m:t>−</m:t>
            </m:r>
            <m:sSubSup>
              <m:sSubSupPr>
                <m:ctrlPr>
                  <w:rPr>
                    <w:rFonts w:ascii="Cambria Math" w:hAnsi="Cambria Math"/>
                    <w:i/>
                  </w:rPr>
                </m:ctrlPr>
              </m:sSubSupPr>
              <m:e>
                <m:r>
                  <m:rPr/>
                  <w:rPr>
                    <w:rFonts w:ascii="Cambria Math" w:hAnsi="Cambria Math"/>
                  </w:rPr>
                  <m:t>λ</m:t>
                </m:r>
                <m:ctrlPr>
                  <w:rPr>
                    <w:rFonts w:ascii="Cambria Math" w:hAnsi="Cambria Math"/>
                    <w:i/>
                  </w:rPr>
                </m:ctrlPr>
              </m:e>
              <m:sub>
                <m:r>
                  <m:rPr/>
                  <w:rPr>
                    <w:rFonts w:ascii="Cambria Math" w:hAnsi="Cambria Math"/>
                  </w:rPr>
                  <m:t>j</m:t>
                </m:r>
                <m:ctrlPr>
                  <w:rPr>
                    <w:rFonts w:ascii="Cambria Math" w:hAnsi="Cambria Math"/>
                    <w:i/>
                  </w:rPr>
                </m:ctrlPr>
              </m:sub>
              <m:sup>
                <m:r>
                  <m:rPr/>
                  <w:rPr>
                    <w:rFonts w:ascii="Cambria Math" w:hAnsi="Cambria Math"/>
                  </w:rPr>
                  <m:t>2</m:t>
                </m:r>
                <m:ctrlPr>
                  <w:rPr>
                    <w:rFonts w:ascii="Cambria Math" w:hAnsi="Cambria Math"/>
                    <w:i/>
                  </w:rPr>
                </m:ctrlPr>
              </m:sup>
            </m:sSubSup>
            <m:sSubSup>
              <m:sSubSupPr>
                <m:ctrlPr>
                  <w:rPr>
                    <w:rFonts w:ascii="Cambria Math" w:hAnsi="Cambria Math"/>
                    <w:i/>
                  </w:rPr>
                </m:ctrlPr>
              </m:sSubSupPr>
              <m:e>
                <m:r>
                  <m:rPr/>
                  <w:rPr>
                    <w:rFonts w:ascii="Cambria Math" w:hAnsi="Cambria Math"/>
                  </w:rPr>
                  <m:t>φ</m:t>
                </m:r>
                <m:ctrlPr>
                  <w:rPr>
                    <w:rFonts w:ascii="Cambria Math" w:hAnsi="Cambria Math"/>
                    <w:i/>
                  </w:rPr>
                </m:ctrlPr>
              </m:e>
              <m:sub>
                <m:r>
                  <m:rPr/>
                  <w:rPr>
                    <w:rFonts w:ascii="Cambria Math" w:hAnsi="Cambria Math"/>
                  </w:rPr>
                  <m:t>j</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M</m:t>
            </m:r>
            <m:sSubSup>
              <m:sSubSupPr>
                <m:ctrlPr>
                  <w:rPr>
                    <w:rFonts w:ascii="Cambria Math" w:hAnsi="Cambria Math"/>
                    <w:i/>
                  </w:rPr>
                </m:ctrlPr>
              </m:sSubSupPr>
              <m:e>
                <m:r>
                  <m:rPr/>
                  <w:rPr>
                    <w:rFonts w:ascii="Cambria Math" w:hAnsi="Cambria Math"/>
                  </w:rPr>
                  <m:t>φ</m:t>
                </m:r>
                <m:ctrlPr>
                  <w:rPr>
                    <w:rFonts w:ascii="Cambria Math" w:hAnsi="Cambria Math"/>
                    <w:i/>
                  </w:rPr>
                </m:ctrlPr>
              </m:e>
              <m:sub>
                <m:r>
                  <m:rPr/>
                  <w:rPr>
                    <w:rFonts w:ascii="Cambria Math" w:hAnsi="Cambria Math"/>
                  </w:rPr>
                  <m:t>j</m:t>
                </m:r>
                <m:ctrlPr>
                  <w:rPr>
                    <w:rFonts w:ascii="Cambria Math" w:hAnsi="Cambria Math"/>
                    <w:i/>
                  </w:rPr>
                </m:ctrlPr>
              </m:sub>
              <m:sup>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φ</m:t>
                </m:r>
                <m:ctrlPr>
                  <w:rPr>
                    <w:rFonts w:ascii="Cambria Math" w:hAnsi="Cambria Math"/>
                    <w:i/>
                  </w:rPr>
                </m:ctrlPr>
              </m:e>
              <m:sub>
                <m:r>
                  <m:rPr/>
                  <w:rPr>
                    <w:rFonts w:ascii="Cambria Math" w:hAnsi="Cambria Math"/>
                  </w:rPr>
                  <m:t>j</m:t>
                </m:r>
                <m:ctrlPr>
                  <w:rPr>
                    <w:rFonts w:ascii="Cambria Math" w:hAnsi="Cambria Math"/>
                    <w:i/>
                  </w:rPr>
                </m:ctrlPr>
              </m:sub>
              <m:sup>
                <m:r>
                  <m:rPr/>
                  <w:rPr>
                    <w:rFonts w:ascii="Cambria Math" w:hAnsi="Cambria Math"/>
                  </w:rPr>
                  <m:t>T</m:t>
                </m:r>
                <m:ctrlPr>
                  <w:rPr>
                    <w:rFonts w:ascii="Cambria Math" w:hAnsi="Cambria Math"/>
                    <w:i/>
                  </w:rPr>
                </m:ctrlPr>
              </m:sup>
            </m:sSubSup>
            <m:r>
              <m:rPr/>
              <w:rPr>
                <w:rFonts w:ascii="Cambria Math" w:hAnsi="Cambria Math"/>
              </w:rPr>
              <m:t>K</m:t>
            </m:r>
            <m:sSubSup>
              <m:sSubSupPr>
                <m:ctrlPr>
                  <w:rPr>
                    <w:rFonts w:ascii="Cambria Math" w:hAnsi="Cambria Math"/>
                    <w:i/>
                  </w:rPr>
                </m:ctrlPr>
              </m:sSubSupPr>
              <m:e>
                <m:r>
                  <m:rPr/>
                  <w:rPr>
                    <w:rFonts w:ascii="Cambria Math" w:hAnsi="Cambria Math"/>
                  </w:rPr>
                  <m:t>φ</m:t>
                </m:r>
                <m:ctrlPr>
                  <w:rPr>
                    <w:rFonts w:ascii="Cambria Math" w:hAnsi="Cambria Math"/>
                    <w:i/>
                  </w:rPr>
                </m:ctrlPr>
              </m:e>
              <m:sub>
                <m:r>
                  <m:rPr/>
                  <w:rPr>
                    <w:rFonts w:ascii="Cambria Math" w:hAnsi="Cambria Math"/>
                  </w:rPr>
                  <m:t>j</m:t>
                </m:r>
                <m:ctrlPr>
                  <w:rPr>
                    <w:rFonts w:ascii="Cambria Math" w:hAnsi="Cambria Math"/>
                    <w:i/>
                  </w:rPr>
                </m:ctrlPr>
              </m:sub>
              <m:sup>
                <m:ctrlPr>
                  <w:rPr>
                    <w:rFonts w:ascii="Cambria Math" w:hAnsi="Cambria Math"/>
                    <w:i/>
                  </w:rPr>
                </m:ctrlPr>
              </m:sup>
            </m:sSubSup>
            <m:ctrlPr>
              <w:rPr>
                <w:rFonts w:ascii="Cambria Math" w:hAnsi="Cambria Math"/>
                <w:i/>
              </w:rPr>
            </m:ctrlPr>
          </m:den>
        </m:f>
      </m:oMath>
      <w:r>
        <w:rPr>
          <w:rFonts w:hint="eastAsia"/>
        </w:rPr>
        <w:t xml:space="preserve"> </w:t>
      </w:r>
      <w:r>
        <w:t xml:space="preserve">                       (A.0.1-4)</w:t>
      </w:r>
    </w:p>
    <w:p>
      <w:pPr>
        <w:pStyle w:val="58"/>
        <w:ind w:firstLine="420"/>
        <w:jc w:val="right"/>
      </w:pPr>
    </w:p>
    <w:p>
      <w:pPr>
        <w:pStyle w:val="58"/>
        <w:ind w:firstLine="420"/>
        <w:jc w:val="right"/>
      </w:pPr>
      <m:oMath>
        <m:sSubSup>
          <m:sSubSupPr>
            <m:ctrlPr>
              <w:rPr>
                <w:rFonts w:ascii="Cambria Math" w:hAnsi="Cambria Math"/>
                <w:i/>
              </w:rPr>
            </m:ctrlPr>
          </m:sSubSupPr>
          <m:e>
            <m:r>
              <m:rPr/>
              <w:rPr>
                <w:rFonts w:ascii="Cambria Math" w:hAnsi="Cambria Math"/>
              </w:rPr>
              <m:t>c</m:t>
            </m:r>
            <m:ctrlPr>
              <w:rPr>
                <w:rFonts w:ascii="Cambria Math" w:hAnsi="Cambria Math"/>
                <w:i/>
              </w:rPr>
            </m:ctrlPr>
          </m:e>
          <m:sub>
            <m:r>
              <m:rPr/>
              <w:rPr>
                <w:rFonts w:ascii="Cambria Math" w:hAnsi="Cambria Math"/>
              </w:rPr>
              <m:t>ji</m:t>
            </m:r>
            <m:ctrlPr>
              <w:rPr>
                <w:rFonts w:ascii="Cambria Math" w:hAnsi="Cambria Math"/>
                <w:i/>
              </w:rPr>
            </m:ctrlPr>
          </m:sub>
          <m:sup>
            <m:r>
              <m:rPr/>
              <w:rPr>
                <w:rFonts w:ascii="Cambria Math" w:hAnsi="Cambria Math"/>
              </w:rPr>
              <m:t>0</m:t>
            </m:r>
            <m:ctrlPr>
              <w:rPr>
                <w:rFonts w:ascii="Cambria Math" w:hAnsi="Cambria Math"/>
                <w:i/>
              </w:rPr>
            </m:ctrlPr>
          </m:sup>
        </m:sSubSup>
        <m:r>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w:rPr>
                      <w:rFonts w:ascii="Cambria Math" w:hAnsi="Cambria Math"/>
                    </w:rPr>
                    <m:t>−</m:t>
                  </m:r>
                  <m:f>
                    <m:fPr>
                      <m:ctrlPr>
                        <w:rPr>
                          <w:rFonts w:ascii="Cambria Math" w:hAnsi="Cambria Math"/>
                          <w:i/>
                        </w:rPr>
                      </m:ctrlPr>
                    </m:fPr>
                    <m:num>
                      <m:d>
                        <m:dPr>
                          <m:ctrlPr>
                            <w:rPr>
                              <w:rFonts w:ascii="Cambria Math" w:hAnsi="Cambria Math"/>
                              <w:i/>
                            </w:rPr>
                          </m:ctrlPr>
                        </m:dPr>
                        <m:e>
                          <m:r>
                            <m:rPr/>
                            <w:rPr>
                              <w:rFonts w:ascii="Cambria Math" w:hAnsi="Cambria Math"/>
                            </w:rPr>
                            <m:t>1+</m:t>
                          </m:r>
                          <m:sSub>
                            <m:sSubPr>
                              <m:ctrlPr>
                                <w:rPr>
                                  <w:rFonts w:ascii="Cambria Math" w:hAnsi="Cambria Math"/>
                                  <w:i/>
                                </w:rPr>
                              </m:ctrlPr>
                            </m:sSubPr>
                            <m:e>
                              <m:r>
                                <m:rPr/>
                                <w:rPr>
                                  <w:rFonts w:ascii="Cambria Math" w:hAnsi="Cambria Math"/>
                                </w:rPr>
                                <m:t>μ</m:t>
                              </m:r>
                              <m:ctrlPr>
                                <w:rPr>
                                  <w:rFonts w:ascii="Cambria Math" w:hAnsi="Cambria Math"/>
                                  <w:i/>
                                </w:rPr>
                              </m:ctrlPr>
                            </m:e>
                            <m:sub>
                              <m:r>
                                <m:rPr/>
                                <w:rPr>
                                  <w:rFonts w:ascii="Cambria Math" w:hAnsi="Cambria Math"/>
                                </w:rPr>
                                <m:t>b</m:t>
                              </m:r>
                              <m:ctrlPr>
                                <w:rPr>
                                  <w:rFonts w:ascii="Cambria Math" w:hAnsi="Cambria Math"/>
                                  <w:i/>
                                </w:rPr>
                              </m:ctrlPr>
                            </m:sub>
                          </m:sSub>
                          <m:ctrlPr>
                            <w:rPr>
                              <w:rFonts w:ascii="Cambria Math" w:hAnsi="Cambria Math"/>
                              <w:i/>
                            </w:rPr>
                          </m:ctrlPr>
                        </m:e>
                      </m:d>
                      <m:sSubSup>
                        <m:sSubSupPr>
                          <m:ctrlPr>
                            <w:rPr>
                              <w:rFonts w:ascii="Cambria Math" w:hAnsi="Cambria Math"/>
                              <w:i/>
                            </w:rPr>
                          </m:ctrlPr>
                        </m:sSubSupPr>
                        <m:e>
                          <m:r>
                            <m:rPr/>
                            <w:rPr>
                              <w:rFonts w:ascii="Cambria Math" w:hAnsi="Cambria Math"/>
                            </w:rPr>
                            <m:t>ω</m:t>
                          </m:r>
                          <m:ctrlPr>
                            <w:rPr>
                              <w:rFonts w:ascii="Cambria Math" w:hAnsi="Cambria Math"/>
                              <w:i/>
                            </w:rPr>
                          </m:ctrlPr>
                        </m:e>
                        <m:sub>
                          <m:r>
                            <m:rPr/>
                            <w:rPr>
                              <w:rFonts w:ascii="Cambria Math" w:hAnsi="Cambria Math"/>
                            </w:rPr>
                            <m:t>b</m:t>
                          </m:r>
                          <m:ctrlPr>
                            <w:rPr>
                              <w:rFonts w:ascii="Cambria Math" w:hAnsi="Cambria Math"/>
                              <w:i/>
                            </w:rPr>
                          </m:ctrlPr>
                        </m:sub>
                        <m:sup>
                          <m:r>
                            <m:rPr/>
                            <w:rPr>
                              <w:rFonts w:ascii="Cambria Math" w:hAnsi="Cambria Math"/>
                            </w:rPr>
                            <m:t>2</m:t>
                          </m:r>
                          <m:ctrlPr>
                            <w:rPr>
                              <w:rFonts w:ascii="Cambria Math" w:hAnsi="Cambria Math"/>
                              <w:i/>
                            </w:rPr>
                          </m:ctrlPr>
                        </m:sup>
                      </m:sSubSup>
                      <m:ctrlPr>
                        <w:rPr>
                          <w:rFonts w:ascii="Cambria Math" w:hAnsi="Cambria Math"/>
                          <w:i/>
                        </w:rPr>
                      </m:ctrlPr>
                    </m:num>
                    <m:den>
                      <m:d>
                        <m:dPr>
                          <m:ctrlPr>
                            <w:rPr>
                              <w:rFonts w:ascii="Cambria Math" w:hAnsi="Cambria Math"/>
                              <w:i/>
                            </w:rPr>
                          </m:ctrlPr>
                        </m:dPr>
                        <m:e>
                          <m:sSub>
                            <m:sSubPr>
                              <m:ctrlPr>
                                <w:rPr>
                                  <w:rFonts w:ascii="Cambria Math" w:hAnsi="Cambria Math"/>
                                  <w:i/>
                                </w:rPr>
                              </m:ctrlPr>
                            </m:sSubPr>
                            <m:e>
                              <m:r>
                                <m:rPr/>
                                <w:rPr>
                                  <w:rFonts w:ascii="Cambria Math" w:hAnsi="Cambria Math"/>
                                </w:rPr>
                                <m:t>μ</m:t>
                              </m:r>
                              <m:ctrlPr>
                                <w:rPr>
                                  <w:rFonts w:ascii="Cambria Math" w:hAnsi="Cambria Math"/>
                                  <w:i/>
                                </w:rPr>
                              </m:ctrlPr>
                            </m:e>
                            <m:sub>
                              <m:r>
                                <m:rPr/>
                                <w:rPr>
                                  <w:rFonts w:ascii="Cambria Math" w:hAnsi="Cambria Math"/>
                                </w:rPr>
                                <m:t>b</m:t>
                              </m:r>
                              <m:ctrlPr>
                                <w:rPr>
                                  <w:rFonts w:ascii="Cambria Math" w:hAnsi="Cambria Math"/>
                                  <w:i/>
                                </w:rPr>
                              </m:ctrlPr>
                            </m:sub>
                          </m:sSub>
                          <m:sSubSup>
                            <m:sSubSupPr>
                              <m:ctrlPr>
                                <w:rPr>
                                  <w:rFonts w:ascii="Cambria Math" w:hAnsi="Cambria Math"/>
                                  <w:i/>
                                </w:rPr>
                              </m:ctrlPr>
                            </m:sSubSupPr>
                            <m:e>
                              <m:r>
                                <m:rPr/>
                                <w:rPr>
                                  <w:rFonts w:ascii="Cambria Math" w:hAnsi="Cambria Math"/>
                                </w:rPr>
                                <m:t>λ</m:t>
                              </m:r>
                              <m:ctrlPr>
                                <w:rPr>
                                  <w:rFonts w:ascii="Cambria Math" w:hAnsi="Cambria Math"/>
                                  <w:i/>
                                </w:rPr>
                              </m:ctrlPr>
                            </m:e>
                            <m:sub>
                              <m:r>
                                <m:rPr/>
                                <w:rPr>
                                  <w:rFonts w:ascii="Cambria Math" w:hAnsi="Cambria Math"/>
                                </w:rPr>
                                <m:t>j</m:t>
                              </m:r>
                              <m:ctrlPr>
                                <w:rPr>
                                  <w:rFonts w:ascii="Cambria Math" w:hAnsi="Cambria Math"/>
                                  <w:i/>
                                </w:rPr>
                              </m:ctrlPr>
                            </m:sub>
                            <m:sup>
                              <m:r>
                                <m:rPr/>
                                <w:rPr>
                                  <w:rFonts w:ascii="Cambria Math" w:hAnsi="Cambria Math"/>
                                </w:rPr>
                                <m:t>2</m:t>
                              </m:r>
                              <m:ctrlPr>
                                <w:rPr>
                                  <w:rFonts w:ascii="Cambria Math" w:hAnsi="Cambria Math"/>
                                  <w:i/>
                                </w:rPr>
                              </m:ctrlPr>
                            </m:sup>
                          </m:sSubSup>
                          <m:ctrlPr>
                            <w:rPr>
                              <w:rFonts w:ascii="Cambria Math" w:hAnsi="Cambria Math"/>
                              <w:i/>
                            </w:rPr>
                          </m:ctrlPr>
                        </m:e>
                      </m:d>
                      <m:ctrlPr>
                        <w:rPr>
                          <w:rFonts w:ascii="Cambria Math" w:hAnsi="Cambria Math"/>
                          <w:i/>
                        </w:rPr>
                      </m:ctrlPr>
                    </m:den>
                  </m:f>
                  <m:r>
                    <m:rPr/>
                    <w:rPr>
                      <w:rFonts w:ascii="Cambria Math" w:hAnsi="Cambria Math"/>
                    </w:rPr>
                    <m:t>+</m:t>
                  </m:r>
                  <m:f>
                    <m:fPr>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m:rPr/>
                                <w:rPr>
                                  <w:rFonts w:ascii="Cambria Math" w:hAnsi="Cambria Math"/>
                                </w:rPr>
                                <m:t>−λ</m:t>
                              </m:r>
                              <m:ctrlPr>
                                <w:rPr>
                                  <w:rFonts w:ascii="Cambria Math" w:hAnsi="Cambria Math"/>
                                  <w:i/>
                                </w:rPr>
                              </m:ctrlPr>
                            </m:e>
                            <m:sub>
                              <m:r>
                                <m:rPr/>
                                <w:rPr>
                                  <w:rFonts w:ascii="Cambria Math" w:hAnsi="Cambria Math"/>
                                </w:rPr>
                                <m:t>j</m:t>
                              </m:r>
                              <m:ctrlPr>
                                <w:rPr>
                                  <w:rFonts w:ascii="Cambria Math" w:hAnsi="Cambria Math"/>
                                  <w:i/>
                                </w:rPr>
                              </m:ctrlPr>
                            </m:sub>
                            <m:sup>
                              <m:ctrlPr>
                                <w:rPr>
                                  <w:rFonts w:ascii="Cambria Math" w:hAnsi="Cambria Math"/>
                                  <w:i/>
                                </w:rPr>
                              </m:ctrlPr>
                            </m:sup>
                          </m:sSubSup>
                          <m:r>
                            <m:rPr/>
                            <w:rPr>
                              <w:rFonts w:ascii="Cambria Math" w:hAnsi="Cambria Math"/>
                            </w:rPr>
                            <m:t>−a</m:t>
                          </m:r>
                          <m:ctrlPr>
                            <w:rPr>
                              <w:rFonts w:ascii="Cambria Math" w:hAnsi="Cambria Math"/>
                              <w:i/>
                            </w:rPr>
                          </m:ctrlPr>
                        </m:e>
                      </m:d>
                      <m:ctrlPr>
                        <w:rPr>
                          <w:rFonts w:ascii="Cambria Math" w:hAnsi="Cambria Math"/>
                          <w:i/>
                        </w:rPr>
                      </m:ctrlPr>
                    </m:num>
                    <m:den>
                      <m:d>
                        <m:dPr>
                          <m:ctrlPr>
                            <w:rPr>
                              <w:rFonts w:ascii="Cambria Math" w:hAnsi="Cambria Math"/>
                              <w:i/>
                            </w:rPr>
                          </m:ctrlPr>
                        </m:dPr>
                        <m:e>
                          <m:sSubSup>
                            <m:sSubSupPr>
                              <m:ctrlPr>
                                <w:rPr>
                                  <w:rFonts w:ascii="Cambria Math" w:hAnsi="Cambria Math"/>
                                  <w:i/>
                                </w:rPr>
                              </m:ctrlPr>
                            </m:sSubSupPr>
                            <m:e>
                              <m:r>
                                <m:rPr/>
                                <w:rPr>
                                  <w:rFonts w:ascii="Cambria Math" w:hAnsi="Cambria Math"/>
                                </w:rPr>
                                <m:t>−λ</m:t>
                              </m:r>
                              <m:ctrlPr>
                                <w:rPr>
                                  <w:rFonts w:ascii="Cambria Math" w:hAnsi="Cambria Math"/>
                                  <w:i/>
                                </w:rPr>
                              </m:ctrlPr>
                            </m:e>
                            <m:sub>
                              <m:r>
                                <m:rPr/>
                                <w:rPr>
                                  <w:rFonts w:ascii="Cambria Math" w:hAnsi="Cambria Math"/>
                                </w:rPr>
                                <m:t>j</m:t>
                              </m:r>
                              <m:ctrlPr>
                                <w:rPr>
                                  <w:rFonts w:ascii="Cambria Math" w:hAnsi="Cambria Math"/>
                                  <w:i/>
                                </w:rPr>
                              </m:ctrlPr>
                            </m:sub>
                            <m:sup>
                              <m:ctrlPr>
                                <w:rPr>
                                  <w:rFonts w:ascii="Cambria Math" w:hAnsi="Cambria Math"/>
                                  <w:i/>
                                </w:rPr>
                              </m:ctrlPr>
                            </m:sup>
                          </m:sSubSup>
                          <m:r>
                            <m:rPr/>
                            <w:rPr>
                              <w:rFonts w:ascii="Cambria Math" w:hAnsi="Cambria Math"/>
                            </w:rPr>
                            <m:t>+b</m:t>
                          </m:r>
                          <m:sSubSup>
                            <m:sSubSupPr>
                              <m:ctrlPr>
                                <w:rPr>
                                  <w:rFonts w:ascii="Cambria Math" w:hAnsi="Cambria Math"/>
                                  <w:i/>
                                </w:rPr>
                              </m:ctrlPr>
                            </m:sSubSupPr>
                            <m:e>
                              <m:r>
                                <m:rPr/>
                                <w:rPr>
                                  <w:rFonts w:ascii="Cambria Math" w:hAnsi="Cambria Math"/>
                                </w:rPr>
                                <m:t>λ</m:t>
                              </m:r>
                              <m:ctrlPr>
                                <w:rPr>
                                  <w:rFonts w:ascii="Cambria Math" w:hAnsi="Cambria Math"/>
                                  <w:i/>
                                </w:rPr>
                              </m:ctrlPr>
                            </m:e>
                            <m:sub>
                              <m:r>
                                <m:rPr/>
                                <w:rPr>
                                  <w:rFonts w:ascii="Cambria Math" w:hAnsi="Cambria Math"/>
                                </w:rPr>
                                <m:t>j</m:t>
                              </m:r>
                              <m:ctrlPr>
                                <w:rPr>
                                  <w:rFonts w:ascii="Cambria Math" w:hAnsi="Cambria Math"/>
                                  <w:i/>
                                </w:rPr>
                              </m:ctrlPr>
                            </m:sub>
                            <m:sup>
                              <m:r>
                                <m:rPr/>
                                <w:rPr>
                                  <w:rFonts w:ascii="Cambria Math" w:hAnsi="Cambria Math"/>
                                </w:rPr>
                                <m:t>2</m:t>
                              </m:r>
                              <m:ctrlPr>
                                <w:rPr>
                                  <w:rFonts w:ascii="Cambria Math" w:hAnsi="Cambria Math"/>
                                  <w:i/>
                                </w:rPr>
                              </m:ctrlPr>
                            </m:sup>
                          </m:sSubSup>
                          <m:ctrlPr>
                            <w:rPr>
                              <w:rFonts w:ascii="Cambria Math" w:hAnsi="Cambria Math"/>
                              <w:i/>
                            </w:rPr>
                          </m:ctrlPr>
                        </m:e>
                      </m:d>
                      <m:nary>
                        <m:naryPr>
                          <m:chr m:val="∑"/>
                          <m:limLoc m:val="undOvr"/>
                          <m:ctrlPr>
                            <w:rPr>
                              <w:rFonts w:ascii="Cambria Math" w:hAnsi="Cambria Math"/>
                              <w:i/>
                            </w:rPr>
                          </m:ctrlPr>
                        </m:naryPr>
                        <m:sub>
                          <m:r>
                            <m:rPr/>
                            <w:rPr>
                              <w:rFonts w:ascii="Cambria Math" w:hAnsi="Cambria Math"/>
                            </w:rPr>
                            <m:t>i=1</m:t>
                          </m:r>
                          <m:ctrlPr>
                            <w:rPr>
                              <w:rFonts w:ascii="Cambria Math" w:hAnsi="Cambria Math"/>
                              <w:i/>
                            </w:rPr>
                          </m:ctrlPr>
                        </m:sub>
                        <m:sup>
                          <m:r>
                            <m:rPr/>
                            <w:rPr>
                              <w:rFonts w:ascii="Cambria Math" w:hAnsi="Cambria Math"/>
                            </w:rPr>
                            <m:t>n</m:t>
                          </m:r>
                          <m:ctrlPr>
                            <w:rPr>
                              <w:rFonts w:ascii="Cambria Math" w:hAnsi="Cambria Math"/>
                              <w:i/>
                            </w:rPr>
                          </m:ctrlPr>
                        </m:sup>
                        <m:e>
                          <m:f>
                            <m:fPr>
                              <m:ctrlPr>
                                <w:rPr>
                                  <w:rFonts w:ascii="Cambria Math" w:hAnsi="Cambria Math"/>
                                  <w:i/>
                                  <w:kern w:val="2"/>
                                  <w:szCs w:val="21"/>
                                </w:rPr>
                              </m:ctrlPr>
                            </m:fPr>
                            <m:num>
                              <m:sSub>
                                <m:sSubPr>
                                  <m:ctrlPr>
                                    <w:rPr>
                                      <w:rFonts w:ascii="Cambria Math" w:hAnsi="Cambria Math"/>
                                      <w:i/>
                                    </w:rPr>
                                  </m:ctrlPr>
                                </m:sSubPr>
                                <m:e>
                                  <m:r>
                                    <m:rPr/>
                                    <w:rPr>
                                      <w:rFonts w:ascii="Cambria Math" w:hAnsi="Cambria Math"/>
                                    </w:rPr>
                                    <m:t>G</m:t>
                                  </m:r>
                                  <m:ctrlPr>
                                    <w:rPr>
                                      <w:rFonts w:ascii="Cambria Math" w:hAnsi="Cambria Math"/>
                                      <w:i/>
                                    </w:rPr>
                                  </m:ctrlPr>
                                </m:e>
                                <m:sub>
                                  <m:r>
                                    <m:rPr/>
                                    <w:rPr>
                                      <w:rFonts w:ascii="Cambria Math" w:hAnsi="Cambria Math"/>
                                    </w:rPr>
                                    <m:t>i</m:t>
                                  </m:r>
                                  <m:ctrlPr>
                                    <w:rPr>
                                      <w:rFonts w:ascii="Cambria Math" w:hAnsi="Cambria Math"/>
                                      <w:i/>
                                    </w:rPr>
                                  </m:ctrlPr>
                                </m:sub>
                              </m:sSub>
                              <m:sSubSup>
                                <m:sSubSupPr>
                                  <m:ctrlPr>
                                    <w:rPr>
                                      <w:rFonts w:ascii="Cambria Math" w:hAnsi="Cambria Math"/>
                                      <w:i/>
                                      <w:kern w:val="2"/>
                                      <w:szCs w:val="21"/>
                                    </w:rPr>
                                  </m:ctrlPr>
                                </m:sSubSupPr>
                                <m:e>
                                  <m:r>
                                    <m:rPr/>
                                    <w:rPr>
                                      <w:rFonts w:ascii="Cambria Math" w:hAnsi="Cambria Math"/>
                                    </w:rPr>
                                    <m:t>φ</m:t>
                                  </m:r>
                                  <m:ctrlPr>
                                    <w:rPr>
                                      <w:rFonts w:ascii="Cambria Math" w:hAnsi="Cambria Math"/>
                                      <w:i/>
                                      <w:kern w:val="2"/>
                                      <w:szCs w:val="21"/>
                                    </w:rPr>
                                  </m:ctrlPr>
                                </m:e>
                                <m:sub>
                                  <m:r>
                                    <m:rPr/>
                                    <w:rPr>
                                      <w:rFonts w:ascii="Cambria Math" w:hAnsi="Cambria Math"/>
                                    </w:rPr>
                                    <m:t>ji</m:t>
                                  </m:r>
                                  <m:ctrlPr>
                                    <w:rPr>
                                      <w:rFonts w:ascii="Cambria Math" w:hAnsi="Cambria Math"/>
                                      <w:i/>
                                      <w:kern w:val="2"/>
                                      <w:szCs w:val="21"/>
                                    </w:rPr>
                                  </m:ctrlPr>
                                </m:sub>
                                <m:sup>
                                  <m:ctrlPr>
                                    <w:rPr>
                                      <w:rFonts w:ascii="Cambria Math" w:hAnsi="Cambria Math"/>
                                      <w:i/>
                                      <w:kern w:val="2"/>
                                      <w:szCs w:val="21"/>
                                    </w:rPr>
                                  </m:ctrlPr>
                                </m:sup>
                              </m:sSubSup>
                              <m:ctrlPr>
                                <w:rPr>
                                  <w:rFonts w:ascii="Cambria Math" w:hAnsi="Cambria Math"/>
                                  <w:i/>
                                  <w:kern w:val="2"/>
                                  <w:szCs w:val="21"/>
                                </w:rPr>
                              </m:ctrlPr>
                            </m:num>
                            <m:den>
                              <m:sSub>
                                <m:sSubPr>
                                  <m:ctrlPr>
                                    <w:rPr>
                                      <w:rFonts w:ascii="Cambria Math" w:hAnsi="Cambria Math"/>
                                      <w:i/>
                                    </w:rPr>
                                  </m:ctrlPr>
                                </m:sSubPr>
                                <m:e>
                                  <m:r>
                                    <m:rPr/>
                                    <w:rPr>
                                      <w:rFonts w:ascii="Cambria Math" w:hAnsi="Cambria Math"/>
                                    </w:rPr>
                                    <m:t>G</m:t>
                                  </m:r>
                                  <m:ctrlPr>
                                    <w:rPr>
                                      <w:rFonts w:ascii="Cambria Math" w:hAnsi="Cambria Math"/>
                                      <w:i/>
                                    </w:rPr>
                                  </m:ctrlPr>
                                </m:e>
                                <m:sub>
                                  <m:r>
                                    <m:rPr/>
                                    <w:rPr>
                                      <w:rFonts w:ascii="Cambria Math" w:hAnsi="Cambria Math"/>
                                    </w:rPr>
                                    <m:t>b</m:t>
                                  </m:r>
                                  <m:ctrlPr>
                                    <w:rPr>
                                      <w:rFonts w:ascii="Cambria Math" w:hAnsi="Cambria Math"/>
                                      <w:i/>
                                    </w:rPr>
                                  </m:ctrlPr>
                                </m:sub>
                              </m:sSub>
                              <m:sSubSup>
                                <m:sSubSupPr>
                                  <m:ctrlPr>
                                    <w:rPr>
                                      <w:rFonts w:ascii="Cambria Math" w:hAnsi="Cambria Math"/>
                                      <w:i/>
                                      <w:kern w:val="2"/>
                                      <w:szCs w:val="21"/>
                                    </w:rPr>
                                  </m:ctrlPr>
                                </m:sSubSupPr>
                                <m:e>
                                  <m:r>
                                    <m:rPr/>
                                    <w:rPr>
                                      <w:rFonts w:ascii="Cambria Math" w:hAnsi="Cambria Math"/>
                                    </w:rPr>
                                    <m:t>φ</m:t>
                                  </m:r>
                                  <m:ctrlPr>
                                    <w:rPr>
                                      <w:rFonts w:ascii="Cambria Math" w:hAnsi="Cambria Math"/>
                                      <w:i/>
                                      <w:kern w:val="2"/>
                                      <w:szCs w:val="21"/>
                                    </w:rPr>
                                  </m:ctrlPr>
                                </m:e>
                                <m:sub>
                                  <m:r>
                                    <m:rPr/>
                                    <w:rPr>
                                      <w:rFonts w:ascii="Cambria Math" w:hAnsi="Cambria Math"/>
                                    </w:rPr>
                                    <m:t>jb</m:t>
                                  </m:r>
                                  <m:ctrlPr>
                                    <w:rPr>
                                      <w:rFonts w:ascii="Cambria Math" w:hAnsi="Cambria Math"/>
                                      <w:i/>
                                      <w:kern w:val="2"/>
                                      <w:szCs w:val="21"/>
                                    </w:rPr>
                                  </m:ctrlPr>
                                </m:sub>
                                <m:sup>
                                  <m:ctrlPr>
                                    <w:rPr>
                                      <w:rFonts w:ascii="Cambria Math" w:hAnsi="Cambria Math"/>
                                      <w:i/>
                                      <w:kern w:val="2"/>
                                      <w:szCs w:val="21"/>
                                    </w:rPr>
                                  </m:ctrlPr>
                                </m:sup>
                              </m:sSubSup>
                              <m:ctrlPr>
                                <w:rPr>
                                  <w:rFonts w:ascii="Cambria Math" w:hAnsi="Cambria Math"/>
                                  <w:i/>
                                  <w:kern w:val="2"/>
                                  <w:szCs w:val="21"/>
                                </w:rPr>
                              </m:ctrlPr>
                            </m:den>
                          </m:f>
                          <m:ctrlPr>
                            <w:rPr>
                              <w:rFonts w:ascii="Cambria Math" w:hAnsi="Cambria Math"/>
                              <w:i/>
                            </w:rPr>
                          </m:ctrlPr>
                        </m:e>
                      </m:nary>
                      <m:ctrlPr>
                        <w:rPr>
                          <w:rFonts w:ascii="Cambria Math" w:hAnsi="Cambria Math"/>
                          <w:i/>
                        </w:rPr>
                      </m:ctrlPr>
                    </m:den>
                  </m:f>
                  <m:r>
                    <m:rPr/>
                    <w:rPr>
                      <w:rFonts w:ascii="Cambria Math" w:hAnsi="Cambria Math"/>
                    </w:rPr>
                    <m:t xml:space="preserve">        </m:t>
                  </m:r>
                  <m:r>
                    <m:rPr/>
                    <w:rPr>
                      <w:rFonts w:hint="eastAsia" w:ascii="Cambria Math" w:hAnsi="Cambria Math"/>
                    </w:rPr>
                    <m:t>隔震层</m:t>
                  </m:r>
                  <m:ctrlPr>
                    <w:rPr>
                      <w:rFonts w:ascii="Cambria Math" w:hAnsi="Cambria Math"/>
                      <w:i/>
                    </w:rPr>
                  </m:ctrlPr>
                </m:e>
              </m:mr>
              <m:mr>
                <m:e>
                  <m:f>
                    <m:fPr>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m:rPr/>
                                <w:rPr>
                                  <w:rFonts w:ascii="Cambria Math" w:hAnsi="Cambria Math"/>
                                </w:rPr>
                                <m:t>−λ</m:t>
                              </m:r>
                              <m:ctrlPr>
                                <w:rPr>
                                  <w:rFonts w:ascii="Cambria Math" w:hAnsi="Cambria Math"/>
                                  <w:i/>
                                </w:rPr>
                              </m:ctrlPr>
                            </m:e>
                            <m:sub>
                              <m:r>
                                <m:rPr/>
                                <w:rPr>
                                  <w:rFonts w:ascii="Cambria Math" w:hAnsi="Cambria Math"/>
                                </w:rPr>
                                <m:t>j</m:t>
                              </m:r>
                              <m:ctrlPr>
                                <w:rPr>
                                  <w:rFonts w:ascii="Cambria Math" w:hAnsi="Cambria Math"/>
                                  <w:i/>
                                </w:rPr>
                              </m:ctrlPr>
                            </m:sub>
                            <m:sup>
                              <m:ctrlPr>
                                <w:rPr>
                                  <w:rFonts w:ascii="Cambria Math" w:hAnsi="Cambria Math"/>
                                  <w:i/>
                                </w:rPr>
                              </m:ctrlPr>
                            </m:sup>
                          </m:sSubSup>
                          <m:r>
                            <m:rPr/>
                            <w:rPr>
                              <w:rFonts w:ascii="Cambria Math" w:hAnsi="Cambria Math"/>
                            </w:rPr>
                            <m:t>−a</m:t>
                          </m:r>
                          <m:ctrlPr>
                            <w:rPr>
                              <w:rFonts w:ascii="Cambria Math" w:hAnsi="Cambria Math"/>
                              <w:i/>
                            </w:rPr>
                          </m:ctrlPr>
                        </m:e>
                      </m:d>
                      <m:ctrlPr>
                        <w:rPr>
                          <w:rFonts w:ascii="Cambria Math" w:hAnsi="Cambria Math"/>
                          <w:i/>
                        </w:rPr>
                      </m:ctrlPr>
                    </m:num>
                    <m:den>
                      <m:d>
                        <m:dPr>
                          <m:ctrlPr>
                            <w:rPr>
                              <w:rFonts w:ascii="Cambria Math" w:hAnsi="Cambria Math"/>
                              <w:i/>
                            </w:rPr>
                          </m:ctrlPr>
                        </m:dPr>
                        <m:e>
                          <m:sSubSup>
                            <m:sSubSupPr>
                              <m:ctrlPr>
                                <w:rPr>
                                  <w:rFonts w:ascii="Cambria Math" w:hAnsi="Cambria Math"/>
                                  <w:i/>
                                </w:rPr>
                              </m:ctrlPr>
                            </m:sSubSupPr>
                            <m:e>
                              <m:r>
                                <m:rPr/>
                                <w:rPr>
                                  <w:rFonts w:ascii="Cambria Math" w:hAnsi="Cambria Math"/>
                                </w:rPr>
                                <m:t>−λ</m:t>
                              </m:r>
                              <m:ctrlPr>
                                <w:rPr>
                                  <w:rFonts w:ascii="Cambria Math" w:hAnsi="Cambria Math"/>
                                  <w:i/>
                                </w:rPr>
                              </m:ctrlPr>
                            </m:e>
                            <m:sub>
                              <m:r>
                                <m:rPr/>
                                <w:rPr>
                                  <w:rFonts w:ascii="Cambria Math" w:hAnsi="Cambria Math"/>
                                </w:rPr>
                                <m:t>j</m:t>
                              </m:r>
                              <m:ctrlPr>
                                <w:rPr>
                                  <w:rFonts w:ascii="Cambria Math" w:hAnsi="Cambria Math"/>
                                  <w:i/>
                                </w:rPr>
                              </m:ctrlPr>
                            </m:sub>
                            <m:sup>
                              <m:ctrlPr>
                                <w:rPr>
                                  <w:rFonts w:ascii="Cambria Math" w:hAnsi="Cambria Math"/>
                                  <w:i/>
                                </w:rPr>
                              </m:ctrlPr>
                            </m:sup>
                          </m:sSubSup>
                          <m:r>
                            <m:rPr/>
                            <w:rPr>
                              <w:rFonts w:ascii="Cambria Math" w:hAnsi="Cambria Math"/>
                            </w:rPr>
                            <m:t>+b</m:t>
                          </m:r>
                          <m:sSubSup>
                            <m:sSubSupPr>
                              <m:ctrlPr>
                                <w:rPr>
                                  <w:rFonts w:ascii="Cambria Math" w:hAnsi="Cambria Math"/>
                                  <w:i/>
                                </w:rPr>
                              </m:ctrlPr>
                            </m:sSubSupPr>
                            <m:e>
                              <m:r>
                                <m:rPr/>
                                <w:rPr>
                                  <w:rFonts w:ascii="Cambria Math" w:hAnsi="Cambria Math"/>
                                </w:rPr>
                                <m:t>λ</m:t>
                              </m:r>
                              <m:ctrlPr>
                                <w:rPr>
                                  <w:rFonts w:ascii="Cambria Math" w:hAnsi="Cambria Math"/>
                                  <w:i/>
                                </w:rPr>
                              </m:ctrlPr>
                            </m:e>
                            <m:sub>
                              <m:r>
                                <m:rPr/>
                                <w:rPr>
                                  <w:rFonts w:ascii="Cambria Math" w:hAnsi="Cambria Math"/>
                                </w:rPr>
                                <m:t>j</m:t>
                              </m:r>
                              <m:ctrlPr>
                                <w:rPr>
                                  <w:rFonts w:ascii="Cambria Math" w:hAnsi="Cambria Math"/>
                                  <w:i/>
                                </w:rPr>
                              </m:ctrlPr>
                            </m:sub>
                            <m:sup>
                              <m:r>
                                <m:rPr/>
                                <w:rPr>
                                  <w:rFonts w:ascii="Cambria Math" w:hAnsi="Cambria Math"/>
                                </w:rPr>
                                <m:t>2</m:t>
                              </m:r>
                              <m:ctrlPr>
                                <w:rPr>
                                  <w:rFonts w:ascii="Cambria Math" w:hAnsi="Cambria Math"/>
                                  <w:i/>
                                </w:rPr>
                              </m:ctrlPr>
                            </m:sup>
                          </m:sSubSup>
                          <m:ctrlPr>
                            <w:rPr>
                              <w:rFonts w:ascii="Cambria Math" w:hAnsi="Cambria Math"/>
                              <w:i/>
                            </w:rPr>
                          </m:ctrlPr>
                        </m:e>
                      </m:d>
                      <m:ctrlPr>
                        <w:rPr>
                          <w:rFonts w:ascii="Cambria Math" w:hAnsi="Cambria Math"/>
                          <w:i/>
                        </w:rPr>
                      </m:ctrlPr>
                    </m:den>
                  </m:f>
                  <m:r>
                    <m:rPr/>
                    <w:rPr>
                      <w:rFonts w:ascii="Cambria Math" w:hAnsi="Cambria Math"/>
                    </w:rPr>
                    <m:t xml:space="preserve">                                                </m:t>
                  </m:r>
                  <m:r>
                    <m:rPr/>
                    <w:rPr>
                      <w:rFonts w:hint="eastAsia" w:ascii="Cambria Math" w:hAnsi="Cambria Math"/>
                    </w:rPr>
                    <m:t>非隔震层</m:t>
                  </m:r>
                  <m:ctrlPr>
                    <w:rPr>
                      <w:rFonts w:ascii="Cambria Math" w:hAnsi="Cambria Math"/>
                      <w:i/>
                    </w:rPr>
                  </m:ctrlPr>
                </m:e>
              </m:mr>
            </m:m>
            <m:ctrlPr>
              <w:rPr>
                <w:rFonts w:ascii="Cambria Math" w:hAnsi="Cambria Math"/>
                <w:i/>
              </w:rPr>
            </m:ctrlPr>
          </m:e>
        </m:d>
        <m:r>
          <m:rPr/>
          <w:rPr>
            <w:rFonts w:ascii="Cambria Math" w:hAnsi="Cambria Math"/>
          </w:rPr>
          <m:t xml:space="preserve">  </m:t>
        </m:r>
      </m:oMath>
      <w:r>
        <w:rPr>
          <w:rFonts w:hint="eastAsia"/>
        </w:rPr>
        <w:t xml:space="preserve">        （A.0.1-</w:t>
      </w:r>
      <w:r>
        <w:t>5</w:t>
      </w:r>
      <w:r>
        <w:rPr>
          <w:rFonts w:hint="eastAsia"/>
        </w:rPr>
        <w:t>）</w:t>
      </w:r>
    </w:p>
    <w:p>
      <w:pPr>
        <w:pStyle w:val="58"/>
        <w:ind w:firstLine="420"/>
      </w:pPr>
      <w:r>
        <w:rPr>
          <w:rFonts w:hint="eastAsia"/>
        </w:rPr>
        <w:t xml:space="preserve">式中：  </w:t>
      </w:r>
      <w:r>
        <w:rPr>
          <w:position w:val="-12"/>
          <w:szCs w:val="21"/>
        </w:rPr>
        <w:object>
          <v:shape id="_x0000_i1272" o:spt="75" type="#_x0000_t75" style="height:18.35pt;width:14.7pt;" o:ole="t" filled="f" o:preferrelative="t" stroked="f" coordsize="21600,21600">
            <v:path/>
            <v:fill on="f" focussize="0,0"/>
            <v:stroke on="f" joinstyle="miter"/>
            <v:imagedata r:id="rId529" o:title=""/>
            <o:lock v:ext="edit" aspectratio="t"/>
            <w10:wrap type="none"/>
            <w10:anchorlock/>
          </v:shape>
          <o:OLEObject Type="Embed" ProgID="Equation.DSMT4" ShapeID="_x0000_i1272" DrawAspect="Content" ObjectID="_1468075972" r:id="rId528">
            <o:LockedField>false</o:LockedField>
          </o:OLEObject>
        </w:object>
      </w:r>
      <w:r>
        <w:rPr>
          <w:rFonts w:hint="eastAsia"/>
        </w:rPr>
        <w:t>——集中于质点i的重力荷载代表值（kN）；</w:t>
      </w:r>
    </w:p>
    <w:p>
      <w:pPr>
        <w:pStyle w:val="58"/>
        <w:ind w:left="839" w:firstLine="420"/>
      </w:pPr>
      <w:r>
        <w:rPr>
          <w:position w:val="-12"/>
          <w:szCs w:val="21"/>
        </w:rPr>
        <w:object>
          <v:shape id="_x0000_i1273" o:spt="75" type="#_x0000_t75" style="height:18.35pt;width:14.7pt;" o:ole="t" filled="f" o:preferrelative="t" stroked="f" coordsize="21600,21600">
            <v:path/>
            <v:fill on="f" focussize="0,0"/>
            <v:stroke on="f" joinstyle="miter"/>
            <v:imagedata r:id="rId531" o:title=""/>
            <o:lock v:ext="edit" aspectratio="t"/>
            <w10:wrap type="none"/>
            <w10:anchorlock/>
          </v:shape>
          <o:OLEObject Type="Embed" ProgID="Equation.DSMT4" ShapeID="_x0000_i1273" DrawAspect="Content" ObjectID="_1468075973" r:id="rId530">
            <o:LockedField>false</o:LockedField>
          </o:OLEObject>
        </w:object>
      </w:r>
      <w:r>
        <w:rPr>
          <w:rFonts w:hint="eastAsia"/>
        </w:rPr>
        <w:t xml:space="preserve"> ——集中于隔震层的重力荷载代表值（kN）；</w:t>
      </w:r>
    </w:p>
    <w:p>
      <w:pPr>
        <w:pStyle w:val="58"/>
        <w:ind w:left="839" w:firstLine="420"/>
      </w:pPr>
      <m:oMath>
        <m:sSub>
          <m:sSubPr>
            <m:ctrlPr>
              <w:rPr>
                <w:rStyle w:val="188"/>
                <w:rFonts w:ascii="Cambria Math" w:hAnsi="Cambria Math"/>
                <w:i/>
                <w:kern w:val="2"/>
                <w:szCs w:val="21"/>
              </w:rPr>
            </m:ctrlPr>
          </m:sSubPr>
          <m:e>
            <m:r>
              <m:rPr/>
              <w:rPr>
                <w:rStyle w:val="188"/>
                <w:rFonts w:ascii="Cambria Math" w:hAnsi="Cambria Math"/>
              </w:rPr>
              <m:t>λ</m:t>
            </m:r>
            <m:ctrlPr>
              <w:rPr>
                <w:rStyle w:val="188"/>
                <w:rFonts w:ascii="Cambria Math" w:hAnsi="Cambria Math"/>
                <w:i/>
                <w:kern w:val="2"/>
                <w:szCs w:val="21"/>
              </w:rPr>
            </m:ctrlPr>
          </m:e>
          <m:sub>
            <m:r>
              <m:rPr/>
              <w:rPr>
                <w:rStyle w:val="188"/>
                <w:rFonts w:ascii="Cambria Math" w:hAnsi="Cambria Math"/>
              </w:rPr>
              <m:t>j</m:t>
            </m:r>
            <m:ctrlPr>
              <w:rPr>
                <w:rStyle w:val="188"/>
                <w:rFonts w:ascii="Cambria Math" w:hAnsi="Cambria Math"/>
                <w:i/>
                <w:kern w:val="2"/>
                <w:szCs w:val="21"/>
              </w:rPr>
            </m:ctrlPr>
          </m:sub>
        </m:sSub>
      </m:oMath>
      <w:r>
        <w:rPr>
          <w:rFonts w:hint="eastAsia"/>
        </w:rPr>
        <w:t>——第j阶振型对应的特征值；</w:t>
      </w:r>
    </w:p>
    <w:p>
      <w:pPr>
        <w:pStyle w:val="58"/>
        <w:ind w:left="839" w:firstLine="420"/>
      </w:pPr>
      <m:oMath>
        <m:sSub>
          <m:sSubPr>
            <m:ctrlPr>
              <w:rPr>
                <w:rStyle w:val="188"/>
                <w:rFonts w:ascii="Cambria Math" w:hAnsi="Cambria Math"/>
                <w:i/>
                <w:kern w:val="2"/>
                <w:szCs w:val="21"/>
              </w:rPr>
            </m:ctrlPr>
          </m:sSubPr>
          <m:e>
            <m:r>
              <m:rPr/>
              <w:rPr>
                <w:rStyle w:val="188"/>
                <w:rFonts w:ascii="Cambria Math" w:hAnsi="Cambria Math"/>
              </w:rPr>
              <m:t>η</m:t>
            </m:r>
            <m:ctrlPr>
              <w:rPr>
                <w:rStyle w:val="188"/>
                <w:rFonts w:ascii="Cambria Math" w:hAnsi="Cambria Math"/>
                <w:i/>
                <w:kern w:val="2"/>
                <w:szCs w:val="21"/>
              </w:rPr>
            </m:ctrlPr>
          </m:e>
          <m:sub>
            <m:r>
              <m:rPr/>
              <w:rPr>
                <w:rStyle w:val="188"/>
                <w:rFonts w:ascii="Cambria Math" w:hAnsi="Cambria Math"/>
              </w:rPr>
              <m:t>j</m:t>
            </m:r>
            <m:ctrlPr>
              <w:rPr>
                <w:rStyle w:val="188"/>
                <w:rFonts w:ascii="Cambria Math" w:hAnsi="Cambria Math"/>
                <w:i/>
                <w:kern w:val="2"/>
                <w:szCs w:val="21"/>
              </w:rPr>
            </m:ctrlPr>
          </m:sub>
        </m:sSub>
      </m:oMath>
      <w:r>
        <w:rPr>
          <w:rFonts w:hint="eastAsia"/>
        </w:rPr>
        <w:t>——第j阶振型对应的复数形式的振型参与系数；</w:t>
      </w:r>
    </w:p>
    <w:p>
      <w:pPr>
        <w:pStyle w:val="58"/>
        <w:ind w:left="839" w:firstLine="420"/>
      </w:pPr>
      <w:r>
        <w:rPr>
          <w:rFonts w:hint="eastAsia"/>
        </w:rPr>
        <w:t xml:space="preserve"> </w:t>
      </w:r>
      <m:oMath>
        <m:sSubSup>
          <m:sSubSupPr>
            <m:ctrlPr>
              <w:rPr>
                <w:rFonts w:ascii="Cambria Math" w:hAnsi="Cambria Math"/>
                <w:i/>
                <w:kern w:val="2"/>
                <w:szCs w:val="21"/>
              </w:rPr>
            </m:ctrlPr>
          </m:sSubSupPr>
          <m:e>
            <m:r>
              <m:rPr/>
              <w:rPr>
                <w:rFonts w:ascii="Cambria Math" w:hAnsi="Cambria Math"/>
              </w:rPr>
              <m:t>φ</m:t>
            </m:r>
            <m:ctrlPr>
              <w:rPr>
                <w:rFonts w:ascii="Cambria Math" w:hAnsi="Cambria Math"/>
                <w:i/>
                <w:kern w:val="2"/>
                <w:szCs w:val="21"/>
              </w:rPr>
            </m:ctrlPr>
          </m:e>
          <m:sub>
            <m:r>
              <m:rPr/>
              <w:rPr>
                <w:rFonts w:ascii="Cambria Math" w:hAnsi="Cambria Math"/>
              </w:rPr>
              <m:t>ji</m:t>
            </m:r>
            <m:ctrlPr>
              <w:rPr>
                <w:rFonts w:ascii="Cambria Math" w:hAnsi="Cambria Math"/>
                <w:i/>
                <w:kern w:val="2"/>
                <w:szCs w:val="21"/>
              </w:rPr>
            </m:ctrlPr>
          </m:sub>
          <m:sup>
            <m:ctrlPr>
              <w:rPr>
                <w:rFonts w:ascii="Cambria Math" w:hAnsi="Cambria Math"/>
                <w:i/>
                <w:kern w:val="2"/>
                <w:szCs w:val="21"/>
              </w:rPr>
            </m:ctrlPr>
          </m:sup>
        </m:sSubSup>
      </m:oMath>
      <w:r>
        <w:rPr>
          <w:rFonts w:hint="eastAsia"/>
        </w:rPr>
        <w:t>——第j阶振型向量中第i个位移分量；</w:t>
      </w:r>
    </w:p>
    <w:p>
      <w:pPr>
        <w:pStyle w:val="58"/>
        <w:ind w:left="839" w:firstLine="420"/>
      </w:pPr>
      <w:r>
        <w:rPr>
          <w:rFonts w:hint="eastAsia"/>
        </w:rPr>
        <w:t>cji——第j阶振型地震作用非比例阻尼影响系数，当隔震结构为比例阻尼时等于1；</w:t>
      </w:r>
    </w:p>
    <w:p>
      <w:pPr>
        <w:pStyle w:val="58"/>
        <w:ind w:left="839" w:firstLine="420"/>
      </w:pPr>
      <w:r>
        <w:rPr>
          <w:position w:val="-12"/>
          <w:szCs w:val="21"/>
        </w:rPr>
        <w:object>
          <v:shape id="_x0000_i1274" o:spt="75" type="#_x0000_t75" style="height:18.35pt;width:14.7pt;" o:ole="t" filled="f" o:preferrelative="t" stroked="f" coordsize="21600,21600">
            <v:path/>
            <v:fill on="f" focussize="0,0"/>
            <v:stroke on="f" joinstyle="miter"/>
            <v:imagedata r:id="rId533" o:title=""/>
            <o:lock v:ext="edit" aspectratio="t"/>
            <w10:wrap type="none"/>
            <w10:anchorlock/>
          </v:shape>
          <o:OLEObject Type="Embed" ProgID="Equation.DSMT4" ShapeID="_x0000_i1274" DrawAspect="Content" ObjectID="_1468075974" r:id="rId532">
            <o:LockedField>false</o:LockedField>
          </o:OLEObject>
        </w:object>
      </w:r>
      <w:r>
        <w:rPr>
          <w:rFonts w:hint="eastAsia"/>
        </w:rPr>
        <w:t>——隔震层频率，等于隔震层刚度除以上部结构和隔震层重量之和的平方根；</w:t>
      </w:r>
    </w:p>
    <w:p>
      <w:pPr>
        <w:pStyle w:val="58"/>
        <w:ind w:left="839" w:firstLine="420"/>
      </w:pPr>
      <w:r>
        <w:rPr>
          <w:position w:val="-6"/>
          <w:szCs w:val="21"/>
        </w:rPr>
        <w:object>
          <v:shape id="_x0000_i1275" o:spt="75" type="#_x0000_t75" style="height:11pt;width:11.75pt;" o:ole="t" filled="f" o:preferrelative="t" stroked="f" coordsize="21600,21600">
            <v:path/>
            <v:fill on="f" focussize="0,0"/>
            <v:stroke on="f" joinstyle="miter"/>
            <v:imagedata r:id="rId535" o:title=""/>
            <o:lock v:ext="edit" aspectratio="t"/>
            <w10:wrap type="none"/>
            <w10:anchorlock/>
          </v:shape>
          <o:OLEObject Type="Embed" ProgID="Equation.DSMT4" ShapeID="_x0000_i1275" DrawAspect="Content" ObjectID="_1468075975" r:id="rId534">
            <o:LockedField>false</o:LockedField>
          </o:OLEObject>
        </w:object>
      </w:r>
      <w:r>
        <w:rPr>
          <w:rFonts w:hint="eastAsia"/>
        </w:rPr>
        <w:t>——上部结构瑞利阻尼对应质量矩阵系数；</w:t>
      </w:r>
    </w:p>
    <w:p>
      <w:pPr>
        <w:pStyle w:val="58"/>
        <w:ind w:left="839" w:firstLine="420"/>
      </w:pPr>
      <w:r>
        <w:rPr>
          <w:position w:val="-10"/>
          <w:szCs w:val="21"/>
        </w:rPr>
        <w:object>
          <v:shape id="_x0000_i1276" o:spt="75" type="#_x0000_t75" style="height:14.7pt;width:11.75pt;" o:ole="t" filled="f" o:preferrelative="t" stroked="f" coordsize="21600,21600">
            <v:path/>
            <v:fill on="f" focussize="0,0"/>
            <v:stroke on="f" joinstyle="miter"/>
            <v:imagedata r:id="rId537" o:title=""/>
            <o:lock v:ext="edit" aspectratio="t"/>
            <w10:wrap type="none"/>
            <w10:anchorlock/>
          </v:shape>
          <o:OLEObject Type="Embed" ProgID="Equation.DSMT4" ShapeID="_x0000_i1276" DrawAspect="Content" ObjectID="_1468075976" r:id="rId536">
            <o:LockedField>false</o:LockedField>
          </o:OLEObject>
        </w:object>
      </w:r>
      <w:r>
        <w:rPr>
          <w:rFonts w:hint="eastAsia"/>
        </w:rPr>
        <w:t>——上部结构瑞利阻尼对应刚度矩阵系数。</w:t>
      </w:r>
    </w:p>
    <w:p>
      <w:pPr>
        <w:pStyle w:val="58"/>
        <w:ind w:firstLine="420"/>
      </w:pPr>
    </w:p>
    <w:p>
      <w:pPr>
        <w:pStyle w:val="234"/>
        <w:spacing w:line="360" w:lineRule="auto"/>
        <w:ind w:firstLine="0" w:firstLineChars="0"/>
        <w:rPr>
          <w:rFonts w:ascii="Times New Roman" w:hAnsi="Times New Roman" w:eastAsia="宋体"/>
          <w:color w:val="000000" w:themeColor="text1"/>
          <w:szCs w:val="21"/>
          <w14:textFill>
            <w14:solidFill>
              <w14:schemeClr w14:val="tx1"/>
            </w14:solidFill>
          </w14:textFill>
        </w:rPr>
      </w:pPr>
      <w:r>
        <w:rPr>
          <w:rFonts w:ascii="宋体" w:hAnsi="宋体" w:eastAsia="宋体" w:cs="宋体"/>
          <w:sz w:val="24"/>
          <w:szCs w:val="24"/>
        </w:rPr>
        <w:t>A.0.2  j</w:t>
      </w:r>
      <w:r>
        <w:rPr>
          <w:rFonts w:hint="eastAsia" w:ascii="宋体" w:hAnsi="宋体" w:eastAsia="宋体" w:cs="宋体"/>
          <w:sz w:val="24"/>
          <w:szCs w:val="24"/>
        </w:rPr>
        <w:t>振型水平地震作用效应非比例阻尼影响系数可按下式计算：</w:t>
      </w:r>
    </w:p>
    <w:p>
      <w:pPr>
        <w:pStyle w:val="234"/>
        <w:spacing w:line="360" w:lineRule="auto"/>
        <w:ind w:firstLine="0" w:firstLineChars="0"/>
        <w:jc w:val="right"/>
        <w:rPr>
          <w:rFonts w:ascii="Times New Roman" w:hAnsi="Times New Roman" w:eastAsia="宋体"/>
          <w:color w:val="000000" w:themeColor="text1"/>
          <w:szCs w:val="21"/>
          <w14:textFill>
            <w14:solidFill>
              <w14:schemeClr w14:val="tx1"/>
            </w14:solidFill>
          </w14:textFill>
        </w:rPr>
      </w:pPr>
      <w:r>
        <w:t xml:space="preserve">                         </w:t>
      </w:r>
      <w:r>
        <w:drawing>
          <wp:inline distT="0" distB="0" distL="0" distR="0">
            <wp:extent cx="860425" cy="2889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a:xfrm>
                      <a:off x="0" y="0"/>
                      <a:ext cx="860425" cy="288925"/>
                    </a:xfrm>
                    <a:prstGeom prst="rect">
                      <a:avLst/>
                    </a:prstGeom>
                    <a:noFill/>
                    <a:ln>
                      <a:noFill/>
                    </a:ln>
                  </pic:spPr>
                </pic:pic>
              </a:graphicData>
            </a:graphic>
          </wp:inline>
        </w:drawing>
      </w:r>
      <w:r>
        <w:t xml:space="preserve">                                  A.0.2-1</w:t>
      </w:r>
    </w:p>
    <w:p>
      <w:pPr>
        <w:pStyle w:val="234"/>
        <w:spacing w:line="360" w:lineRule="auto"/>
        <w:ind w:firstLine="0" w:firstLineChars="0"/>
        <w:rPr>
          <w:rFonts w:ascii="Times New Roman" w:hAnsi="Times New Roman" w:eastAsia="宋体"/>
          <w:color w:val="000000" w:themeColor="text1"/>
          <w:szCs w:val="21"/>
          <w14:textFill>
            <w14:solidFill>
              <w14:schemeClr w14:val="tx1"/>
            </w14:solidFill>
          </w14:textFill>
        </w:rPr>
      </w:pPr>
      <w:r>
        <w:t xml:space="preserve">     </w:t>
      </w:r>
      <w:r>
        <w:drawing>
          <wp:inline distT="0" distB="0" distL="0" distR="0">
            <wp:extent cx="4323080" cy="464185"/>
            <wp:effectExtent l="0" t="0" r="127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a:xfrm>
                      <a:off x="0" y="0"/>
                      <a:ext cx="4323080" cy="464185"/>
                    </a:xfrm>
                    <a:prstGeom prst="rect">
                      <a:avLst/>
                    </a:prstGeom>
                    <a:noFill/>
                    <a:ln>
                      <a:noFill/>
                    </a:ln>
                  </pic:spPr>
                </pic:pic>
              </a:graphicData>
            </a:graphic>
          </wp:inline>
        </w:drawing>
      </w:r>
    </w:p>
    <w:p>
      <w:pPr>
        <w:pStyle w:val="234"/>
        <w:spacing w:line="360" w:lineRule="auto"/>
        <w:ind w:firstLine="960" w:firstLineChars="400"/>
        <w:rPr>
          <w:rFonts w:ascii="宋体" w:hAnsi="宋体" w:eastAsia="宋体" w:cs="宋体"/>
          <w:sz w:val="24"/>
          <w:szCs w:val="24"/>
        </w:rPr>
      </w:pPr>
      <w:r>
        <w:rPr>
          <w:rFonts w:ascii="宋体" w:hAnsi="宋体" w:eastAsia="宋体" w:cs="宋体"/>
          <w:sz w:val="24"/>
          <w:szCs w:val="24"/>
        </w:rPr>
        <w:t xml:space="preserve">j </w:t>
      </w:r>
      <w:r>
        <w:rPr>
          <w:rFonts w:hint="eastAsia" w:ascii="宋体" w:hAnsi="宋体" w:eastAsia="宋体" w:cs="宋体"/>
          <w:sz w:val="24"/>
          <w:szCs w:val="24"/>
        </w:rPr>
        <w:t>振型</w:t>
      </w:r>
      <w:r>
        <w:rPr>
          <w:rFonts w:ascii="宋体" w:hAnsi="宋体" w:eastAsia="宋体" w:cs="宋体"/>
          <w:sz w:val="24"/>
          <w:szCs w:val="24"/>
        </w:rPr>
        <w:t xml:space="preserve"> i </w:t>
      </w:r>
      <w:r>
        <w:rPr>
          <w:rFonts w:hint="eastAsia" w:ascii="宋体" w:hAnsi="宋体" w:eastAsia="宋体" w:cs="宋体"/>
          <w:sz w:val="24"/>
          <w:szCs w:val="24"/>
        </w:rPr>
        <w:t>质点速度相关水平地震作用可按下式计算：</w:t>
      </w:r>
    </w:p>
    <w:p>
      <w:pPr>
        <w:pStyle w:val="234"/>
        <w:spacing w:line="360" w:lineRule="auto"/>
        <w:ind w:firstLine="0" w:firstLineChars="0"/>
        <w:jc w:val="right"/>
        <w:rPr>
          <w:rFonts w:ascii="Times New Roman" w:hAnsi="Times New Roman" w:eastAsia="宋体"/>
          <w:color w:val="000000" w:themeColor="text1"/>
          <w:szCs w:val="21"/>
          <w14:textFill>
            <w14:solidFill>
              <w14:schemeClr w14:val="tx1"/>
            </w14:solidFill>
          </w14:textFill>
        </w:rPr>
      </w:pPr>
      <w:r>
        <w:drawing>
          <wp:inline distT="0" distB="0" distL="0" distR="0">
            <wp:extent cx="3959860" cy="356235"/>
            <wp:effectExtent l="0" t="0" r="254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a:xfrm>
                      <a:off x="0" y="0"/>
                      <a:ext cx="3959860" cy="356235"/>
                    </a:xfrm>
                    <a:prstGeom prst="rect">
                      <a:avLst/>
                    </a:prstGeom>
                    <a:noFill/>
                    <a:ln>
                      <a:noFill/>
                    </a:ln>
                  </pic:spPr>
                </pic:pic>
              </a:graphicData>
            </a:graphic>
          </wp:inline>
        </w:drawing>
      </w:r>
      <w:r>
        <w:t xml:space="preserve">     A.0.2-2</w:t>
      </w:r>
    </w:p>
    <w:p>
      <w:pPr>
        <w:pStyle w:val="234"/>
        <w:spacing w:line="360" w:lineRule="auto"/>
        <w:ind w:firstLine="960" w:firstLineChars="400"/>
        <w:rPr>
          <w:rFonts w:ascii="宋体" w:eastAsia="宋体" w:cs="宋体"/>
          <w:sz w:val="24"/>
          <w:szCs w:val="24"/>
        </w:rPr>
      </w:pPr>
    </w:p>
    <w:p>
      <w:pPr>
        <w:pStyle w:val="234"/>
        <w:spacing w:line="360" w:lineRule="auto"/>
        <w:ind w:firstLine="0" w:firstLineChars="0"/>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 xml:space="preserve">A.0.3 </w:t>
      </w:r>
      <w:r>
        <w:rPr>
          <w:rFonts w:hint="eastAsia" w:ascii="宋体" w:hAnsi="宋体" w:eastAsia="宋体" w:cs="宋体"/>
          <w:color w:val="000000" w:themeColor="text1"/>
          <w:sz w:val="24"/>
          <w:szCs w:val="24"/>
          <w14:textFill>
            <w14:solidFill>
              <w14:schemeClr w14:val="tx1"/>
            </w14:solidFill>
          </w14:textFill>
        </w:rPr>
        <w:t>采用强迫解耦实振型分解反应谱法进行水平地震作用和作用</w:t>
      </w:r>
      <w:r>
        <w:rPr>
          <w:rFonts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效应计算时，</w:t>
      </w:r>
      <w:r>
        <w:rPr>
          <w:rFonts w:ascii="宋体" w:hAnsi="宋体" w:eastAsia="宋体" w:cs="宋体"/>
          <w:color w:val="000000" w:themeColor="text1"/>
          <w:sz w:val="24"/>
          <w:szCs w:val="24"/>
          <w14:textFill>
            <w14:solidFill>
              <w14:schemeClr w14:val="tx1"/>
            </w14:solidFill>
          </w14:textFill>
        </w:rPr>
        <w:t xml:space="preserve">j </w:t>
      </w:r>
      <w:r>
        <w:rPr>
          <w:rFonts w:hint="eastAsia" w:ascii="宋体" w:hAnsi="宋体" w:eastAsia="宋体" w:cs="宋体"/>
          <w:color w:val="000000" w:themeColor="text1"/>
          <w:sz w:val="24"/>
          <w:szCs w:val="24"/>
          <w14:textFill>
            <w14:solidFill>
              <w14:schemeClr w14:val="tx1"/>
            </w14:solidFill>
          </w14:textFill>
        </w:rPr>
        <w:t>振型</w:t>
      </w:r>
      <w:r>
        <w:rPr>
          <w:rFonts w:ascii="宋体" w:hAnsi="宋体" w:eastAsia="宋体" w:cs="宋体"/>
          <w:color w:val="000000" w:themeColor="text1"/>
          <w:sz w:val="24"/>
          <w:szCs w:val="24"/>
          <w14:textFill>
            <w14:solidFill>
              <w14:schemeClr w14:val="tx1"/>
            </w14:solidFill>
          </w14:textFill>
        </w:rPr>
        <w:t xml:space="preserve"> i </w:t>
      </w:r>
      <w:r>
        <w:rPr>
          <w:rFonts w:hint="eastAsia" w:ascii="宋体" w:hAnsi="宋体" w:eastAsia="宋体" w:cs="宋体"/>
          <w:color w:val="000000" w:themeColor="text1"/>
          <w:sz w:val="24"/>
          <w:szCs w:val="24"/>
          <w14:textFill>
            <w14:solidFill>
              <w14:schemeClr w14:val="tx1"/>
            </w14:solidFill>
          </w14:textFill>
        </w:rPr>
        <w:t>质点的水平地震作用应按本标准式（</w:t>
      </w:r>
      <w:r>
        <w:rPr>
          <w:rFonts w:ascii="Times New Roman" w:hAnsi="Times New Roman" w:eastAsia="宋体"/>
          <w:color w:val="000000" w:themeColor="text1"/>
          <w:szCs w:val="21"/>
          <w14:textFill>
            <w14:solidFill>
              <w14:schemeClr w14:val="tx1"/>
            </w14:solidFill>
          </w14:textFill>
        </w:rPr>
        <w:t>4.2.1-1</w:t>
      </w:r>
      <w:r>
        <w:rPr>
          <w:rFonts w:hint="eastAsia" w:ascii="宋体" w:hAnsi="宋体" w:eastAsia="宋体" w:cs="宋体"/>
          <w:color w:val="000000" w:themeColor="text1"/>
          <w:sz w:val="24"/>
          <w:szCs w:val="24"/>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和（</w:t>
      </w:r>
      <w:r>
        <w:rPr>
          <w:rFonts w:ascii="Times New Roman" w:hAnsi="Times New Roman" w:eastAsia="宋体"/>
          <w:color w:val="000000" w:themeColor="text1"/>
          <w:szCs w:val="21"/>
          <w14:textFill>
            <w14:solidFill>
              <w14:schemeClr w14:val="tx1"/>
            </w14:solidFill>
          </w14:textFill>
        </w:rPr>
        <w:t>4.2.2-1</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）计算，水平地震作用效应按本标准式（</w:t>
      </w:r>
      <w:r>
        <w:rPr>
          <w:rFonts w:ascii="Times New Roman" w:hAnsi="Times New Roman" w:eastAsia="宋体"/>
          <w:color w:val="000000" w:themeColor="text1"/>
          <w:szCs w:val="21"/>
          <w14:textFill>
            <w14:solidFill>
              <w14:schemeClr w14:val="tx1"/>
            </w14:solidFill>
          </w14:textFill>
        </w:rPr>
        <w:t>4.2.1-2</w:t>
      </w:r>
      <w:r>
        <w:rPr>
          <w:rFonts w:hint="eastAsia" w:ascii="宋体" w:hAnsi="宋体" w:eastAsia="宋体" w:cs="宋体"/>
          <w:color w:val="000000" w:themeColor="text1"/>
          <w:sz w:val="24"/>
          <w:szCs w:val="24"/>
          <w14:textFill>
            <w14:solidFill>
              <w14:schemeClr w14:val="tx1"/>
            </w14:solidFill>
          </w14:textFill>
        </w:rPr>
        <w:t>）和（</w:t>
      </w:r>
      <w:r>
        <w:rPr>
          <w:rFonts w:ascii="Times New Roman" w:hAnsi="Times New Roman" w:eastAsia="宋体"/>
          <w:color w:val="000000" w:themeColor="text1"/>
          <w:szCs w:val="21"/>
          <w14:textFill>
            <w14:solidFill>
              <w14:schemeClr w14:val="tx1"/>
            </w14:solidFill>
          </w14:textFill>
        </w:rPr>
        <w:t>4.2.2-4</w:t>
      </w:r>
      <w:r>
        <w:rPr>
          <w:rFonts w:hint="eastAsia" w:ascii="宋体" w:hAnsi="宋体" w:eastAsia="宋体" w:cs="宋体"/>
          <w:color w:val="000000" w:themeColor="text1"/>
          <w:sz w:val="24"/>
          <w:szCs w:val="24"/>
          <w14:textFill>
            <w14:solidFill>
              <w14:schemeClr w14:val="tx1"/>
            </w14:solidFill>
          </w14:textFill>
        </w:rPr>
        <w:t>）计算，其中振型参与系数、耦联系数应按下列公式计算：</w:t>
      </w:r>
    </w:p>
    <w:p>
      <w:pPr>
        <w:pStyle w:val="234"/>
        <w:spacing w:line="360" w:lineRule="auto"/>
        <w:ind w:firstLine="0" w:firstLineChars="0"/>
        <w:rPr>
          <w:rFonts w:ascii="宋体" w:hAnsi="宋体" w:eastAsia="宋体" w:cs="宋体"/>
          <w:color w:val="FF0000"/>
          <w:sz w:val="24"/>
          <w:szCs w:val="24"/>
        </w:rPr>
      </w:pPr>
    </w:p>
    <w:p>
      <w:pPr>
        <w:pStyle w:val="234"/>
        <w:spacing w:line="360" w:lineRule="auto"/>
        <w:ind w:firstLine="0" w:firstLineChars="0"/>
        <w:jc w:val="right"/>
      </w:pPr>
      <w:r>
        <w:drawing>
          <wp:inline distT="0" distB="0" distL="0" distR="0">
            <wp:extent cx="1707515" cy="376555"/>
            <wp:effectExtent l="0" t="0" r="6985" b="44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a:xfrm>
                      <a:off x="0" y="0"/>
                      <a:ext cx="1707515" cy="376555"/>
                    </a:xfrm>
                    <a:prstGeom prst="rect">
                      <a:avLst/>
                    </a:prstGeom>
                    <a:noFill/>
                    <a:ln>
                      <a:noFill/>
                    </a:ln>
                  </pic:spPr>
                </pic:pic>
              </a:graphicData>
            </a:graphic>
          </wp:inline>
        </w:drawing>
      </w:r>
      <w:r>
        <w:t xml:space="preserve">                        A.0.3-1    </w:t>
      </w:r>
    </w:p>
    <w:p>
      <w:pPr>
        <w:pStyle w:val="234"/>
        <w:spacing w:line="360" w:lineRule="auto"/>
        <w:ind w:firstLine="0" w:firstLineChars="0"/>
        <w:jc w:val="right"/>
        <w:rPr>
          <w:rFonts w:ascii="Times New Roman" w:hAnsi="Times New Roman" w:eastAsia="宋体"/>
          <w:color w:val="000000" w:themeColor="text1"/>
          <w:szCs w:val="21"/>
          <w14:textFill>
            <w14:solidFill>
              <w14:schemeClr w14:val="tx1"/>
            </w14:solidFill>
          </w14:textFill>
        </w:rPr>
      </w:pPr>
      <w:r>
        <w:drawing>
          <wp:inline distT="0" distB="0" distL="0" distR="0">
            <wp:extent cx="3361690" cy="61214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a:xfrm>
                      <a:off x="0" y="0"/>
                      <a:ext cx="3361690" cy="612140"/>
                    </a:xfrm>
                    <a:prstGeom prst="rect">
                      <a:avLst/>
                    </a:prstGeom>
                    <a:noFill/>
                    <a:ln>
                      <a:noFill/>
                    </a:ln>
                  </pic:spPr>
                </pic:pic>
              </a:graphicData>
            </a:graphic>
          </wp:inline>
        </w:drawing>
      </w:r>
      <w:r>
        <w:t xml:space="preserve">          A.0.3-2   </w:t>
      </w:r>
    </w:p>
    <w:p>
      <w:pPr>
        <w:pStyle w:val="58"/>
        <w:ind w:firstLine="420"/>
      </w:pPr>
    </w:p>
    <w:p>
      <w:pPr>
        <w:widowControl/>
        <w:adjustRightInd/>
        <w:spacing w:line="240" w:lineRule="auto"/>
        <w:jc w:val="left"/>
      </w:pPr>
      <w:r>
        <w:br w:type="page"/>
      </w:r>
    </w:p>
    <w:p>
      <w:pPr>
        <w:pStyle w:val="78"/>
        <w:spacing w:before="78" w:after="156"/>
        <w:sectPr>
          <w:headerReference r:id="rId12" w:type="default"/>
          <w:footerReference r:id="rId14" w:type="default"/>
          <w:headerReference r:id="rId13" w:type="even"/>
          <w:footerReference r:id="rId15" w:type="even"/>
          <w:pgSz w:w="11906" w:h="16838"/>
          <w:pgMar w:top="2410" w:right="1134" w:bottom="1134" w:left="1134" w:header="1418" w:footer="1134" w:gutter="284"/>
          <w:cols w:space="425" w:num="1"/>
          <w:formProt w:val="0"/>
          <w:docGrid w:type="lines" w:linePitch="312" w:charSpace="0"/>
        </w:sectPr>
      </w:pPr>
    </w:p>
    <w:p>
      <w:pPr>
        <w:pStyle w:val="200"/>
        <w:rPr>
          <w:vanish w:val="0"/>
        </w:rPr>
      </w:pPr>
    </w:p>
    <w:p>
      <w:pPr>
        <w:pStyle w:val="201"/>
        <w:rPr>
          <w:vanish w:val="0"/>
        </w:rPr>
      </w:pPr>
    </w:p>
    <w:p>
      <w:pPr>
        <w:pStyle w:val="78"/>
        <w:spacing w:before="78" w:after="156"/>
      </w:pPr>
      <w:r>
        <w:br w:type="textWrapping"/>
      </w:r>
      <w:bookmarkStart w:id="83" w:name="_Toc92414111"/>
      <w:r>
        <w:rPr>
          <w:rFonts w:hint="eastAsia"/>
        </w:rPr>
        <w:t>（资料性）</w:t>
      </w:r>
      <w:r>
        <w:br w:type="textWrapping"/>
      </w:r>
      <w:r>
        <w:rPr>
          <w:rFonts w:hint="eastAsia"/>
        </w:rPr>
        <w:t>各种类型隔震支座尺寸及力学性能</w:t>
      </w:r>
      <w:bookmarkEnd w:id="83"/>
    </w:p>
    <w:p>
      <w:pPr>
        <w:pStyle w:val="58"/>
        <w:ind w:firstLine="420"/>
        <w:jc w:val="center"/>
      </w:pPr>
      <w:r>
        <w:rPr>
          <w:rFonts w:hint="eastAsia"/>
        </w:rPr>
        <w:t>铅芯橡胶支座力学性能参数表（G=0.4）</w:t>
      </w:r>
    </w:p>
    <w:tbl>
      <w:tblPr>
        <w:tblStyle w:val="27"/>
        <w:tblW w:w="5000" w:type="pct"/>
        <w:tblInd w:w="0" w:type="dxa"/>
        <w:tblLayout w:type="autofit"/>
        <w:tblCellMar>
          <w:top w:w="0" w:type="dxa"/>
          <w:left w:w="108" w:type="dxa"/>
          <w:bottom w:w="0" w:type="dxa"/>
          <w:right w:w="108" w:type="dxa"/>
        </w:tblCellMar>
      </w:tblPr>
      <w:tblGrid>
        <w:gridCol w:w="616"/>
        <w:gridCol w:w="1474"/>
        <w:gridCol w:w="616"/>
        <w:gridCol w:w="757"/>
        <w:gridCol w:w="816"/>
        <w:gridCol w:w="847"/>
        <w:gridCol w:w="847"/>
        <w:gridCol w:w="847"/>
        <w:gridCol w:w="847"/>
        <w:gridCol w:w="848"/>
        <w:gridCol w:w="927"/>
        <w:gridCol w:w="927"/>
        <w:gridCol w:w="927"/>
        <w:gridCol w:w="918"/>
        <w:gridCol w:w="918"/>
        <w:gridCol w:w="917"/>
      </w:tblGrid>
      <w:tr>
        <w:tblPrEx>
          <w:tblCellMar>
            <w:top w:w="0" w:type="dxa"/>
            <w:left w:w="108" w:type="dxa"/>
            <w:bottom w:w="0" w:type="dxa"/>
            <w:right w:w="108" w:type="dxa"/>
          </w:tblCellMar>
        </w:tblPrEx>
        <w:trPr>
          <w:trHeight w:val="267" w:hRule="atLeast"/>
        </w:trPr>
        <w:tc>
          <w:tcPr>
            <w:tcW w:w="749" w:type="pct"/>
            <w:gridSpan w:val="2"/>
            <w:vMerge w:val="restart"/>
            <w:tcBorders>
              <w:top w:val="single" w:color="auto" w:sz="4" w:space="0"/>
              <w:left w:val="single" w:color="auto" w:sz="4" w:space="0"/>
              <w:bottom w:val="single" w:color="000000" w:sz="4" w:space="0"/>
              <w:right w:val="single" w:color="000000"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设计参数</w:t>
            </w:r>
          </w:p>
        </w:tc>
        <w:tc>
          <w:tcPr>
            <w:tcW w:w="184" w:type="pct"/>
            <w:vMerge w:val="restart"/>
            <w:tcBorders>
              <w:top w:val="single" w:color="auto" w:sz="4" w:space="0"/>
              <w:left w:val="single" w:color="auto" w:sz="4" w:space="0"/>
              <w:bottom w:val="single" w:color="000000"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代号</w:t>
            </w:r>
          </w:p>
        </w:tc>
        <w:tc>
          <w:tcPr>
            <w:tcW w:w="272"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单位</w:t>
            </w:r>
          </w:p>
        </w:tc>
        <w:tc>
          <w:tcPr>
            <w:tcW w:w="3795" w:type="pct"/>
            <w:gridSpan w:val="12"/>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bCs/>
                <w:kern w:val="0"/>
                <w:sz w:val="20"/>
                <w:szCs w:val="20"/>
              </w:rPr>
            </w:pPr>
            <w:r>
              <w:rPr>
                <w:rFonts w:ascii="宋体" w:hAnsi="宋体" w:cs="宋体"/>
                <w:bCs/>
                <w:kern w:val="0"/>
                <w:sz w:val="20"/>
                <w:szCs w:val="20"/>
              </w:rPr>
              <w:t>G4</w:t>
            </w:r>
          </w:p>
        </w:tc>
      </w:tr>
      <w:tr>
        <w:tblPrEx>
          <w:tblCellMar>
            <w:top w:w="0" w:type="dxa"/>
            <w:left w:w="108" w:type="dxa"/>
            <w:bottom w:w="0" w:type="dxa"/>
            <w:right w:w="108" w:type="dxa"/>
          </w:tblCellMar>
        </w:tblPrEx>
        <w:trPr>
          <w:trHeight w:val="267" w:hRule="atLeast"/>
        </w:trPr>
        <w:tc>
          <w:tcPr>
            <w:tcW w:w="749" w:type="pct"/>
            <w:gridSpan w:val="2"/>
            <w:vMerge w:val="continue"/>
            <w:tcBorders>
              <w:top w:val="single" w:color="auto" w:sz="4" w:space="0"/>
              <w:left w:val="single" w:color="auto" w:sz="4" w:space="0"/>
              <w:bottom w:val="single" w:color="000000" w:sz="4" w:space="0"/>
              <w:right w:val="single" w:color="000000" w:sz="4" w:space="0"/>
            </w:tcBorders>
            <w:vAlign w:val="center"/>
          </w:tcPr>
          <w:p>
            <w:pPr>
              <w:widowControl/>
              <w:adjustRightInd/>
              <w:spacing w:line="240" w:lineRule="auto"/>
              <w:jc w:val="left"/>
              <w:rPr>
                <w:rFonts w:ascii="宋体" w:hAnsi="宋体" w:cs="宋体"/>
                <w:kern w:val="0"/>
                <w:sz w:val="20"/>
                <w:szCs w:val="20"/>
              </w:rPr>
            </w:pPr>
          </w:p>
        </w:tc>
        <w:tc>
          <w:tcPr>
            <w:tcW w:w="184" w:type="pct"/>
            <w:vMerge w:val="continue"/>
            <w:tcBorders>
              <w:top w:val="single" w:color="auto" w:sz="4" w:space="0"/>
              <w:left w:val="single" w:color="auto" w:sz="4" w:space="0"/>
              <w:bottom w:val="single" w:color="000000" w:sz="4" w:space="0"/>
              <w:right w:val="single" w:color="auto" w:sz="4" w:space="0"/>
            </w:tcBorders>
            <w:vAlign w:val="center"/>
          </w:tcPr>
          <w:p>
            <w:pPr>
              <w:widowControl/>
              <w:adjustRightInd/>
              <w:spacing w:line="240" w:lineRule="auto"/>
              <w:jc w:val="left"/>
              <w:rPr>
                <w:rFonts w:ascii="宋体" w:hAnsi="宋体" w:cs="宋体"/>
                <w:kern w:val="0"/>
                <w:sz w:val="20"/>
                <w:szCs w:val="20"/>
              </w:rPr>
            </w:pPr>
          </w:p>
        </w:tc>
        <w:tc>
          <w:tcPr>
            <w:tcW w:w="27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left"/>
              <w:rPr>
                <w:rFonts w:ascii="宋体" w:hAnsi="宋体" w:cs="宋体"/>
                <w:kern w:val="0"/>
                <w:sz w:val="20"/>
                <w:szCs w:val="20"/>
              </w:rPr>
            </w:pPr>
          </w:p>
        </w:tc>
        <w:tc>
          <w:tcPr>
            <w:tcW w:w="293"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LRB400</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LRB500</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LRB600</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LRB700</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LRB800</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LRB900</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LRB1000</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LRB1100</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LRB1200</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LRB1300</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LRB1400</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LRB1500</w:t>
            </w:r>
          </w:p>
        </w:tc>
      </w:tr>
      <w:tr>
        <w:tblPrEx>
          <w:tblCellMar>
            <w:top w:w="0" w:type="dxa"/>
            <w:left w:w="108" w:type="dxa"/>
            <w:bottom w:w="0" w:type="dxa"/>
            <w:right w:w="108" w:type="dxa"/>
          </w:tblCellMar>
        </w:tblPrEx>
        <w:trPr>
          <w:trHeight w:val="267" w:hRule="atLeast"/>
        </w:trPr>
        <w:tc>
          <w:tcPr>
            <w:tcW w:w="749" w:type="pct"/>
            <w:gridSpan w:val="2"/>
            <w:tcBorders>
              <w:top w:val="nil"/>
              <w:left w:val="single" w:color="auto" w:sz="4" w:space="0"/>
              <w:bottom w:val="single" w:color="auto" w:sz="4" w:space="0"/>
              <w:right w:val="single" w:color="000000"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有效直径</w:t>
            </w:r>
          </w:p>
        </w:tc>
        <w:tc>
          <w:tcPr>
            <w:tcW w:w="18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d</w:t>
            </w:r>
          </w:p>
        </w:tc>
        <w:tc>
          <w:tcPr>
            <w:tcW w:w="272"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mm</w:t>
            </w:r>
          </w:p>
        </w:tc>
        <w:tc>
          <w:tcPr>
            <w:tcW w:w="293"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400</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600</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700</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800</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900</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1000</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1100</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1200</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1300</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1400</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1500</w:t>
            </w:r>
          </w:p>
        </w:tc>
      </w:tr>
      <w:tr>
        <w:tblPrEx>
          <w:tblCellMar>
            <w:top w:w="0" w:type="dxa"/>
            <w:left w:w="108" w:type="dxa"/>
            <w:bottom w:w="0" w:type="dxa"/>
            <w:right w:w="108" w:type="dxa"/>
          </w:tblCellMar>
        </w:tblPrEx>
        <w:trPr>
          <w:trHeight w:val="267" w:hRule="atLeast"/>
        </w:trPr>
        <w:tc>
          <w:tcPr>
            <w:tcW w:w="749" w:type="pct"/>
            <w:gridSpan w:val="2"/>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竖向压缩刚度</w:t>
            </w:r>
            <w:r>
              <w:rPr>
                <w:rFonts w:ascii="宋体" w:hAnsi="宋体" w:cs="宋体"/>
                <w:kern w:val="0"/>
                <w:sz w:val="20"/>
                <w:szCs w:val="20"/>
              </w:rPr>
              <w:t xml:space="preserve"> </w:t>
            </w:r>
          </w:p>
        </w:tc>
        <w:tc>
          <w:tcPr>
            <w:tcW w:w="18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Kv</w:t>
            </w:r>
          </w:p>
        </w:tc>
        <w:tc>
          <w:tcPr>
            <w:tcW w:w="272"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KN/mm</w:t>
            </w:r>
          </w:p>
        </w:tc>
        <w:tc>
          <w:tcPr>
            <w:tcW w:w="293"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1300</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1650</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2450</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2850</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3650</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4550</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5450</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6150</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7000</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6800</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8260</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9860</w:t>
            </w:r>
          </w:p>
        </w:tc>
      </w:tr>
      <w:tr>
        <w:tblPrEx>
          <w:tblCellMar>
            <w:top w:w="0" w:type="dxa"/>
            <w:left w:w="108" w:type="dxa"/>
            <w:bottom w:w="0" w:type="dxa"/>
            <w:right w:w="108" w:type="dxa"/>
          </w:tblCellMar>
        </w:tblPrEx>
        <w:trPr>
          <w:trHeight w:val="267" w:hRule="atLeast"/>
        </w:trPr>
        <w:tc>
          <w:tcPr>
            <w:tcW w:w="220" w:type="pct"/>
            <w:vMerge w:val="restart"/>
            <w:tcBorders>
              <w:top w:val="nil"/>
              <w:left w:val="single" w:color="auto" w:sz="4" w:space="0"/>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γ</w:t>
            </w:r>
            <w:r>
              <w:rPr>
                <w:rFonts w:ascii="宋体" w:hAnsi="宋体" w:cs="宋体"/>
                <w:kern w:val="0"/>
                <w:sz w:val="20"/>
                <w:szCs w:val="20"/>
              </w:rPr>
              <w:t>100%</w:t>
            </w:r>
          </w:p>
        </w:tc>
        <w:tc>
          <w:tcPr>
            <w:tcW w:w="5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屈服力</w:t>
            </w:r>
          </w:p>
        </w:tc>
        <w:tc>
          <w:tcPr>
            <w:tcW w:w="18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Qd</w:t>
            </w:r>
          </w:p>
        </w:tc>
        <w:tc>
          <w:tcPr>
            <w:tcW w:w="272"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KN</w:t>
            </w:r>
          </w:p>
        </w:tc>
        <w:tc>
          <w:tcPr>
            <w:tcW w:w="293"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26.5 </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40.2 </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62.8 </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83.1 </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106.2 </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132.1 </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171.1 </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203.6 </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238.9 </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304</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347</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408</w:t>
            </w:r>
          </w:p>
        </w:tc>
      </w:tr>
      <w:tr>
        <w:tblPrEx>
          <w:tblCellMar>
            <w:top w:w="0" w:type="dxa"/>
            <w:left w:w="108" w:type="dxa"/>
            <w:bottom w:w="0" w:type="dxa"/>
            <w:right w:w="108" w:type="dxa"/>
          </w:tblCellMar>
        </w:tblPrEx>
        <w:trPr>
          <w:trHeight w:val="267" w:hRule="atLeast"/>
        </w:trPr>
        <w:tc>
          <w:tcPr>
            <w:tcW w:w="220"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left"/>
              <w:rPr>
                <w:rFonts w:ascii="宋体" w:hAnsi="宋体" w:cs="宋体"/>
                <w:kern w:val="0"/>
                <w:sz w:val="20"/>
                <w:szCs w:val="20"/>
              </w:rPr>
            </w:pPr>
          </w:p>
        </w:tc>
        <w:tc>
          <w:tcPr>
            <w:tcW w:w="5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屈服后刚度</w:t>
            </w:r>
          </w:p>
        </w:tc>
        <w:tc>
          <w:tcPr>
            <w:tcW w:w="18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K2</w:t>
            </w:r>
          </w:p>
        </w:tc>
        <w:tc>
          <w:tcPr>
            <w:tcW w:w="272"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KN/mm</w:t>
            </w:r>
          </w:p>
        </w:tc>
        <w:tc>
          <w:tcPr>
            <w:tcW w:w="293"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0.644 </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0.805 </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0.964 </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1.126 </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1.287 </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1.449 </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1.608 </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1.769 </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1.931 </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2.149</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2.493</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2.860 </w:t>
            </w:r>
          </w:p>
        </w:tc>
      </w:tr>
      <w:tr>
        <w:tblPrEx>
          <w:tblCellMar>
            <w:top w:w="0" w:type="dxa"/>
            <w:left w:w="108" w:type="dxa"/>
            <w:bottom w:w="0" w:type="dxa"/>
            <w:right w:w="108" w:type="dxa"/>
          </w:tblCellMar>
        </w:tblPrEx>
        <w:trPr>
          <w:trHeight w:val="267" w:hRule="atLeast"/>
        </w:trPr>
        <w:tc>
          <w:tcPr>
            <w:tcW w:w="220"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left"/>
              <w:rPr>
                <w:rFonts w:ascii="宋体" w:hAnsi="宋体" w:cs="宋体"/>
                <w:kern w:val="0"/>
                <w:sz w:val="20"/>
                <w:szCs w:val="20"/>
              </w:rPr>
            </w:pPr>
          </w:p>
        </w:tc>
        <w:tc>
          <w:tcPr>
            <w:tcW w:w="5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水平等效刚度</w:t>
            </w:r>
          </w:p>
        </w:tc>
        <w:tc>
          <w:tcPr>
            <w:tcW w:w="18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Kh</w:t>
            </w:r>
          </w:p>
        </w:tc>
        <w:tc>
          <w:tcPr>
            <w:tcW w:w="272"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KN/mm</w:t>
            </w:r>
          </w:p>
        </w:tc>
        <w:tc>
          <w:tcPr>
            <w:tcW w:w="293"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0.993 </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1.228 </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1.515 </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1.751 </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1.986 </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2.222 </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2.508 </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2.743 </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2.979 </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3.245</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3.741</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4.334</w:t>
            </w:r>
          </w:p>
        </w:tc>
      </w:tr>
      <w:tr>
        <w:tblPrEx>
          <w:tblCellMar>
            <w:top w:w="0" w:type="dxa"/>
            <w:left w:w="108" w:type="dxa"/>
            <w:bottom w:w="0" w:type="dxa"/>
            <w:right w:w="108" w:type="dxa"/>
          </w:tblCellMar>
        </w:tblPrEx>
        <w:trPr>
          <w:trHeight w:val="267" w:hRule="atLeast"/>
        </w:trPr>
        <w:tc>
          <w:tcPr>
            <w:tcW w:w="220"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left"/>
              <w:rPr>
                <w:rFonts w:ascii="宋体" w:hAnsi="宋体" w:cs="宋体"/>
                <w:kern w:val="0"/>
                <w:sz w:val="20"/>
                <w:szCs w:val="20"/>
              </w:rPr>
            </w:pPr>
          </w:p>
        </w:tc>
        <w:tc>
          <w:tcPr>
            <w:tcW w:w="5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等效阻尼比</w:t>
            </w:r>
          </w:p>
        </w:tc>
        <w:tc>
          <w:tcPr>
            <w:tcW w:w="18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heq</w:t>
            </w:r>
          </w:p>
        </w:tc>
        <w:tc>
          <w:tcPr>
            <w:tcW w:w="272"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w:t>
            </w:r>
          </w:p>
        </w:tc>
        <w:tc>
          <w:tcPr>
            <w:tcW w:w="293"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22.5 </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22.0 </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23.2 </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22.8 </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22.5 </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22.2 </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22.9 </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22.7 </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22.5 </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22.5</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22.3</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22.6</w:t>
            </w:r>
          </w:p>
        </w:tc>
      </w:tr>
      <w:tr>
        <w:tblPrEx>
          <w:tblCellMar>
            <w:top w:w="0" w:type="dxa"/>
            <w:left w:w="108" w:type="dxa"/>
            <w:bottom w:w="0" w:type="dxa"/>
            <w:right w:w="108" w:type="dxa"/>
          </w:tblCellMar>
        </w:tblPrEx>
        <w:trPr>
          <w:trHeight w:val="267" w:hRule="atLeast"/>
        </w:trPr>
        <w:tc>
          <w:tcPr>
            <w:tcW w:w="220" w:type="pct"/>
            <w:vMerge w:val="restart"/>
            <w:tcBorders>
              <w:top w:val="nil"/>
              <w:left w:val="single" w:color="auto" w:sz="4" w:space="0"/>
              <w:bottom w:val="single" w:color="000000"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γ</w:t>
            </w:r>
            <w:r>
              <w:rPr>
                <w:rFonts w:ascii="宋体" w:hAnsi="宋体" w:cs="宋体"/>
                <w:kern w:val="0"/>
                <w:sz w:val="20"/>
                <w:szCs w:val="20"/>
              </w:rPr>
              <w:t>250%</w:t>
            </w:r>
          </w:p>
        </w:tc>
        <w:tc>
          <w:tcPr>
            <w:tcW w:w="5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水平等效刚度</w:t>
            </w:r>
          </w:p>
        </w:tc>
        <w:tc>
          <w:tcPr>
            <w:tcW w:w="18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Kh</w:t>
            </w:r>
          </w:p>
        </w:tc>
        <w:tc>
          <w:tcPr>
            <w:tcW w:w="272"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KN/mm</w:t>
            </w:r>
          </w:p>
        </w:tc>
        <w:tc>
          <w:tcPr>
            <w:tcW w:w="293" w:type="pct"/>
            <w:tcBorders>
              <w:top w:val="nil"/>
              <w:left w:val="single" w:color="auto" w:sz="4" w:space="0"/>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0.720 </w:t>
            </w:r>
          </w:p>
        </w:tc>
        <w:tc>
          <w:tcPr>
            <w:tcW w:w="304" w:type="pct"/>
            <w:tcBorders>
              <w:top w:val="nil"/>
              <w:left w:val="nil"/>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0.890 </w:t>
            </w:r>
          </w:p>
        </w:tc>
        <w:tc>
          <w:tcPr>
            <w:tcW w:w="304" w:type="pct"/>
            <w:tcBorders>
              <w:top w:val="nil"/>
              <w:left w:val="nil"/>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1.084 </w:t>
            </w:r>
          </w:p>
        </w:tc>
        <w:tc>
          <w:tcPr>
            <w:tcW w:w="304" w:type="pct"/>
            <w:tcBorders>
              <w:top w:val="nil"/>
              <w:left w:val="nil"/>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1.258 </w:t>
            </w:r>
          </w:p>
        </w:tc>
        <w:tc>
          <w:tcPr>
            <w:tcW w:w="304" w:type="pct"/>
            <w:tcBorders>
              <w:top w:val="nil"/>
              <w:left w:val="nil"/>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1.433 </w:t>
            </w:r>
          </w:p>
        </w:tc>
        <w:tc>
          <w:tcPr>
            <w:tcW w:w="304" w:type="pct"/>
            <w:tcBorders>
              <w:top w:val="nil"/>
              <w:left w:val="nil"/>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1.607 </w:t>
            </w:r>
          </w:p>
        </w:tc>
        <w:tc>
          <w:tcPr>
            <w:tcW w:w="332" w:type="pct"/>
            <w:tcBorders>
              <w:top w:val="nil"/>
              <w:left w:val="nil"/>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1.800 </w:t>
            </w:r>
          </w:p>
        </w:tc>
        <w:tc>
          <w:tcPr>
            <w:tcW w:w="332" w:type="pct"/>
            <w:tcBorders>
              <w:top w:val="nil"/>
              <w:left w:val="nil"/>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1.975 </w:t>
            </w:r>
          </w:p>
        </w:tc>
        <w:tc>
          <w:tcPr>
            <w:tcW w:w="332" w:type="pct"/>
            <w:tcBorders>
              <w:top w:val="nil"/>
              <w:left w:val="nil"/>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2.168 </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2.431</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2.811</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3.241</w:t>
            </w:r>
          </w:p>
        </w:tc>
      </w:tr>
      <w:tr>
        <w:tblPrEx>
          <w:tblCellMar>
            <w:top w:w="0" w:type="dxa"/>
            <w:left w:w="108" w:type="dxa"/>
            <w:bottom w:w="0" w:type="dxa"/>
            <w:right w:w="108" w:type="dxa"/>
          </w:tblCellMar>
        </w:tblPrEx>
        <w:trPr>
          <w:trHeight w:val="267" w:hRule="atLeast"/>
        </w:trPr>
        <w:tc>
          <w:tcPr>
            <w:tcW w:w="220" w:type="pct"/>
            <w:vMerge w:val="continue"/>
            <w:tcBorders>
              <w:top w:val="nil"/>
              <w:left w:val="single" w:color="auto" w:sz="4" w:space="0"/>
              <w:bottom w:val="single" w:color="000000" w:sz="4" w:space="0"/>
              <w:right w:val="single" w:color="auto" w:sz="4" w:space="0"/>
            </w:tcBorders>
            <w:vAlign w:val="center"/>
          </w:tcPr>
          <w:p>
            <w:pPr>
              <w:widowControl/>
              <w:adjustRightInd/>
              <w:spacing w:line="240" w:lineRule="auto"/>
              <w:jc w:val="left"/>
              <w:rPr>
                <w:rFonts w:ascii="宋体" w:hAnsi="宋体" w:cs="宋体"/>
                <w:kern w:val="0"/>
                <w:sz w:val="20"/>
                <w:szCs w:val="20"/>
              </w:rPr>
            </w:pPr>
          </w:p>
        </w:tc>
        <w:tc>
          <w:tcPr>
            <w:tcW w:w="5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等效阻尼比</w:t>
            </w:r>
          </w:p>
        </w:tc>
        <w:tc>
          <w:tcPr>
            <w:tcW w:w="18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heq</w:t>
            </w:r>
          </w:p>
        </w:tc>
        <w:tc>
          <w:tcPr>
            <w:tcW w:w="272"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w:t>
            </w:r>
          </w:p>
        </w:tc>
        <w:tc>
          <w:tcPr>
            <w:tcW w:w="293" w:type="pct"/>
            <w:tcBorders>
              <w:top w:val="nil"/>
              <w:left w:val="single" w:color="auto" w:sz="4" w:space="0"/>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12.2</w:t>
            </w:r>
          </w:p>
        </w:tc>
        <w:tc>
          <w:tcPr>
            <w:tcW w:w="304" w:type="pct"/>
            <w:tcBorders>
              <w:top w:val="nil"/>
              <w:left w:val="nil"/>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11.9</w:t>
            </w:r>
          </w:p>
        </w:tc>
        <w:tc>
          <w:tcPr>
            <w:tcW w:w="304" w:type="pct"/>
            <w:tcBorders>
              <w:top w:val="nil"/>
              <w:left w:val="nil"/>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12.7</w:t>
            </w:r>
          </w:p>
        </w:tc>
        <w:tc>
          <w:tcPr>
            <w:tcW w:w="304" w:type="pct"/>
            <w:tcBorders>
              <w:top w:val="nil"/>
              <w:left w:val="nil"/>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12.4</w:t>
            </w:r>
          </w:p>
        </w:tc>
        <w:tc>
          <w:tcPr>
            <w:tcW w:w="304" w:type="pct"/>
            <w:tcBorders>
              <w:top w:val="nil"/>
              <w:left w:val="nil"/>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12.2</w:t>
            </w:r>
          </w:p>
        </w:tc>
        <w:tc>
          <w:tcPr>
            <w:tcW w:w="304" w:type="pct"/>
            <w:tcBorders>
              <w:top w:val="nil"/>
              <w:left w:val="nil"/>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w:t>
            </w:r>
          </w:p>
        </w:tc>
        <w:tc>
          <w:tcPr>
            <w:tcW w:w="332" w:type="pct"/>
            <w:tcBorders>
              <w:top w:val="nil"/>
              <w:left w:val="nil"/>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12.5</w:t>
            </w:r>
          </w:p>
        </w:tc>
        <w:tc>
          <w:tcPr>
            <w:tcW w:w="332" w:type="pct"/>
            <w:tcBorders>
              <w:top w:val="nil"/>
              <w:left w:val="nil"/>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12.3</w:t>
            </w:r>
          </w:p>
        </w:tc>
        <w:tc>
          <w:tcPr>
            <w:tcW w:w="332" w:type="pct"/>
            <w:tcBorders>
              <w:top w:val="nil"/>
              <w:left w:val="nil"/>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12.7</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13</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12.8</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13.1</w:t>
            </w:r>
          </w:p>
        </w:tc>
      </w:tr>
      <w:tr>
        <w:tblPrEx>
          <w:tblCellMar>
            <w:top w:w="0" w:type="dxa"/>
            <w:left w:w="108" w:type="dxa"/>
            <w:bottom w:w="0" w:type="dxa"/>
            <w:right w:w="108" w:type="dxa"/>
          </w:tblCellMar>
        </w:tblPrEx>
        <w:trPr>
          <w:trHeight w:val="267" w:hRule="atLeast"/>
        </w:trPr>
        <w:tc>
          <w:tcPr>
            <w:tcW w:w="749" w:type="pct"/>
            <w:gridSpan w:val="2"/>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橡胶层总厚度</w:t>
            </w:r>
          </w:p>
        </w:tc>
        <w:tc>
          <w:tcPr>
            <w:tcW w:w="18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Tr</w:t>
            </w:r>
          </w:p>
        </w:tc>
        <w:tc>
          <w:tcPr>
            <w:tcW w:w="272"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mm</w:t>
            </w:r>
          </w:p>
        </w:tc>
        <w:tc>
          <w:tcPr>
            <w:tcW w:w="293"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76</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95</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114</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133</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152</w:t>
            </w:r>
          </w:p>
        </w:tc>
        <w:tc>
          <w:tcPr>
            <w:tcW w:w="30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171</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190</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209 </w:t>
            </w:r>
          </w:p>
        </w:tc>
        <w:tc>
          <w:tcPr>
            <w:tcW w:w="33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228 </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240</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240</w:t>
            </w:r>
          </w:p>
        </w:tc>
        <w:tc>
          <w:tcPr>
            <w:tcW w:w="32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240</w:t>
            </w:r>
          </w:p>
        </w:tc>
      </w:tr>
    </w:tbl>
    <w:p>
      <w:pPr>
        <w:pStyle w:val="58"/>
        <w:ind w:firstLine="420"/>
      </w:pPr>
    </w:p>
    <w:p>
      <w:pPr>
        <w:adjustRightInd/>
        <w:spacing w:line="240" w:lineRule="auto"/>
        <w:jc w:val="center"/>
        <w:rPr>
          <w:rFonts w:ascii="宋体" w:hAnsi="Times New Roman"/>
          <w:kern w:val="0"/>
          <w:szCs w:val="20"/>
        </w:rPr>
      </w:pPr>
      <w:r>
        <w:rPr>
          <w:rFonts w:hint="eastAsia" w:ascii="宋体" w:hAnsi="Times New Roman"/>
          <w:kern w:val="0"/>
          <w:szCs w:val="20"/>
        </w:rPr>
        <w:t>天然橡胶支座力学性能参数表（</w:t>
      </w:r>
      <w:r>
        <w:rPr>
          <w:rFonts w:ascii="宋体" w:hAnsi="Times New Roman"/>
          <w:kern w:val="0"/>
          <w:szCs w:val="20"/>
        </w:rPr>
        <w:t>G=0.4</w:t>
      </w:r>
      <w:r>
        <w:rPr>
          <w:rFonts w:hint="eastAsia" w:ascii="宋体" w:hAnsi="Times New Roman"/>
          <w:kern w:val="0"/>
          <w:szCs w:val="20"/>
        </w:rPr>
        <w:t>）</w:t>
      </w:r>
    </w:p>
    <w:tbl>
      <w:tblPr>
        <w:tblStyle w:val="27"/>
        <w:tblW w:w="5000" w:type="pct"/>
        <w:tblInd w:w="0" w:type="dxa"/>
        <w:tblLayout w:type="autofit"/>
        <w:tblCellMar>
          <w:top w:w="0" w:type="dxa"/>
          <w:left w:w="108" w:type="dxa"/>
          <w:bottom w:w="0" w:type="dxa"/>
          <w:right w:w="108" w:type="dxa"/>
        </w:tblCellMar>
      </w:tblPr>
      <w:tblGrid>
        <w:gridCol w:w="1874"/>
        <w:gridCol w:w="629"/>
        <w:gridCol w:w="716"/>
        <w:gridCol w:w="857"/>
        <w:gridCol w:w="857"/>
        <w:gridCol w:w="857"/>
        <w:gridCol w:w="857"/>
        <w:gridCol w:w="857"/>
        <w:gridCol w:w="857"/>
        <w:gridCol w:w="950"/>
        <w:gridCol w:w="950"/>
        <w:gridCol w:w="950"/>
        <w:gridCol w:w="950"/>
        <w:gridCol w:w="950"/>
        <w:gridCol w:w="938"/>
      </w:tblGrid>
      <w:tr>
        <w:tblPrEx>
          <w:tblCellMar>
            <w:top w:w="0" w:type="dxa"/>
            <w:left w:w="108" w:type="dxa"/>
            <w:bottom w:w="0" w:type="dxa"/>
            <w:right w:w="108" w:type="dxa"/>
          </w:tblCellMar>
        </w:tblPrEx>
        <w:trPr>
          <w:trHeight w:val="256" w:hRule="atLeast"/>
        </w:trPr>
        <w:tc>
          <w:tcPr>
            <w:tcW w:w="668"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设计参数</w:t>
            </w:r>
          </w:p>
        </w:tc>
        <w:tc>
          <w:tcPr>
            <w:tcW w:w="225"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代号</w:t>
            </w:r>
          </w:p>
        </w:tc>
        <w:tc>
          <w:tcPr>
            <w:tcW w:w="241"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单位</w:t>
            </w:r>
          </w:p>
        </w:tc>
        <w:tc>
          <w:tcPr>
            <w:tcW w:w="3866" w:type="pct"/>
            <w:gridSpan w:val="12"/>
            <w:tcBorders>
              <w:top w:val="single" w:color="auto" w:sz="4" w:space="0"/>
              <w:left w:val="nil"/>
              <w:bottom w:val="single" w:color="auto" w:sz="4" w:space="0"/>
              <w:right w:val="single" w:color="000000" w:sz="4" w:space="0"/>
            </w:tcBorders>
            <w:noWrap/>
            <w:vAlign w:val="center"/>
          </w:tcPr>
          <w:p>
            <w:pPr>
              <w:widowControl/>
              <w:adjustRightInd/>
              <w:spacing w:line="240" w:lineRule="auto"/>
              <w:jc w:val="center"/>
              <w:rPr>
                <w:rFonts w:ascii="宋体" w:hAnsi="宋体" w:cs="宋体"/>
                <w:bCs/>
                <w:kern w:val="0"/>
                <w:sz w:val="20"/>
                <w:szCs w:val="20"/>
              </w:rPr>
            </w:pPr>
            <w:r>
              <w:rPr>
                <w:rFonts w:ascii="宋体" w:hAnsi="宋体" w:cs="宋体"/>
                <w:bCs/>
                <w:kern w:val="0"/>
                <w:sz w:val="20"/>
                <w:szCs w:val="20"/>
              </w:rPr>
              <w:t>G4</w:t>
            </w:r>
          </w:p>
        </w:tc>
      </w:tr>
      <w:tr>
        <w:tblPrEx>
          <w:tblCellMar>
            <w:top w:w="0" w:type="dxa"/>
            <w:left w:w="108" w:type="dxa"/>
            <w:bottom w:w="0" w:type="dxa"/>
            <w:right w:w="108" w:type="dxa"/>
          </w:tblCellMar>
        </w:tblPrEx>
        <w:trPr>
          <w:trHeight w:val="256" w:hRule="atLeast"/>
        </w:trPr>
        <w:tc>
          <w:tcPr>
            <w:tcW w:w="66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left"/>
              <w:rPr>
                <w:rFonts w:ascii="宋体" w:hAnsi="宋体" w:cs="宋体"/>
                <w:kern w:val="0"/>
                <w:sz w:val="20"/>
                <w:szCs w:val="20"/>
              </w:rPr>
            </w:pPr>
          </w:p>
        </w:tc>
        <w:tc>
          <w:tcPr>
            <w:tcW w:w="225"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left"/>
              <w:rPr>
                <w:rFonts w:ascii="宋体" w:hAnsi="宋体" w:cs="宋体"/>
                <w:kern w:val="0"/>
                <w:sz w:val="20"/>
                <w:szCs w:val="20"/>
              </w:rPr>
            </w:pPr>
          </w:p>
        </w:tc>
        <w:tc>
          <w:tcPr>
            <w:tcW w:w="241"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left"/>
              <w:rPr>
                <w:rFonts w:ascii="宋体" w:hAnsi="宋体" w:cs="宋体"/>
                <w:kern w:val="0"/>
                <w:sz w:val="20"/>
                <w:szCs w:val="20"/>
              </w:rPr>
            </w:pP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LNR400</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LNR500</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LNR600</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LNR700</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LNR800</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LNR900</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LNR1000</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LNR1100</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LNR1200</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LNR1300</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LNR1400</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LNR1500</w:t>
            </w:r>
          </w:p>
        </w:tc>
      </w:tr>
      <w:tr>
        <w:tblPrEx>
          <w:tblCellMar>
            <w:top w:w="0" w:type="dxa"/>
            <w:left w:w="108" w:type="dxa"/>
            <w:bottom w:w="0" w:type="dxa"/>
            <w:right w:w="108" w:type="dxa"/>
          </w:tblCellMar>
        </w:tblPrEx>
        <w:trPr>
          <w:trHeight w:val="256" w:hRule="atLeast"/>
        </w:trPr>
        <w:tc>
          <w:tcPr>
            <w:tcW w:w="668" w:type="pct"/>
            <w:tcBorders>
              <w:top w:val="nil"/>
              <w:left w:val="single" w:color="auto" w:sz="4" w:space="0"/>
              <w:bottom w:val="single" w:color="auto" w:sz="4" w:space="0"/>
              <w:right w:val="single" w:color="000000"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有效直径</w:t>
            </w:r>
          </w:p>
        </w:tc>
        <w:tc>
          <w:tcPr>
            <w:tcW w:w="22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d</w:t>
            </w:r>
          </w:p>
        </w:tc>
        <w:tc>
          <w:tcPr>
            <w:tcW w:w="241"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mm</w:t>
            </w:r>
          </w:p>
        </w:tc>
        <w:tc>
          <w:tcPr>
            <w:tcW w:w="306"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400</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600</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700</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800</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900</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1000</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1100</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1200</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1300</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1400</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1500</w:t>
            </w:r>
          </w:p>
        </w:tc>
      </w:tr>
      <w:tr>
        <w:tblPrEx>
          <w:tblCellMar>
            <w:top w:w="0" w:type="dxa"/>
            <w:left w:w="108" w:type="dxa"/>
            <w:bottom w:w="0" w:type="dxa"/>
            <w:right w:w="108" w:type="dxa"/>
          </w:tblCellMar>
        </w:tblPrEx>
        <w:trPr>
          <w:trHeight w:val="256" w:hRule="atLeast"/>
        </w:trPr>
        <w:tc>
          <w:tcPr>
            <w:tcW w:w="668" w:type="pc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竖向压缩刚度</w:t>
            </w:r>
            <w:r>
              <w:rPr>
                <w:rFonts w:ascii="宋体" w:hAnsi="宋体" w:cs="宋体"/>
                <w:kern w:val="0"/>
                <w:sz w:val="20"/>
                <w:szCs w:val="20"/>
              </w:rPr>
              <w:t xml:space="preserve"> </w:t>
            </w:r>
          </w:p>
        </w:tc>
        <w:tc>
          <w:tcPr>
            <w:tcW w:w="22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Kv</w:t>
            </w:r>
          </w:p>
        </w:tc>
        <w:tc>
          <w:tcPr>
            <w:tcW w:w="241"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KN/mm</w:t>
            </w:r>
          </w:p>
        </w:tc>
        <w:tc>
          <w:tcPr>
            <w:tcW w:w="306"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1250</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1550</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2300</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2650</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3350</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4300</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5200</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5850</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6400</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6550</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7980</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9550</w:t>
            </w:r>
          </w:p>
        </w:tc>
      </w:tr>
      <w:tr>
        <w:tblPrEx>
          <w:tblCellMar>
            <w:top w:w="0" w:type="dxa"/>
            <w:left w:w="108" w:type="dxa"/>
            <w:bottom w:w="0" w:type="dxa"/>
            <w:right w:w="108" w:type="dxa"/>
          </w:tblCellMar>
        </w:tblPrEx>
        <w:trPr>
          <w:trHeight w:val="256" w:hRule="atLeast"/>
        </w:trPr>
        <w:tc>
          <w:tcPr>
            <w:tcW w:w="668" w:type="pc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水平等效刚度</w:t>
            </w:r>
          </w:p>
        </w:tc>
        <w:tc>
          <w:tcPr>
            <w:tcW w:w="22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Kh</w:t>
            </w:r>
          </w:p>
        </w:tc>
        <w:tc>
          <w:tcPr>
            <w:tcW w:w="24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KN/m</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0.665 </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0.822 </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0.985 </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1.154 </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1.324 </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1.488 </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1.651 </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1.815 </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1.982 </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2.117</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2.456</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2.819</w:t>
            </w:r>
          </w:p>
        </w:tc>
      </w:tr>
      <w:tr>
        <w:tblPrEx>
          <w:tblCellMar>
            <w:top w:w="0" w:type="dxa"/>
            <w:left w:w="108" w:type="dxa"/>
            <w:bottom w:w="0" w:type="dxa"/>
            <w:right w:w="108" w:type="dxa"/>
          </w:tblCellMar>
        </w:tblPrEx>
        <w:trPr>
          <w:trHeight w:val="256" w:hRule="atLeast"/>
        </w:trPr>
        <w:tc>
          <w:tcPr>
            <w:tcW w:w="668" w:type="pc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内部橡胶总厚度</w:t>
            </w:r>
          </w:p>
        </w:tc>
        <w:tc>
          <w:tcPr>
            <w:tcW w:w="22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Tr</w:t>
            </w:r>
          </w:p>
        </w:tc>
        <w:tc>
          <w:tcPr>
            <w:tcW w:w="241"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mm</w:t>
            </w:r>
          </w:p>
        </w:tc>
        <w:tc>
          <w:tcPr>
            <w:tcW w:w="306"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76</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95</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114</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133</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152</w:t>
            </w:r>
          </w:p>
        </w:tc>
        <w:tc>
          <w:tcPr>
            <w:tcW w:w="306"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171</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190</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209 </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 xml:space="preserve">228 </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240</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240</w:t>
            </w:r>
          </w:p>
        </w:tc>
        <w:tc>
          <w:tcPr>
            <w:tcW w:w="3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240</w:t>
            </w:r>
          </w:p>
        </w:tc>
      </w:tr>
    </w:tbl>
    <w:p>
      <w:pPr>
        <w:pStyle w:val="58"/>
        <w:ind w:firstLine="420"/>
      </w:pPr>
    </w:p>
    <w:p>
      <w:pPr>
        <w:widowControl/>
        <w:adjustRightInd/>
        <w:spacing w:line="240" w:lineRule="auto"/>
        <w:jc w:val="left"/>
        <w:rPr>
          <w:rFonts w:ascii="宋体" w:hAnsi="Times New Roman"/>
          <w:kern w:val="0"/>
          <w:szCs w:val="20"/>
        </w:rPr>
      </w:pPr>
      <w:r>
        <w:br w:type="page"/>
      </w:r>
    </w:p>
    <w:p>
      <w:pPr>
        <w:adjustRightInd/>
        <w:spacing w:line="240" w:lineRule="auto"/>
        <w:jc w:val="center"/>
        <w:rPr>
          <w:rFonts w:ascii="等线" w:hAnsi="等线" w:eastAsia="等线"/>
          <w:szCs w:val="22"/>
        </w:rPr>
      </w:pPr>
      <w:r>
        <w:rPr>
          <w:rFonts w:hint="eastAsia" w:ascii="等线" w:hAnsi="等线" w:eastAsia="等线"/>
          <w:szCs w:val="22"/>
        </w:rPr>
        <w:t>铅芯橡胶支座力学性能参数表（</w:t>
      </w:r>
      <w:r>
        <w:rPr>
          <w:rFonts w:ascii="等线" w:hAnsi="等线" w:eastAsia="等线"/>
          <w:szCs w:val="22"/>
        </w:rPr>
        <w:t>G=0.5</w:t>
      </w:r>
      <w:r>
        <w:rPr>
          <w:rFonts w:hint="eastAsia" w:ascii="等线" w:hAnsi="等线" w:eastAsia="等线"/>
          <w:szCs w:val="22"/>
        </w:rPr>
        <w:t>）</w:t>
      </w:r>
    </w:p>
    <w:tbl>
      <w:tblPr>
        <w:tblStyle w:val="27"/>
        <w:tblpPr w:leftFromText="180" w:rightFromText="180" w:vertAnchor="text" w:horzAnchor="margin" w:tblpY="69"/>
        <w:tblW w:w="5000" w:type="pct"/>
        <w:tblInd w:w="0" w:type="dxa"/>
        <w:tblLayout w:type="autofit"/>
        <w:tblCellMar>
          <w:top w:w="0" w:type="dxa"/>
          <w:left w:w="108" w:type="dxa"/>
          <w:bottom w:w="0" w:type="dxa"/>
          <w:right w:w="108" w:type="dxa"/>
        </w:tblCellMar>
      </w:tblPr>
      <w:tblGrid>
        <w:gridCol w:w="626"/>
        <w:gridCol w:w="1438"/>
        <w:gridCol w:w="627"/>
        <w:gridCol w:w="728"/>
        <w:gridCol w:w="829"/>
        <w:gridCol w:w="829"/>
        <w:gridCol w:w="829"/>
        <w:gridCol w:w="829"/>
        <w:gridCol w:w="829"/>
        <w:gridCol w:w="843"/>
        <w:gridCol w:w="930"/>
        <w:gridCol w:w="930"/>
        <w:gridCol w:w="930"/>
        <w:gridCol w:w="981"/>
        <w:gridCol w:w="930"/>
        <w:gridCol w:w="941"/>
      </w:tblGrid>
      <w:tr>
        <w:tblPrEx>
          <w:tblCellMar>
            <w:top w:w="0" w:type="dxa"/>
            <w:left w:w="108" w:type="dxa"/>
            <w:bottom w:w="0" w:type="dxa"/>
            <w:right w:w="108" w:type="dxa"/>
          </w:tblCellMar>
        </w:tblPrEx>
        <w:trPr>
          <w:trHeight w:val="233" w:hRule="atLeast"/>
        </w:trPr>
        <w:tc>
          <w:tcPr>
            <w:tcW w:w="735" w:type="pct"/>
            <w:gridSpan w:val="2"/>
            <w:vMerge w:val="restart"/>
            <w:tcBorders>
              <w:top w:val="single" w:color="auto" w:sz="4" w:space="0"/>
              <w:left w:val="single" w:color="auto" w:sz="4" w:space="0"/>
              <w:bottom w:val="single" w:color="000000" w:sz="4" w:space="0"/>
              <w:right w:val="single" w:color="000000"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设计参数</w:t>
            </w:r>
          </w:p>
        </w:tc>
        <w:tc>
          <w:tcPr>
            <w:tcW w:w="223" w:type="pct"/>
            <w:vMerge w:val="restart"/>
            <w:tcBorders>
              <w:top w:val="single" w:color="auto" w:sz="4" w:space="0"/>
              <w:left w:val="single" w:color="auto" w:sz="4" w:space="0"/>
              <w:bottom w:val="single" w:color="000000"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代号</w:t>
            </w:r>
          </w:p>
        </w:tc>
        <w:tc>
          <w:tcPr>
            <w:tcW w:w="259"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单位</w:t>
            </w:r>
          </w:p>
        </w:tc>
        <w:tc>
          <w:tcPr>
            <w:tcW w:w="3783" w:type="pct"/>
            <w:gridSpan w:val="12"/>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bCs/>
                <w:kern w:val="0"/>
                <w:sz w:val="20"/>
                <w:szCs w:val="20"/>
              </w:rPr>
            </w:pPr>
            <w:r>
              <w:rPr>
                <w:rFonts w:ascii="宋体" w:hAnsi="宋体" w:cs="宋体"/>
                <w:bCs/>
                <w:kern w:val="0"/>
                <w:sz w:val="20"/>
                <w:szCs w:val="20"/>
              </w:rPr>
              <w:t>G5</w:t>
            </w:r>
          </w:p>
        </w:tc>
      </w:tr>
      <w:tr>
        <w:tblPrEx>
          <w:tblCellMar>
            <w:top w:w="0" w:type="dxa"/>
            <w:left w:w="108" w:type="dxa"/>
            <w:bottom w:w="0" w:type="dxa"/>
            <w:right w:w="108" w:type="dxa"/>
          </w:tblCellMar>
        </w:tblPrEx>
        <w:trPr>
          <w:trHeight w:val="233" w:hRule="atLeast"/>
        </w:trPr>
        <w:tc>
          <w:tcPr>
            <w:tcW w:w="735" w:type="pct"/>
            <w:gridSpan w:val="2"/>
            <w:vMerge w:val="continue"/>
            <w:tcBorders>
              <w:top w:val="single" w:color="auto" w:sz="4" w:space="0"/>
              <w:left w:val="single" w:color="auto" w:sz="4" w:space="0"/>
              <w:bottom w:val="single" w:color="000000" w:sz="4" w:space="0"/>
              <w:right w:val="single" w:color="000000" w:sz="4" w:space="0"/>
            </w:tcBorders>
            <w:vAlign w:val="center"/>
          </w:tcPr>
          <w:p>
            <w:pPr>
              <w:widowControl/>
              <w:adjustRightInd/>
              <w:spacing w:line="240" w:lineRule="auto"/>
              <w:jc w:val="left"/>
              <w:rPr>
                <w:rFonts w:ascii="宋体" w:hAnsi="宋体" w:cs="宋体"/>
                <w:kern w:val="0"/>
                <w:sz w:val="20"/>
                <w:szCs w:val="20"/>
              </w:rPr>
            </w:pPr>
          </w:p>
        </w:tc>
        <w:tc>
          <w:tcPr>
            <w:tcW w:w="223" w:type="pct"/>
            <w:vMerge w:val="continue"/>
            <w:tcBorders>
              <w:top w:val="single" w:color="auto" w:sz="4" w:space="0"/>
              <w:left w:val="single" w:color="auto" w:sz="4" w:space="0"/>
              <w:bottom w:val="single" w:color="000000" w:sz="4" w:space="0"/>
              <w:right w:val="single" w:color="auto" w:sz="4" w:space="0"/>
            </w:tcBorders>
            <w:vAlign w:val="center"/>
          </w:tcPr>
          <w:p>
            <w:pPr>
              <w:widowControl/>
              <w:adjustRightInd/>
              <w:spacing w:line="240" w:lineRule="auto"/>
              <w:jc w:val="left"/>
              <w:rPr>
                <w:rFonts w:ascii="宋体" w:hAnsi="宋体" w:cs="宋体"/>
                <w:kern w:val="0"/>
                <w:sz w:val="20"/>
                <w:szCs w:val="20"/>
              </w:rPr>
            </w:pPr>
          </w:p>
        </w:tc>
        <w:tc>
          <w:tcPr>
            <w:tcW w:w="259"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left"/>
              <w:rPr>
                <w:rFonts w:ascii="宋体" w:hAnsi="宋体" w:cs="宋体"/>
                <w:kern w:val="0"/>
                <w:sz w:val="20"/>
                <w:szCs w:val="20"/>
              </w:rPr>
            </w:pP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LRB400</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LRB500</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LRB600</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LRB700</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LRB800</w:t>
            </w:r>
          </w:p>
        </w:tc>
        <w:tc>
          <w:tcPr>
            <w:tcW w:w="30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LRB900</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LRB1000</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LRB1100</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LRB1200</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LRB1300</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LRB1400</w:t>
            </w:r>
          </w:p>
        </w:tc>
        <w:tc>
          <w:tcPr>
            <w:tcW w:w="33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LRB1500</w:t>
            </w:r>
          </w:p>
        </w:tc>
      </w:tr>
      <w:tr>
        <w:tblPrEx>
          <w:tblCellMar>
            <w:top w:w="0" w:type="dxa"/>
            <w:left w:w="108" w:type="dxa"/>
            <w:bottom w:w="0" w:type="dxa"/>
            <w:right w:w="108" w:type="dxa"/>
          </w:tblCellMar>
        </w:tblPrEx>
        <w:trPr>
          <w:trHeight w:val="233" w:hRule="atLeast"/>
        </w:trPr>
        <w:tc>
          <w:tcPr>
            <w:tcW w:w="735" w:type="pct"/>
            <w:gridSpan w:val="2"/>
            <w:tcBorders>
              <w:top w:val="nil"/>
              <w:left w:val="single" w:color="auto" w:sz="4" w:space="0"/>
              <w:bottom w:val="single" w:color="auto" w:sz="4" w:space="0"/>
              <w:right w:val="single" w:color="000000"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有效直径</w:t>
            </w:r>
          </w:p>
        </w:tc>
        <w:tc>
          <w:tcPr>
            <w:tcW w:w="223"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d</w:t>
            </w:r>
          </w:p>
        </w:tc>
        <w:tc>
          <w:tcPr>
            <w:tcW w:w="259"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mm</w:t>
            </w:r>
          </w:p>
        </w:tc>
        <w:tc>
          <w:tcPr>
            <w:tcW w:w="295"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400</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600</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700</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800</w:t>
            </w:r>
          </w:p>
        </w:tc>
        <w:tc>
          <w:tcPr>
            <w:tcW w:w="30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900</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1000</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1100</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1200</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1300</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1400</w:t>
            </w:r>
          </w:p>
        </w:tc>
        <w:tc>
          <w:tcPr>
            <w:tcW w:w="33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1500</w:t>
            </w:r>
          </w:p>
        </w:tc>
      </w:tr>
      <w:tr>
        <w:tblPrEx>
          <w:tblCellMar>
            <w:top w:w="0" w:type="dxa"/>
            <w:left w:w="108" w:type="dxa"/>
            <w:bottom w:w="0" w:type="dxa"/>
            <w:right w:w="108" w:type="dxa"/>
          </w:tblCellMar>
        </w:tblPrEx>
        <w:trPr>
          <w:trHeight w:val="233" w:hRule="atLeast"/>
        </w:trPr>
        <w:tc>
          <w:tcPr>
            <w:tcW w:w="735" w:type="pct"/>
            <w:gridSpan w:val="2"/>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竖向压缩刚度</w:t>
            </w:r>
            <w:r>
              <w:rPr>
                <w:rFonts w:ascii="宋体" w:hAnsi="宋体" w:cs="宋体"/>
                <w:kern w:val="0"/>
                <w:sz w:val="20"/>
                <w:szCs w:val="20"/>
              </w:rPr>
              <w:t xml:space="preserve"> </w:t>
            </w:r>
          </w:p>
        </w:tc>
        <w:tc>
          <w:tcPr>
            <w:tcW w:w="223"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Kv</w:t>
            </w:r>
          </w:p>
        </w:tc>
        <w:tc>
          <w:tcPr>
            <w:tcW w:w="259"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KN/mm</w:t>
            </w:r>
          </w:p>
        </w:tc>
        <w:tc>
          <w:tcPr>
            <w:tcW w:w="295"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1460</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1720</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2650</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3100</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3920</w:t>
            </w:r>
          </w:p>
        </w:tc>
        <w:tc>
          <w:tcPr>
            <w:tcW w:w="30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4900</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5750</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6450</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7150</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7300</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8800</w:t>
            </w:r>
          </w:p>
        </w:tc>
        <w:tc>
          <w:tcPr>
            <w:tcW w:w="33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9900</w:t>
            </w:r>
          </w:p>
        </w:tc>
      </w:tr>
      <w:tr>
        <w:tblPrEx>
          <w:tblCellMar>
            <w:top w:w="0" w:type="dxa"/>
            <w:left w:w="108" w:type="dxa"/>
            <w:bottom w:w="0" w:type="dxa"/>
            <w:right w:w="108" w:type="dxa"/>
          </w:tblCellMar>
        </w:tblPrEx>
        <w:trPr>
          <w:trHeight w:val="233" w:hRule="atLeast"/>
        </w:trPr>
        <w:tc>
          <w:tcPr>
            <w:tcW w:w="223" w:type="pct"/>
            <w:vMerge w:val="restart"/>
            <w:tcBorders>
              <w:top w:val="nil"/>
              <w:left w:val="single" w:color="auto" w:sz="4" w:space="0"/>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γ</w:t>
            </w:r>
            <w:r>
              <w:rPr>
                <w:rFonts w:ascii="宋体" w:hAnsi="宋体" w:cs="宋体"/>
                <w:kern w:val="0"/>
                <w:sz w:val="20"/>
                <w:szCs w:val="20"/>
              </w:rPr>
              <w:t>100%</w:t>
            </w:r>
          </w:p>
        </w:tc>
        <w:tc>
          <w:tcPr>
            <w:tcW w:w="51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屈服力</w:t>
            </w:r>
          </w:p>
        </w:tc>
        <w:tc>
          <w:tcPr>
            <w:tcW w:w="223"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Qd</w:t>
            </w:r>
          </w:p>
        </w:tc>
        <w:tc>
          <w:tcPr>
            <w:tcW w:w="259"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KN</w:t>
            </w:r>
          </w:p>
        </w:tc>
        <w:tc>
          <w:tcPr>
            <w:tcW w:w="295"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42</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65</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94</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128</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167</w:t>
            </w:r>
          </w:p>
        </w:tc>
        <w:tc>
          <w:tcPr>
            <w:tcW w:w="30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211</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261</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315</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375</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440</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511</w:t>
            </w:r>
          </w:p>
        </w:tc>
        <w:tc>
          <w:tcPr>
            <w:tcW w:w="33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586</w:t>
            </w:r>
          </w:p>
        </w:tc>
      </w:tr>
      <w:tr>
        <w:tblPrEx>
          <w:tblCellMar>
            <w:top w:w="0" w:type="dxa"/>
            <w:left w:w="108" w:type="dxa"/>
            <w:bottom w:w="0" w:type="dxa"/>
            <w:right w:w="108" w:type="dxa"/>
          </w:tblCellMar>
        </w:tblPrEx>
        <w:trPr>
          <w:trHeight w:val="233" w:hRule="atLeast"/>
        </w:trPr>
        <w:tc>
          <w:tcPr>
            <w:tcW w:w="223"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left"/>
              <w:rPr>
                <w:rFonts w:ascii="宋体" w:hAnsi="宋体" w:cs="宋体"/>
                <w:kern w:val="0"/>
                <w:sz w:val="20"/>
                <w:szCs w:val="20"/>
              </w:rPr>
            </w:pPr>
          </w:p>
        </w:tc>
        <w:tc>
          <w:tcPr>
            <w:tcW w:w="51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屈服后刚度</w:t>
            </w:r>
          </w:p>
        </w:tc>
        <w:tc>
          <w:tcPr>
            <w:tcW w:w="223"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K2</w:t>
            </w:r>
          </w:p>
        </w:tc>
        <w:tc>
          <w:tcPr>
            <w:tcW w:w="259"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KN/mm</w:t>
            </w:r>
          </w:p>
        </w:tc>
        <w:tc>
          <w:tcPr>
            <w:tcW w:w="295"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0.835</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1.044</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1.253</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1.461</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1.67</w:t>
            </w:r>
          </w:p>
        </w:tc>
        <w:tc>
          <w:tcPr>
            <w:tcW w:w="30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1.879</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2.088</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2.296</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2.505</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2.793</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3.239</w:t>
            </w:r>
          </w:p>
        </w:tc>
        <w:tc>
          <w:tcPr>
            <w:tcW w:w="33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3.718</w:t>
            </w:r>
          </w:p>
        </w:tc>
      </w:tr>
      <w:tr>
        <w:tblPrEx>
          <w:tblCellMar>
            <w:top w:w="0" w:type="dxa"/>
            <w:left w:w="108" w:type="dxa"/>
            <w:bottom w:w="0" w:type="dxa"/>
            <w:right w:w="108" w:type="dxa"/>
          </w:tblCellMar>
        </w:tblPrEx>
        <w:trPr>
          <w:trHeight w:val="233" w:hRule="atLeast"/>
        </w:trPr>
        <w:tc>
          <w:tcPr>
            <w:tcW w:w="223"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left"/>
              <w:rPr>
                <w:rFonts w:ascii="宋体" w:hAnsi="宋体" w:cs="宋体"/>
                <w:kern w:val="0"/>
                <w:sz w:val="20"/>
                <w:szCs w:val="20"/>
              </w:rPr>
            </w:pPr>
          </w:p>
        </w:tc>
        <w:tc>
          <w:tcPr>
            <w:tcW w:w="51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水平等效刚度</w:t>
            </w:r>
          </w:p>
        </w:tc>
        <w:tc>
          <w:tcPr>
            <w:tcW w:w="223"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Kh</w:t>
            </w:r>
          </w:p>
        </w:tc>
        <w:tc>
          <w:tcPr>
            <w:tcW w:w="259"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KN/mm</w:t>
            </w:r>
          </w:p>
        </w:tc>
        <w:tc>
          <w:tcPr>
            <w:tcW w:w="295"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1.315</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1.643</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1.972</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2.3</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2.629</w:t>
            </w:r>
          </w:p>
        </w:tc>
        <w:tc>
          <w:tcPr>
            <w:tcW w:w="30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2.958</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3.286</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3.615</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3.944</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4.397</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5.099</w:t>
            </w:r>
          </w:p>
        </w:tc>
        <w:tc>
          <w:tcPr>
            <w:tcW w:w="33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5.854</w:t>
            </w:r>
          </w:p>
        </w:tc>
      </w:tr>
      <w:tr>
        <w:tblPrEx>
          <w:tblCellMar>
            <w:top w:w="0" w:type="dxa"/>
            <w:left w:w="108" w:type="dxa"/>
            <w:bottom w:w="0" w:type="dxa"/>
            <w:right w:w="108" w:type="dxa"/>
          </w:tblCellMar>
        </w:tblPrEx>
        <w:trPr>
          <w:trHeight w:val="233" w:hRule="atLeast"/>
        </w:trPr>
        <w:tc>
          <w:tcPr>
            <w:tcW w:w="223"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left"/>
              <w:rPr>
                <w:rFonts w:ascii="宋体" w:hAnsi="宋体" w:cs="宋体"/>
                <w:kern w:val="0"/>
                <w:sz w:val="20"/>
                <w:szCs w:val="20"/>
              </w:rPr>
            </w:pPr>
          </w:p>
        </w:tc>
        <w:tc>
          <w:tcPr>
            <w:tcW w:w="51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等效阻尼比</w:t>
            </w:r>
          </w:p>
        </w:tc>
        <w:tc>
          <w:tcPr>
            <w:tcW w:w="223"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heq</w:t>
            </w:r>
          </w:p>
        </w:tc>
        <w:tc>
          <w:tcPr>
            <w:tcW w:w="259"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w:t>
            </w:r>
          </w:p>
        </w:tc>
        <w:tc>
          <w:tcPr>
            <w:tcW w:w="295"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w:t>
            </w:r>
          </w:p>
        </w:tc>
        <w:tc>
          <w:tcPr>
            <w:tcW w:w="30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w:t>
            </w:r>
          </w:p>
        </w:tc>
        <w:tc>
          <w:tcPr>
            <w:tcW w:w="33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w:t>
            </w:r>
          </w:p>
        </w:tc>
      </w:tr>
      <w:tr>
        <w:tblPrEx>
          <w:tblCellMar>
            <w:top w:w="0" w:type="dxa"/>
            <w:left w:w="108" w:type="dxa"/>
            <w:bottom w:w="0" w:type="dxa"/>
            <w:right w:w="108" w:type="dxa"/>
          </w:tblCellMar>
        </w:tblPrEx>
        <w:trPr>
          <w:trHeight w:val="233" w:hRule="atLeast"/>
        </w:trPr>
        <w:tc>
          <w:tcPr>
            <w:tcW w:w="223" w:type="pct"/>
            <w:vMerge w:val="restart"/>
            <w:tcBorders>
              <w:top w:val="nil"/>
              <w:left w:val="single" w:color="auto" w:sz="4" w:space="0"/>
              <w:bottom w:val="single" w:color="000000"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γ</w:t>
            </w:r>
            <w:r>
              <w:rPr>
                <w:rFonts w:ascii="宋体" w:hAnsi="宋体" w:cs="宋体"/>
                <w:kern w:val="0"/>
                <w:sz w:val="20"/>
                <w:szCs w:val="20"/>
              </w:rPr>
              <w:t>250%</w:t>
            </w:r>
          </w:p>
        </w:tc>
        <w:tc>
          <w:tcPr>
            <w:tcW w:w="51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水平等效刚度</w:t>
            </w:r>
          </w:p>
        </w:tc>
        <w:tc>
          <w:tcPr>
            <w:tcW w:w="223"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Kh</w:t>
            </w:r>
          </w:p>
        </w:tc>
        <w:tc>
          <w:tcPr>
            <w:tcW w:w="259"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KN/mm</w:t>
            </w:r>
          </w:p>
        </w:tc>
        <w:tc>
          <w:tcPr>
            <w:tcW w:w="295"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0.938</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1.17</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1.405</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1.639</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1.873</w:t>
            </w:r>
          </w:p>
        </w:tc>
        <w:tc>
          <w:tcPr>
            <w:tcW w:w="30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2.107</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2.342</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2.574</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2.809</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3.131</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3.632</w:t>
            </w:r>
          </w:p>
        </w:tc>
        <w:tc>
          <w:tcPr>
            <w:tcW w:w="33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4.169</w:t>
            </w:r>
          </w:p>
        </w:tc>
      </w:tr>
      <w:tr>
        <w:tblPrEx>
          <w:tblCellMar>
            <w:top w:w="0" w:type="dxa"/>
            <w:left w:w="108" w:type="dxa"/>
            <w:bottom w:w="0" w:type="dxa"/>
            <w:right w:w="108" w:type="dxa"/>
          </w:tblCellMar>
        </w:tblPrEx>
        <w:trPr>
          <w:trHeight w:val="233" w:hRule="atLeast"/>
        </w:trPr>
        <w:tc>
          <w:tcPr>
            <w:tcW w:w="223" w:type="pct"/>
            <w:vMerge w:val="continue"/>
            <w:tcBorders>
              <w:top w:val="nil"/>
              <w:left w:val="single" w:color="auto" w:sz="4" w:space="0"/>
              <w:bottom w:val="single" w:color="000000" w:sz="4" w:space="0"/>
              <w:right w:val="single" w:color="auto" w:sz="4" w:space="0"/>
            </w:tcBorders>
            <w:vAlign w:val="center"/>
          </w:tcPr>
          <w:p>
            <w:pPr>
              <w:widowControl/>
              <w:adjustRightInd/>
              <w:spacing w:line="240" w:lineRule="auto"/>
              <w:jc w:val="left"/>
              <w:rPr>
                <w:rFonts w:ascii="宋体" w:hAnsi="宋体" w:cs="宋体"/>
                <w:kern w:val="0"/>
                <w:sz w:val="20"/>
                <w:szCs w:val="20"/>
              </w:rPr>
            </w:pPr>
          </w:p>
        </w:tc>
        <w:tc>
          <w:tcPr>
            <w:tcW w:w="51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等效阻尼比</w:t>
            </w:r>
          </w:p>
        </w:tc>
        <w:tc>
          <w:tcPr>
            <w:tcW w:w="223"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heq</w:t>
            </w:r>
          </w:p>
        </w:tc>
        <w:tc>
          <w:tcPr>
            <w:tcW w:w="259"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w:t>
            </w:r>
          </w:p>
        </w:tc>
        <w:tc>
          <w:tcPr>
            <w:tcW w:w="295"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w:t>
            </w:r>
          </w:p>
        </w:tc>
        <w:tc>
          <w:tcPr>
            <w:tcW w:w="30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w:t>
            </w:r>
          </w:p>
        </w:tc>
        <w:tc>
          <w:tcPr>
            <w:tcW w:w="33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w:t>
            </w:r>
          </w:p>
        </w:tc>
      </w:tr>
      <w:tr>
        <w:tblPrEx>
          <w:tblCellMar>
            <w:top w:w="0" w:type="dxa"/>
            <w:left w:w="108" w:type="dxa"/>
            <w:bottom w:w="0" w:type="dxa"/>
            <w:right w:w="108" w:type="dxa"/>
          </w:tblCellMar>
        </w:tblPrEx>
        <w:trPr>
          <w:trHeight w:val="233" w:hRule="atLeast"/>
        </w:trPr>
        <w:tc>
          <w:tcPr>
            <w:tcW w:w="735" w:type="pct"/>
            <w:gridSpan w:val="2"/>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橡胶层总厚度</w:t>
            </w:r>
          </w:p>
        </w:tc>
        <w:tc>
          <w:tcPr>
            <w:tcW w:w="223"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Tr</w:t>
            </w:r>
          </w:p>
        </w:tc>
        <w:tc>
          <w:tcPr>
            <w:tcW w:w="259"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mm</w:t>
            </w:r>
          </w:p>
        </w:tc>
        <w:tc>
          <w:tcPr>
            <w:tcW w:w="295"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76</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95</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114</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133</w:t>
            </w:r>
          </w:p>
        </w:tc>
        <w:tc>
          <w:tcPr>
            <w:tcW w:w="29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152</w:t>
            </w:r>
          </w:p>
        </w:tc>
        <w:tc>
          <w:tcPr>
            <w:tcW w:w="30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171</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190</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209</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228</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240</w:t>
            </w:r>
          </w:p>
        </w:tc>
        <w:tc>
          <w:tcPr>
            <w:tcW w:w="33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240</w:t>
            </w:r>
          </w:p>
        </w:tc>
        <w:tc>
          <w:tcPr>
            <w:tcW w:w="33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240</w:t>
            </w:r>
          </w:p>
        </w:tc>
      </w:tr>
    </w:tbl>
    <w:p>
      <w:pPr>
        <w:adjustRightInd/>
        <w:spacing w:line="240" w:lineRule="auto"/>
        <w:jc w:val="center"/>
        <w:rPr>
          <w:rFonts w:ascii="等线" w:hAnsi="等线" w:eastAsia="等线"/>
          <w:szCs w:val="22"/>
        </w:rPr>
      </w:pPr>
    </w:p>
    <w:p>
      <w:pPr>
        <w:adjustRightInd/>
        <w:spacing w:line="240" w:lineRule="auto"/>
        <w:jc w:val="center"/>
        <w:rPr>
          <w:rFonts w:ascii="等线" w:hAnsi="等线" w:eastAsia="等线"/>
          <w:szCs w:val="22"/>
        </w:rPr>
      </w:pPr>
      <w:r>
        <w:rPr>
          <w:rFonts w:hint="eastAsia" w:ascii="等线" w:hAnsi="等线" w:eastAsia="等线"/>
        </w:rPr>
        <w:t>天然橡胶支座力学性能参数表（</w:t>
      </w:r>
      <w:r>
        <w:rPr>
          <w:rFonts w:ascii="等线" w:hAnsi="等线" w:eastAsia="等线"/>
        </w:rPr>
        <w:t>G=0.5</w:t>
      </w:r>
      <w:r>
        <w:rPr>
          <w:rFonts w:hint="eastAsia" w:ascii="等线" w:hAnsi="等线" w:eastAsia="等线"/>
        </w:rPr>
        <w:t>）</w:t>
      </w:r>
    </w:p>
    <w:tbl>
      <w:tblPr>
        <w:tblStyle w:val="27"/>
        <w:tblW w:w="5000" w:type="pct"/>
        <w:tblInd w:w="0" w:type="dxa"/>
        <w:tblLayout w:type="autofit"/>
        <w:tblCellMar>
          <w:top w:w="0" w:type="dxa"/>
          <w:left w:w="108" w:type="dxa"/>
          <w:bottom w:w="0" w:type="dxa"/>
          <w:right w:w="108" w:type="dxa"/>
        </w:tblCellMar>
      </w:tblPr>
      <w:tblGrid>
        <w:gridCol w:w="1704"/>
        <w:gridCol w:w="616"/>
        <w:gridCol w:w="716"/>
        <w:gridCol w:w="869"/>
        <w:gridCol w:w="869"/>
        <w:gridCol w:w="869"/>
        <w:gridCol w:w="869"/>
        <w:gridCol w:w="869"/>
        <w:gridCol w:w="870"/>
        <w:gridCol w:w="966"/>
        <w:gridCol w:w="966"/>
        <w:gridCol w:w="966"/>
        <w:gridCol w:w="966"/>
        <w:gridCol w:w="966"/>
        <w:gridCol w:w="968"/>
      </w:tblGrid>
      <w:tr>
        <w:tblPrEx>
          <w:tblCellMar>
            <w:top w:w="0" w:type="dxa"/>
            <w:left w:w="108" w:type="dxa"/>
            <w:bottom w:w="0" w:type="dxa"/>
            <w:right w:w="108" w:type="dxa"/>
          </w:tblCellMar>
        </w:tblPrEx>
        <w:trPr>
          <w:trHeight w:val="343" w:hRule="atLeast"/>
        </w:trPr>
        <w:tc>
          <w:tcPr>
            <w:tcW w:w="612"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设计参数</w:t>
            </w:r>
          </w:p>
        </w:tc>
        <w:tc>
          <w:tcPr>
            <w:tcW w:w="164"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代号</w:t>
            </w:r>
          </w:p>
        </w:tc>
        <w:tc>
          <w:tcPr>
            <w:tcW w:w="239"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单位</w:t>
            </w:r>
          </w:p>
        </w:tc>
        <w:tc>
          <w:tcPr>
            <w:tcW w:w="3984" w:type="pct"/>
            <w:gridSpan w:val="12"/>
            <w:tcBorders>
              <w:top w:val="single" w:color="auto" w:sz="4" w:space="0"/>
              <w:left w:val="nil"/>
              <w:bottom w:val="single" w:color="auto" w:sz="4" w:space="0"/>
              <w:right w:val="single" w:color="000000" w:sz="4" w:space="0"/>
            </w:tcBorders>
            <w:noWrap/>
            <w:vAlign w:val="center"/>
          </w:tcPr>
          <w:p>
            <w:pPr>
              <w:widowControl/>
              <w:adjustRightInd/>
              <w:spacing w:line="240" w:lineRule="auto"/>
              <w:jc w:val="center"/>
              <w:rPr>
                <w:rFonts w:ascii="宋体" w:hAnsi="宋体" w:cs="宋体"/>
                <w:bCs/>
                <w:kern w:val="0"/>
                <w:sz w:val="20"/>
                <w:szCs w:val="20"/>
              </w:rPr>
            </w:pPr>
            <w:r>
              <w:rPr>
                <w:rFonts w:ascii="宋体" w:hAnsi="宋体" w:cs="宋体"/>
                <w:bCs/>
                <w:kern w:val="0"/>
                <w:sz w:val="20"/>
                <w:szCs w:val="20"/>
              </w:rPr>
              <w:t>G5</w:t>
            </w:r>
          </w:p>
        </w:tc>
      </w:tr>
      <w:tr>
        <w:tblPrEx>
          <w:tblCellMar>
            <w:top w:w="0" w:type="dxa"/>
            <w:left w:w="108" w:type="dxa"/>
            <w:bottom w:w="0" w:type="dxa"/>
            <w:right w:w="108" w:type="dxa"/>
          </w:tblCellMar>
        </w:tblPrEx>
        <w:trPr>
          <w:trHeight w:val="343" w:hRule="atLeast"/>
        </w:trPr>
        <w:tc>
          <w:tcPr>
            <w:tcW w:w="61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left"/>
              <w:rPr>
                <w:rFonts w:ascii="宋体" w:hAnsi="宋体" w:cs="宋体"/>
                <w:kern w:val="0"/>
                <w:sz w:val="20"/>
                <w:szCs w:val="20"/>
              </w:rPr>
            </w:pPr>
          </w:p>
        </w:tc>
        <w:tc>
          <w:tcPr>
            <w:tcW w:w="164"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left"/>
              <w:rPr>
                <w:rFonts w:ascii="宋体" w:hAnsi="宋体" w:cs="宋体"/>
                <w:kern w:val="0"/>
                <w:sz w:val="20"/>
                <w:szCs w:val="20"/>
              </w:rPr>
            </w:pPr>
          </w:p>
        </w:tc>
        <w:tc>
          <w:tcPr>
            <w:tcW w:w="239"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left"/>
              <w:rPr>
                <w:rFonts w:ascii="宋体" w:hAnsi="宋体" w:cs="宋体"/>
                <w:kern w:val="0"/>
                <w:sz w:val="20"/>
                <w:szCs w:val="20"/>
              </w:rPr>
            </w:pP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LNR400</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LNR500</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LNR600</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LNR700</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LNR800</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LNR900</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LNR1000</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LNR1100</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LNR1200</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LNR1300</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LNR1400</w:t>
            </w:r>
          </w:p>
        </w:tc>
        <w:tc>
          <w:tcPr>
            <w:tcW w:w="3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LNR1500</w:t>
            </w:r>
          </w:p>
        </w:tc>
      </w:tr>
      <w:tr>
        <w:tblPrEx>
          <w:tblCellMar>
            <w:top w:w="0" w:type="dxa"/>
            <w:left w:w="108" w:type="dxa"/>
            <w:bottom w:w="0" w:type="dxa"/>
            <w:right w:w="108" w:type="dxa"/>
          </w:tblCellMar>
        </w:tblPrEx>
        <w:trPr>
          <w:trHeight w:val="343" w:hRule="atLeast"/>
        </w:trPr>
        <w:tc>
          <w:tcPr>
            <w:tcW w:w="612" w:type="pct"/>
            <w:tcBorders>
              <w:top w:val="nil"/>
              <w:left w:val="single" w:color="auto" w:sz="4" w:space="0"/>
              <w:bottom w:val="single" w:color="auto" w:sz="4" w:space="0"/>
              <w:right w:val="single" w:color="000000"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有效直径</w:t>
            </w:r>
          </w:p>
        </w:tc>
        <w:tc>
          <w:tcPr>
            <w:tcW w:w="16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d</w:t>
            </w:r>
          </w:p>
        </w:tc>
        <w:tc>
          <w:tcPr>
            <w:tcW w:w="239"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mm</w:t>
            </w:r>
          </w:p>
        </w:tc>
        <w:tc>
          <w:tcPr>
            <w:tcW w:w="315"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400</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600</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700</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800</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900</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1000</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1100</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1200</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1300</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1400</w:t>
            </w:r>
          </w:p>
        </w:tc>
        <w:tc>
          <w:tcPr>
            <w:tcW w:w="3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1500</w:t>
            </w:r>
          </w:p>
        </w:tc>
      </w:tr>
      <w:tr>
        <w:tblPrEx>
          <w:tblCellMar>
            <w:top w:w="0" w:type="dxa"/>
            <w:left w:w="108" w:type="dxa"/>
            <w:bottom w:w="0" w:type="dxa"/>
            <w:right w:w="108" w:type="dxa"/>
          </w:tblCellMar>
        </w:tblPrEx>
        <w:trPr>
          <w:trHeight w:val="343" w:hRule="atLeast"/>
        </w:trPr>
        <w:tc>
          <w:tcPr>
            <w:tcW w:w="612" w:type="pc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竖向压缩刚度</w:t>
            </w:r>
            <w:r>
              <w:rPr>
                <w:rFonts w:ascii="宋体" w:hAnsi="宋体" w:cs="宋体"/>
                <w:kern w:val="0"/>
                <w:sz w:val="20"/>
                <w:szCs w:val="20"/>
              </w:rPr>
              <w:t xml:space="preserve"> </w:t>
            </w:r>
          </w:p>
        </w:tc>
        <w:tc>
          <w:tcPr>
            <w:tcW w:w="16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Kv</w:t>
            </w:r>
          </w:p>
        </w:tc>
        <w:tc>
          <w:tcPr>
            <w:tcW w:w="239"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KN/mm</w:t>
            </w:r>
          </w:p>
        </w:tc>
        <w:tc>
          <w:tcPr>
            <w:tcW w:w="315"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1300</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1620</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2520</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2940</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3750</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4700</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5600</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6250</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6950</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7050</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8550</w:t>
            </w:r>
          </w:p>
        </w:tc>
        <w:tc>
          <w:tcPr>
            <w:tcW w:w="3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9650</w:t>
            </w:r>
          </w:p>
        </w:tc>
      </w:tr>
      <w:tr>
        <w:tblPrEx>
          <w:tblCellMar>
            <w:top w:w="0" w:type="dxa"/>
            <w:left w:w="108" w:type="dxa"/>
            <w:bottom w:w="0" w:type="dxa"/>
            <w:right w:w="108" w:type="dxa"/>
          </w:tblCellMar>
        </w:tblPrEx>
        <w:trPr>
          <w:trHeight w:val="343" w:hRule="atLeast"/>
        </w:trPr>
        <w:tc>
          <w:tcPr>
            <w:tcW w:w="612" w:type="pc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水平等效刚度</w:t>
            </w:r>
          </w:p>
        </w:tc>
        <w:tc>
          <w:tcPr>
            <w:tcW w:w="16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Kh</w:t>
            </w:r>
          </w:p>
        </w:tc>
        <w:tc>
          <w:tcPr>
            <w:tcW w:w="23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KN/m</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0.824</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1.03</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1.236</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1.442</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1.649</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1.855</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2.061</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2.267</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2.473</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2.757</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3.197</w:t>
            </w:r>
          </w:p>
        </w:tc>
        <w:tc>
          <w:tcPr>
            <w:tcW w:w="3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3.67</w:t>
            </w:r>
          </w:p>
        </w:tc>
      </w:tr>
      <w:tr>
        <w:tblPrEx>
          <w:tblCellMar>
            <w:top w:w="0" w:type="dxa"/>
            <w:left w:w="108" w:type="dxa"/>
            <w:bottom w:w="0" w:type="dxa"/>
            <w:right w:w="108" w:type="dxa"/>
          </w:tblCellMar>
        </w:tblPrEx>
        <w:trPr>
          <w:trHeight w:val="343" w:hRule="atLeast"/>
        </w:trPr>
        <w:tc>
          <w:tcPr>
            <w:tcW w:w="612" w:type="pc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橡胶层总厚度</w:t>
            </w:r>
          </w:p>
        </w:tc>
        <w:tc>
          <w:tcPr>
            <w:tcW w:w="164"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Tr</w:t>
            </w:r>
          </w:p>
        </w:tc>
        <w:tc>
          <w:tcPr>
            <w:tcW w:w="239" w:type="pct"/>
            <w:tcBorders>
              <w:top w:val="nil"/>
              <w:left w:val="nil"/>
              <w:bottom w:val="single" w:color="auto" w:sz="4" w:space="0"/>
              <w:right w:val="nil"/>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mm</w:t>
            </w:r>
          </w:p>
        </w:tc>
        <w:tc>
          <w:tcPr>
            <w:tcW w:w="315"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76</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95</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114</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133</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152</w:t>
            </w:r>
          </w:p>
        </w:tc>
        <w:tc>
          <w:tcPr>
            <w:tcW w:w="3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171</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190</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209</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228</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240</w:t>
            </w:r>
          </w:p>
        </w:tc>
        <w:tc>
          <w:tcPr>
            <w:tcW w:w="34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240</w:t>
            </w:r>
          </w:p>
        </w:tc>
        <w:tc>
          <w:tcPr>
            <w:tcW w:w="3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240</w:t>
            </w:r>
          </w:p>
        </w:tc>
      </w:tr>
    </w:tbl>
    <w:p>
      <w:pPr>
        <w:adjustRightInd/>
        <w:spacing w:line="240" w:lineRule="auto"/>
        <w:jc w:val="center"/>
        <w:rPr>
          <w:rFonts w:ascii="等线" w:hAnsi="等线" w:eastAsia="等线"/>
          <w:szCs w:val="22"/>
        </w:rPr>
      </w:pPr>
    </w:p>
    <w:p>
      <w:pPr>
        <w:widowControl/>
        <w:adjustRightInd/>
        <w:spacing w:line="240" w:lineRule="auto"/>
        <w:jc w:val="left"/>
        <w:rPr>
          <w:rFonts w:ascii="等线" w:hAnsi="等线" w:eastAsia="等线"/>
          <w:szCs w:val="22"/>
        </w:rPr>
      </w:pPr>
      <w:r>
        <w:rPr>
          <w:rFonts w:ascii="等线" w:hAnsi="等线" w:eastAsia="等线"/>
          <w:szCs w:val="22"/>
        </w:rPr>
        <w:br w:type="page"/>
      </w:r>
    </w:p>
    <w:p>
      <w:pPr>
        <w:adjustRightInd/>
        <w:spacing w:line="240" w:lineRule="auto"/>
        <w:jc w:val="center"/>
        <w:rPr>
          <w:rFonts w:ascii="等线" w:hAnsi="等线" w:eastAsia="等线"/>
          <w:szCs w:val="22"/>
        </w:rPr>
      </w:pPr>
      <w:r>
        <w:rPr>
          <w:rFonts w:hint="eastAsia" w:ascii="等线" w:hAnsi="等线" w:eastAsia="等线"/>
          <w:szCs w:val="22"/>
        </w:rPr>
        <w:t>防倾覆弹性滑板支座力学性能参数表</w:t>
      </w:r>
    </w:p>
    <w:tbl>
      <w:tblPr>
        <w:tblStyle w:val="27"/>
        <w:tblW w:w="5000" w:type="pct"/>
        <w:tblInd w:w="0" w:type="dxa"/>
        <w:tblLayout w:type="autofit"/>
        <w:tblCellMar>
          <w:top w:w="0" w:type="dxa"/>
          <w:left w:w="108" w:type="dxa"/>
          <w:bottom w:w="0" w:type="dxa"/>
          <w:right w:w="108" w:type="dxa"/>
        </w:tblCellMar>
      </w:tblPr>
      <w:tblGrid>
        <w:gridCol w:w="1505"/>
        <w:gridCol w:w="950"/>
        <w:gridCol w:w="627"/>
        <w:gridCol w:w="728"/>
        <w:gridCol w:w="1439"/>
        <w:gridCol w:w="1439"/>
        <w:gridCol w:w="1447"/>
        <w:gridCol w:w="1447"/>
        <w:gridCol w:w="1447"/>
        <w:gridCol w:w="1447"/>
        <w:gridCol w:w="1573"/>
      </w:tblGrid>
      <w:tr>
        <w:tblPrEx>
          <w:tblCellMar>
            <w:top w:w="0" w:type="dxa"/>
            <w:left w:w="108" w:type="dxa"/>
            <w:bottom w:w="0" w:type="dxa"/>
            <w:right w:w="108" w:type="dxa"/>
          </w:tblCellMar>
        </w:tblPrEx>
        <w:trPr>
          <w:trHeight w:val="397" w:hRule="atLeast"/>
        </w:trPr>
        <w:tc>
          <w:tcPr>
            <w:tcW w:w="874" w:type="pct"/>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项</w:t>
            </w:r>
            <w:r>
              <w:rPr>
                <w:rFonts w:ascii="宋体" w:hAnsi="宋体" w:cs="宋体"/>
                <w:kern w:val="0"/>
                <w:sz w:val="20"/>
                <w:szCs w:val="20"/>
              </w:rPr>
              <w:t xml:space="preserve">    </w:t>
            </w:r>
            <w:r>
              <w:rPr>
                <w:rFonts w:hint="eastAsia" w:ascii="宋体" w:hAnsi="宋体" w:cs="宋体"/>
                <w:kern w:val="0"/>
                <w:sz w:val="20"/>
                <w:szCs w:val="20"/>
              </w:rPr>
              <w:t>目</w:t>
            </w:r>
          </w:p>
        </w:tc>
        <w:tc>
          <w:tcPr>
            <w:tcW w:w="223"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符号</w:t>
            </w:r>
          </w:p>
        </w:tc>
        <w:tc>
          <w:tcPr>
            <w:tcW w:w="259"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单位</w:t>
            </w:r>
          </w:p>
        </w:tc>
        <w:tc>
          <w:tcPr>
            <w:tcW w:w="3644" w:type="pct"/>
            <w:gridSpan w:val="7"/>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型</w:t>
            </w:r>
            <w:r>
              <w:rPr>
                <w:rFonts w:ascii="宋体" w:hAnsi="宋体" w:cs="宋体"/>
                <w:kern w:val="0"/>
                <w:sz w:val="20"/>
                <w:szCs w:val="20"/>
              </w:rPr>
              <w:t xml:space="preserve">                    </w:t>
            </w:r>
            <w:r>
              <w:rPr>
                <w:rFonts w:hint="eastAsia" w:ascii="宋体" w:hAnsi="宋体" w:cs="宋体"/>
                <w:kern w:val="0"/>
                <w:sz w:val="20"/>
                <w:szCs w:val="20"/>
              </w:rPr>
              <w:t>号</w:t>
            </w:r>
          </w:p>
        </w:tc>
      </w:tr>
      <w:tr>
        <w:tblPrEx>
          <w:tblCellMar>
            <w:top w:w="0" w:type="dxa"/>
            <w:left w:w="108" w:type="dxa"/>
            <w:bottom w:w="0" w:type="dxa"/>
            <w:right w:w="108" w:type="dxa"/>
          </w:tblCellMar>
        </w:tblPrEx>
        <w:trPr>
          <w:trHeight w:val="397" w:hRule="atLeast"/>
        </w:trPr>
        <w:tc>
          <w:tcPr>
            <w:tcW w:w="874"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p>
        </w:tc>
        <w:tc>
          <w:tcPr>
            <w:tcW w:w="223"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p>
        </w:tc>
        <w:tc>
          <w:tcPr>
            <w:tcW w:w="259"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p>
        </w:tc>
        <w:tc>
          <w:tcPr>
            <w:tcW w:w="51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FQF(</w:t>
            </w:r>
            <w:r>
              <w:rPr>
                <w:rFonts w:hint="eastAsia" w:ascii="宋体" w:hAnsi="宋体" w:cs="宋体"/>
                <w:kern w:val="0"/>
                <w:sz w:val="20"/>
                <w:szCs w:val="20"/>
              </w:rPr>
              <w:t>Ⅱ</w:t>
            </w:r>
            <w:r>
              <w:rPr>
                <w:rFonts w:ascii="宋体" w:hAnsi="宋体" w:cs="宋体"/>
                <w:kern w:val="0"/>
                <w:sz w:val="20"/>
                <w:szCs w:val="20"/>
              </w:rPr>
              <w:t>)-D400</w:t>
            </w:r>
          </w:p>
        </w:tc>
        <w:tc>
          <w:tcPr>
            <w:tcW w:w="51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FQF(</w:t>
            </w:r>
            <w:r>
              <w:rPr>
                <w:rFonts w:hint="eastAsia" w:ascii="宋体" w:hAnsi="宋体" w:cs="宋体"/>
                <w:kern w:val="0"/>
                <w:sz w:val="20"/>
                <w:szCs w:val="20"/>
              </w:rPr>
              <w:t>Ⅱ</w:t>
            </w:r>
            <w:r>
              <w:rPr>
                <w:rFonts w:ascii="宋体" w:hAnsi="宋体" w:cs="宋体"/>
                <w:kern w:val="0"/>
                <w:sz w:val="20"/>
                <w:szCs w:val="20"/>
              </w:rPr>
              <w:t>)-D500</w:t>
            </w:r>
          </w:p>
        </w:tc>
        <w:tc>
          <w:tcPr>
            <w:tcW w:w="5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FQF(</w:t>
            </w:r>
            <w:r>
              <w:rPr>
                <w:rFonts w:hint="eastAsia" w:ascii="宋体" w:hAnsi="宋体" w:cs="宋体"/>
                <w:kern w:val="0"/>
                <w:sz w:val="20"/>
                <w:szCs w:val="20"/>
              </w:rPr>
              <w:t>Ⅱ</w:t>
            </w:r>
            <w:r>
              <w:rPr>
                <w:rFonts w:ascii="宋体" w:hAnsi="宋体" w:cs="宋体"/>
                <w:kern w:val="0"/>
                <w:sz w:val="20"/>
                <w:szCs w:val="20"/>
              </w:rPr>
              <w:t>)-D600</w:t>
            </w:r>
          </w:p>
        </w:tc>
        <w:tc>
          <w:tcPr>
            <w:tcW w:w="5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FQF(</w:t>
            </w:r>
            <w:r>
              <w:rPr>
                <w:rFonts w:hint="eastAsia" w:ascii="宋体" w:hAnsi="宋体" w:cs="宋体"/>
                <w:kern w:val="0"/>
                <w:sz w:val="20"/>
                <w:szCs w:val="20"/>
              </w:rPr>
              <w:t>Ⅱ</w:t>
            </w:r>
            <w:r>
              <w:rPr>
                <w:rFonts w:ascii="宋体" w:hAnsi="宋体" w:cs="宋体"/>
                <w:kern w:val="0"/>
                <w:sz w:val="20"/>
                <w:szCs w:val="20"/>
              </w:rPr>
              <w:t>)-D700</w:t>
            </w:r>
          </w:p>
        </w:tc>
        <w:tc>
          <w:tcPr>
            <w:tcW w:w="5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FQF(</w:t>
            </w:r>
            <w:r>
              <w:rPr>
                <w:rFonts w:hint="eastAsia" w:ascii="宋体" w:hAnsi="宋体" w:cs="宋体"/>
                <w:kern w:val="0"/>
                <w:sz w:val="20"/>
                <w:szCs w:val="20"/>
              </w:rPr>
              <w:t>Ⅱ</w:t>
            </w:r>
            <w:r>
              <w:rPr>
                <w:rFonts w:ascii="宋体" w:hAnsi="宋体" w:cs="宋体"/>
                <w:kern w:val="0"/>
                <w:sz w:val="20"/>
                <w:szCs w:val="20"/>
              </w:rPr>
              <w:t>)-D800</w:t>
            </w:r>
          </w:p>
        </w:tc>
        <w:tc>
          <w:tcPr>
            <w:tcW w:w="5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FQF(</w:t>
            </w:r>
            <w:r>
              <w:rPr>
                <w:rFonts w:hint="eastAsia" w:ascii="宋体" w:hAnsi="宋体" w:cs="宋体"/>
                <w:kern w:val="0"/>
                <w:sz w:val="20"/>
                <w:szCs w:val="20"/>
              </w:rPr>
              <w:t>Ⅱ</w:t>
            </w:r>
            <w:r>
              <w:rPr>
                <w:rFonts w:ascii="宋体" w:hAnsi="宋体" w:cs="宋体"/>
                <w:kern w:val="0"/>
                <w:sz w:val="20"/>
                <w:szCs w:val="20"/>
              </w:rPr>
              <w:t>)-D900</w:t>
            </w:r>
          </w:p>
        </w:tc>
        <w:tc>
          <w:tcPr>
            <w:tcW w:w="56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FQF(</w:t>
            </w:r>
            <w:r>
              <w:rPr>
                <w:rFonts w:hint="eastAsia" w:ascii="宋体" w:hAnsi="宋体" w:cs="宋体"/>
                <w:kern w:val="0"/>
                <w:sz w:val="20"/>
                <w:szCs w:val="20"/>
              </w:rPr>
              <w:t>Ⅱ</w:t>
            </w:r>
            <w:r>
              <w:rPr>
                <w:rFonts w:ascii="宋体" w:hAnsi="宋体" w:cs="宋体"/>
                <w:kern w:val="0"/>
                <w:sz w:val="20"/>
                <w:szCs w:val="20"/>
              </w:rPr>
              <w:t>)-D1000</w:t>
            </w:r>
          </w:p>
        </w:tc>
      </w:tr>
      <w:tr>
        <w:tblPrEx>
          <w:tblCellMar>
            <w:top w:w="0" w:type="dxa"/>
            <w:left w:w="108" w:type="dxa"/>
            <w:bottom w:w="0" w:type="dxa"/>
            <w:right w:w="108" w:type="dxa"/>
          </w:tblCellMar>
        </w:tblPrEx>
        <w:trPr>
          <w:trHeight w:val="397" w:hRule="atLeast"/>
        </w:trPr>
        <w:tc>
          <w:tcPr>
            <w:tcW w:w="874" w:type="pct"/>
            <w:gridSpan w:val="2"/>
            <w:tcBorders>
              <w:top w:val="single" w:color="auto" w:sz="4" w:space="0"/>
              <w:left w:val="single" w:color="auto" w:sz="4" w:space="0"/>
              <w:bottom w:val="single" w:color="000000" w:sz="4" w:space="0"/>
              <w:right w:val="nil"/>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设计压应力</w:t>
            </w:r>
          </w:p>
        </w:tc>
        <w:tc>
          <w:tcPr>
            <w:tcW w:w="223"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σ</w:t>
            </w:r>
          </w:p>
        </w:tc>
        <w:tc>
          <w:tcPr>
            <w:tcW w:w="25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N/mm2</w:t>
            </w:r>
          </w:p>
        </w:tc>
        <w:tc>
          <w:tcPr>
            <w:tcW w:w="51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w:t>
            </w:r>
          </w:p>
        </w:tc>
        <w:tc>
          <w:tcPr>
            <w:tcW w:w="51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w:t>
            </w:r>
          </w:p>
        </w:tc>
        <w:tc>
          <w:tcPr>
            <w:tcW w:w="5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w:t>
            </w:r>
          </w:p>
        </w:tc>
        <w:tc>
          <w:tcPr>
            <w:tcW w:w="5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w:t>
            </w:r>
          </w:p>
        </w:tc>
        <w:tc>
          <w:tcPr>
            <w:tcW w:w="5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w:t>
            </w:r>
          </w:p>
        </w:tc>
        <w:tc>
          <w:tcPr>
            <w:tcW w:w="5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20.00</w:t>
            </w:r>
          </w:p>
        </w:tc>
        <w:tc>
          <w:tcPr>
            <w:tcW w:w="56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w:t>
            </w:r>
          </w:p>
        </w:tc>
      </w:tr>
      <w:tr>
        <w:tblPrEx>
          <w:tblCellMar>
            <w:top w:w="0" w:type="dxa"/>
            <w:left w:w="108" w:type="dxa"/>
            <w:bottom w:w="0" w:type="dxa"/>
            <w:right w:w="108" w:type="dxa"/>
          </w:tblCellMar>
        </w:tblPrEx>
        <w:trPr>
          <w:trHeight w:val="397" w:hRule="atLeast"/>
        </w:trPr>
        <w:tc>
          <w:tcPr>
            <w:tcW w:w="536" w:type="pct"/>
            <w:tcBorders>
              <w:top w:val="nil"/>
              <w:left w:val="single" w:color="auto" w:sz="4" w:space="0"/>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设计承载力</w:t>
            </w:r>
          </w:p>
        </w:tc>
        <w:tc>
          <w:tcPr>
            <w:tcW w:w="338"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设计值</w:t>
            </w:r>
          </w:p>
        </w:tc>
        <w:tc>
          <w:tcPr>
            <w:tcW w:w="223"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Po</w:t>
            </w:r>
          </w:p>
        </w:tc>
        <w:tc>
          <w:tcPr>
            <w:tcW w:w="25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KN</w:t>
            </w:r>
          </w:p>
        </w:tc>
        <w:tc>
          <w:tcPr>
            <w:tcW w:w="51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2500</w:t>
            </w:r>
          </w:p>
        </w:tc>
        <w:tc>
          <w:tcPr>
            <w:tcW w:w="51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3900</w:t>
            </w:r>
          </w:p>
        </w:tc>
        <w:tc>
          <w:tcPr>
            <w:tcW w:w="5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5600</w:t>
            </w:r>
          </w:p>
        </w:tc>
        <w:tc>
          <w:tcPr>
            <w:tcW w:w="5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7700</w:t>
            </w:r>
          </w:p>
        </w:tc>
        <w:tc>
          <w:tcPr>
            <w:tcW w:w="5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10000</w:t>
            </w:r>
          </w:p>
        </w:tc>
        <w:tc>
          <w:tcPr>
            <w:tcW w:w="5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12700</w:t>
            </w:r>
          </w:p>
        </w:tc>
        <w:tc>
          <w:tcPr>
            <w:tcW w:w="56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15650</w:t>
            </w:r>
          </w:p>
        </w:tc>
      </w:tr>
      <w:tr>
        <w:tblPrEx>
          <w:tblCellMar>
            <w:top w:w="0" w:type="dxa"/>
            <w:left w:w="108" w:type="dxa"/>
            <w:bottom w:w="0" w:type="dxa"/>
            <w:right w:w="108" w:type="dxa"/>
          </w:tblCellMar>
        </w:tblPrEx>
        <w:trPr>
          <w:trHeight w:val="397" w:hRule="atLeast"/>
        </w:trPr>
        <w:tc>
          <w:tcPr>
            <w:tcW w:w="536" w:type="pct"/>
            <w:tcBorders>
              <w:top w:val="nil"/>
              <w:left w:val="single" w:color="auto" w:sz="4" w:space="0"/>
              <w:bottom w:val="single" w:color="auto" w:sz="4" w:space="0"/>
              <w:right w:val="single" w:color="auto" w:sz="4" w:space="0"/>
            </w:tcBorders>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设计拉力</w:t>
            </w:r>
          </w:p>
        </w:tc>
        <w:tc>
          <w:tcPr>
            <w:tcW w:w="338" w:type="pct"/>
            <w:tcBorders>
              <w:top w:val="nil"/>
              <w:left w:val="nil"/>
              <w:bottom w:val="nil"/>
              <w:right w:val="nil"/>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设计值</w:t>
            </w:r>
          </w:p>
        </w:tc>
        <w:tc>
          <w:tcPr>
            <w:tcW w:w="223"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T</w:t>
            </w:r>
          </w:p>
        </w:tc>
        <w:tc>
          <w:tcPr>
            <w:tcW w:w="25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KN</w:t>
            </w:r>
          </w:p>
        </w:tc>
        <w:tc>
          <w:tcPr>
            <w:tcW w:w="51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1000</w:t>
            </w:r>
          </w:p>
        </w:tc>
        <w:tc>
          <w:tcPr>
            <w:tcW w:w="51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1560</w:t>
            </w:r>
          </w:p>
        </w:tc>
        <w:tc>
          <w:tcPr>
            <w:tcW w:w="5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2240</w:t>
            </w:r>
          </w:p>
        </w:tc>
        <w:tc>
          <w:tcPr>
            <w:tcW w:w="5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3080</w:t>
            </w:r>
          </w:p>
        </w:tc>
        <w:tc>
          <w:tcPr>
            <w:tcW w:w="5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4000</w:t>
            </w:r>
          </w:p>
        </w:tc>
        <w:tc>
          <w:tcPr>
            <w:tcW w:w="515"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5080</w:t>
            </w:r>
          </w:p>
        </w:tc>
        <w:tc>
          <w:tcPr>
            <w:tcW w:w="56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6260</w:t>
            </w:r>
          </w:p>
        </w:tc>
      </w:tr>
      <w:tr>
        <w:tblPrEx>
          <w:tblCellMar>
            <w:top w:w="0" w:type="dxa"/>
            <w:left w:w="108" w:type="dxa"/>
            <w:bottom w:w="0" w:type="dxa"/>
            <w:right w:w="108" w:type="dxa"/>
          </w:tblCellMar>
        </w:tblPrEx>
        <w:trPr>
          <w:trHeight w:val="397" w:hRule="atLeast"/>
        </w:trPr>
        <w:tc>
          <w:tcPr>
            <w:tcW w:w="874" w:type="pct"/>
            <w:gridSpan w:val="2"/>
            <w:tcBorders>
              <w:top w:val="single" w:color="auto" w:sz="4" w:space="0"/>
              <w:left w:val="single" w:color="auto" w:sz="4" w:space="0"/>
              <w:bottom w:val="nil"/>
              <w:right w:val="nil"/>
            </w:tcBorders>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竖向压缩刚度</w:t>
            </w:r>
          </w:p>
        </w:tc>
        <w:tc>
          <w:tcPr>
            <w:tcW w:w="223"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Kv</w:t>
            </w:r>
          </w:p>
        </w:tc>
        <w:tc>
          <w:tcPr>
            <w:tcW w:w="25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KN/mm</w:t>
            </w:r>
          </w:p>
        </w:tc>
        <w:tc>
          <w:tcPr>
            <w:tcW w:w="512" w:type="pct"/>
            <w:tcBorders>
              <w:top w:val="nil"/>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1897</w:t>
            </w:r>
          </w:p>
        </w:tc>
        <w:tc>
          <w:tcPr>
            <w:tcW w:w="512" w:type="pct"/>
            <w:tcBorders>
              <w:top w:val="nil"/>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3868</w:t>
            </w:r>
          </w:p>
        </w:tc>
        <w:tc>
          <w:tcPr>
            <w:tcW w:w="515" w:type="pct"/>
            <w:tcBorders>
              <w:top w:val="nil"/>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4850</w:t>
            </w:r>
          </w:p>
        </w:tc>
        <w:tc>
          <w:tcPr>
            <w:tcW w:w="515" w:type="pct"/>
            <w:tcBorders>
              <w:top w:val="nil"/>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4355</w:t>
            </w:r>
          </w:p>
        </w:tc>
        <w:tc>
          <w:tcPr>
            <w:tcW w:w="515" w:type="pct"/>
            <w:tcBorders>
              <w:top w:val="nil"/>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5356</w:t>
            </w:r>
          </w:p>
        </w:tc>
        <w:tc>
          <w:tcPr>
            <w:tcW w:w="515" w:type="pct"/>
            <w:tcBorders>
              <w:top w:val="nil"/>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5435</w:t>
            </w:r>
          </w:p>
        </w:tc>
        <w:tc>
          <w:tcPr>
            <w:tcW w:w="560" w:type="pct"/>
            <w:tcBorders>
              <w:top w:val="nil"/>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7400</w:t>
            </w:r>
          </w:p>
        </w:tc>
      </w:tr>
      <w:tr>
        <w:tblPrEx>
          <w:tblCellMar>
            <w:top w:w="0" w:type="dxa"/>
            <w:left w:w="108" w:type="dxa"/>
            <w:bottom w:w="0" w:type="dxa"/>
            <w:right w:w="108" w:type="dxa"/>
          </w:tblCellMar>
        </w:tblPrEx>
        <w:trPr>
          <w:trHeight w:val="397" w:hRule="atLeast"/>
        </w:trPr>
        <w:tc>
          <w:tcPr>
            <w:tcW w:w="874" w:type="pct"/>
            <w:gridSpan w:val="2"/>
            <w:tcBorders>
              <w:top w:val="single" w:color="auto" w:sz="4" w:space="0"/>
              <w:left w:val="single" w:color="auto" w:sz="4" w:space="0"/>
              <w:bottom w:val="nil"/>
              <w:right w:val="nil"/>
            </w:tcBorders>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初始刚度</w:t>
            </w:r>
          </w:p>
        </w:tc>
        <w:tc>
          <w:tcPr>
            <w:tcW w:w="223"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K1</w:t>
            </w:r>
          </w:p>
        </w:tc>
        <w:tc>
          <w:tcPr>
            <w:tcW w:w="25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KN/mm</w:t>
            </w:r>
          </w:p>
        </w:tc>
        <w:tc>
          <w:tcPr>
            <w:tcW w:w="512" w:type="pct"/>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2.68</w:t>
            </w:r>
          </w:p>
        </w:tc>
        <w:tc>
          <w:tcPr>
            <w:tcW w:w="512" w:type="pct"/>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3.25</w:t>
            </w:r>
          </w:p>
        </w:tc>
        <w:tc>
          <w:tcPr>
            <w:tcW w:w="515" w:type="pct"/>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4.00</w:t>
            </w:r>
          </w:p>
        </w:tc>
        <w:tc>
          <w:tcPr>
            <w:tcW w:w="515" w:type="pct"/>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4.62</w:t>
            </w:r>
          </w:p>
        </w:tc>
        <w:tc>
          <w:tcPr>
            <w:tcW w:w="515" w:type="pct"/>
            <w:tcBorders>
              <w:top w:val="single" w:color="auto" w:sz="4" w:space="0"/>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5.26</w:t>
            </w:r>
          </w:p>
        </w:tc>
        <w:tc>
          <w:tcPr>
            <w:tcW w:w="515" w:type="pct"/>
            <w:tcBorders>
              <w:top w:val="single" w:color="auto" w:sz="4" w:space="0"/>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5.95</w:t>
            </w:r>
          </w:p>
        </w:tc>
        <w:tc>
          <w:tcPr>
            <w:tcW w:w="560" w:type="pct"/>
            <w:tcBorders>
              <w:top w:val="single" w:color="auto" w:sz="4" w:space="0"/>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6.61</w:t>
            </w:r>
          </w:p>
        </w:tc>
      </w:tr>
      <w:tr>
        <w:tblPrEx>
          <w:tblCellMar>
            <w:top w:w="0" w:type="dxa"/>
            <w:left w:w="108" w:type="dxa"/>
            <w:bottom w:w="0" w:type="dxa"/>
            <w:right w:w="108" w:type="dxa"/>
          </w:tblCellMar>
        </w:tblPrEx>
        <w:trPr>
          <w:trHeight w:val="397" w:hRule="atLeast"/>
        </w:trPr>
        <w:tc>
          <w:tcPr>
            <w:tcW w:w="874" w:type="pct"/>
            <w:gridSpan w:val="2"/>
            <w:tcBorders>
              <w:top w:val="single" w:color="auto" w:sz="4" w:space="0"/>
              <w:left w:val="single" w:color="auto" w:sz="4" w:space="0"/>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滑动摩擦系数（受压）≤</w:t>
            </w:r>
          </w:p>
        </w:tc>
        <w:tc>
          <w:tcPr>
            <w:tcW w:w="223"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Arial" w:hAnsi="Arial" w:cs="Arial"/>
                <w:kern w:val="0"/>
                <w:sz w:val="20"/>
                <w:szCs w:val="20"/>
              </w:rPr>
            </w:pPr>
            <w:r>
              <w:rPr>
                <w:rFonts w:ascii="Arial" w:hAnsi="Arial" w:cs="Arial"/>
                <w:kern w:val="0"/>
                <w:sz w:val="20"/>
                <w:szCs w:val="20"/>
              </w:rPr>
              <w:t>μ1</w:t>
            </w:r>
          </w:p>
        </w:tc>
        <w:tc>
          <w:tcPr>
            <w:tcW w:w="259" w:type="pct"/>
            <w:tcBorders>
              <w:top w:val="nil"/>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p>
        </w:tc>
        <w:tc>
          <w:tcPr>
            <w:tcW w:w="512" w:type="pct"/>
            <w:tcBorders>
              <w:top w:val="nil"/>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0.03</w:t>
            </w:r>
          </w:p>
        </w:tc>
        <w:tc>
          <w:tcPr>
            <w:tcW w:w="512" w:type="pct"/>
            <w:tcBorders>
              <w:top w:val="nil"/>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0.03</w:t>
            </w:r>
          </w:p>
        </w:tc>
        <w:tc>
          <w:tcPr>
            <w:tcW w:w="515" w:type="pct"/>
            <w:tcBorders>
              <w:top w:val="nil"/>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0.03</w:t>
            </w:r>
          </w:p>
        </w:tc>
        <w:tc>
          <w:tcPr>
            <w:tcW w:w="515" w:type="pct"/>
            <w:tcBorders>
              <w:top w:val="nil"/>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0.03</w:t>
            </w:r>
          </w:p>
        </w:tc>
        <w:tc>
          <w:tcPr>
            <w:tcW w:w="515" w:type="pct"/>
            <w:tcBorders>
              <w:top w:val="single" w:color="auto" w:sz="4" w:space="0"/>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0.03</w:t>
            </w:r>
          </w:p>
        </w:tc>
        <w:tc>
          <w:tcPr>
            <w:tcW w:w="515" w:type="pct"/>
            <w:tcBorders>
              <w:top w:val="single" w:color="auto" w:sz="4" w:space="0"/>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0.030</w:t>
            </w:r>
          </w:p>
        </w:tc>
        <w:tc>
          <w:tcPr>
            <w:tcW w:w="560" w:type="pct"/>
            <w:tcBorders>
              <w:top w:val="single" w:color="auto" w:sz="4" w:space="0"/>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0.03</w:t>
            </w:r>
          </w:p>
        </w:tc>
      </w:tr>
      <w:tr>
        <w:tblPrEx>
          <w:tblCellMar>
            <w:top w:w="0" w:type="dxa"/>
            <w:left w:w="108" w:type="dxa"/>
            <w:bottom w:w="0" w:type="dxa"/>
            <w:right w:w="108" w:type="dxa"/>
          </w:tblCellMar>
        </w:tblPrEx>
        <w:trPr>
          <w:trHeight w:val="397" w:hRule="atLeast"/>
        </w:trPr>
        <w:tc>
          <w:tcPr>
            <w:tcW w:w="874" w:type="pct"/>
            <w:gridSpan w:val="2"/>
            <w:tcBorders>
              <w:top w:val="single" w:color="auto" w:sz="4" w:space="0"/>
              <w:left w:val="single" w:color="auto" w:sz="4" w:space="0"/>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滑动摩擦系数（受拉）≤</w:t>
            </w:r>
          </w:p>
        </w:tc>
        <w:tc>
          <w:tcPr>
            <w:tcW w:w="223"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Arial" w:hAnsi="Arial" w:cs="Arial"/>
                <w:kern w:val="0"/>
                <w:sz w:val="20"/>
                <w:szCs w:val="20"/>
              </w:rPr>
            </w:pPr>
            <w:r>
              <w:rPr>
                <w:rFonts w:ascii="Arial" w:hAnsi="Arial" w:cs="Arial"/>
                <w:kern w:val="0"/>
                <w:sz w:val="20"/>
                <w:szCs w:val="20"/>
              </w:rPr>
              <w:t>μ2</w:t>
            </w:r>
          </w:p>
        </w:tc>
        <w:tc>
          <w:tcPr>
            <w:tcW w:w="259" w:type="pct"/>
            <w:tcBorders>
              <w:top w:val="single" w:color="auto" w:sz="4" w:space="0"/>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p>
        </w:tc>
        <w:tc>
          <w:tcPr>
            <w:tcW w:w="512" w:type="pct"/>
            <w:tcBorders>
              <w:top w:val="single" w:color="auto" w:sz="4" w:space="0"/>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0.12</w:t>
            </w:r>
          </w:p>
        </w:tc>
        <w:tc>
          <w:tcPr>
            <w:tcW w:w="512" w:type="pct"/>
            <w:tcBorders>
              <w:top w:val="single" w:color="auto" w:sz="4" w:space="0"/>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0.12</w:t>
            </w:r>
          </w:p>
        </w:tc>
        <w:tc>
          <w:tcPr>
            <w:tcW w:w="515" w:type="pct"/>
            <w:tcBorders>
              <w:top w:val="single" w:color="auto" w:sz="4" w:space="0"/>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0.12</w:t>
            </w:r>
          </w:p>
        </w:tc>
        <w:tc>
          <w:tcPr>
            <w:tcW w:w="515" w:type="pct"/>
            <w:tcBorders>
              <w:top w:val="single" w:color="auto" w:sz="4" w:space="0"/>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0.12</w:t>
            </w:r>
          </w:p>
        </w:tc>
        <w:tc>
          <w:tcPr>
            <w:tcW w:w="515" w:type="pct"/>
            <w:tcBorders>
              <w:top w:val="single" w:color="auto" w:sz="4" w:space="0"/>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0.12</w:t>
            </w:r>
          </w:p>
        </w:tc>
        <w:tc>
          <w:tcPr>
            <w:tcW w:w="515" w:type="pct"/>
            <w:tcBorders>
              <w:top w:val="single" w:color="auto" w:sz="4" w:space="0"/>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0.120</w:t>
            </w:r>
          </w:p>
        </w:tc>
        <w:tc>
          <w:tcPr>
            <w:tcW w:w="560" w:type="pct"/>
            <w:tcBorders>
              <w:top w:val="single" w:color="auto" w:sz="4" w:space="0"/>
              <w:left w:val="nil"/>
              <w:bottom w:val="nil"/>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0.12</w:t>
            </w:r>
          </w:p>
        </w:tc>
      </w:tr>
      <w:tr>
        <w:tblPrEx>
          <w:tblCellMar>
            <w:top w:w="0" w:type="dxa"/>
            <w:left w:w="108" w:type="dxa"/>
            <w:bottom w:w="0" w:type="dxa"/>
            <w:right w:w="108" w:type="dxa"/>
          </w:tblCellMar>
        </w:tblPrEx>
        <w:trPr>
          <w:trHeight w:val="397" w:hRule="atLeast"/>
        </w:trPr>
        <w:tc>
          <w:tcPr>
            <w:tcW w:w="874" w:type="pct"/>
            <w:gridSpan w:val="2"/>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设计位移</w:t>
            </w:r>
            <w:r>
              <w:rPr>
                <w:rFonts w:ascii="宋体" w:hAnsi="宋体" w:cs="宋体"/>
                <w:kern w:val="0"/>
                <w:sz w:val="20"/>
                <w:szCs w:val="20"/>
              </w:rPr>
              <w:t xml:space="preserve">  </w:t>
            </w:r>
            <w:r>
              <w:rPr>
                <w:rFonts w:hint="eastAsia" w:ascii="宋体" w:hAnsi="宋体" w:cs="宋体"/>
                <w:kern w:val="0"/>
                <w:sz w:val="20"/>
                <w:szCs w:val="20"/>
              </w:rPr>
              <w:t>±</w:t>
            </w:r>
          </w:p>
        </w:tc>
        <w:tc>
          <w:tcPr>
            <w:tcW w:w="223"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x</w:t>
            </w:r>
          </w:p>
        </w:tc>
        <w:tc>
          <w:tcPr>
            <w:tcW w:w="259" w:type="pct"/>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mm</w:t>
            </w:r>
          </w:p>
        </w:tc>
        <w:tc>
          <w:tcPr>
            <w:tcW w:w="512" w:type="pct"/>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400</w:t>
            </w:r>
          </w:p>
        </w:tc>
        <w:tc>
          <w:tcPr>
            <w:tcW w:w="512" w:type="pct"/>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400</w:t>
            </w:r>
          </w:p>
        </w:tc>
        <w:tc>
          <w:tcPr>
            <w:tcW w:w="515" w:type="pct"/>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450</w:t>
            </w:r>
          </w:p>
        </w:tc>
        <w:tc>
          <w:tcPr>
            <w:tcW w:w="515" w:type="pct"/>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w:t>
            </w:r>
          </w:p>
        </w:tc>
        <w:tc>
          <w:tcPr>
            <w:tcW w:w="515" w:type="pct"/>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450</w:t>
            </w:r>
          </w:p>
        </w:tc>
        <w:tc>
          <w:tcPr>
            <w:tcW w:w="515" w:type="pct"/>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w:t>
            </w:r>
          </w:p>
        </w:tc>
        <w:tc>
          <w:tcPr>
            <w:tcW w:w="560" w:type="pct"/>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550</w:t>
            </w:r>
          </w:p>
        </w:tc>
      </w:tr>
    </w:tbl>
    <w:p>
      <w:pPr>
        <w:adjustRightInd/>
        <w:spacing w:line="240" w:lineRule="auto"/>
        <w:rPr>
          <w:rFonts w:ascii="等线" w:hAnsi="等线" w:eastAsia="等线"/>
          <w:sz w:val="20"/>
          <w:szCs w:val="20"/>
        </w:rPr>
      </w:pPr>
      <w:r>
        <w:rPr>
          <w:rFonts w:hint="eastAsia" w:ascii="等线" w:hAnsi="等线" w:eastAsia="等线"/>
          <w:sz w:val="20"/>
          <w:szCs w:val="20"/>
        </w:rPr>
        <w:t>注：上述力学性能参数中的位移量可根据需要进行调整</w:t>
      </w:r>
    </w:p>
    <w:p>
      <w:pPr>
        <w:adjustRightInd/>
        <w:spacing w:line="240" w:lineRule="auto"/>
        <w:jc w:val="center"/>
        <w:rPr>
          <w:rFonts w:ascii="等线" w:hAnsi="等线" w:eastAsia="等线"/>
          <w:szCs w:val="22"/>
        </w:rPr>
      </w:pPr>
    </w:p>
    <w:p>
      <w:pPr>
        <w:adjustRightInd/>
        <w:spacing w:line="240" w:lineRule="auto"/>
        <w:jc w:val="center"/>
        <w:rPr>
          <w:rFonts w:ascii="等线" w:hAnsi="等线" w:eastAsia="等线"/>
          <w:szCs w:val="22"/>
        </w:rPr>
      </w:pPr>
      <w:r>
        <w:rPr>
          <w:rFonts w:hint="eastAsia" w:ascii="等线" w:hAnsi="等线" w:eastAsia="等线"/>
          <w:szCs w:val="22"/>
        </w:rPr>
        <w:t>双阶滑移滑板支座力学性能参数表</w:t>
      </w:r>
    </w:p>
    <w:tbl>
      <w:tblPr>
        <w:tblStyle w:val="27"/>
        <w:tblW w:w="5000" w:type="pct"/>
        <w:tblInd w:w="0" w:type="dxa"/>
        <w:tblLayout w:type="autofit"/>
        <w:tblCellMar>
          <w:top w:w="0" w:type="dxa"/>
          <w:left w:w="108" w:type="dxa"/>
          <w:bottom w:w="0" w:type="dxa"/>
          <w:right w:w="108" w:type="dxa"/>
        </w:tblCellMar>
      </w:tblPr>
      <w:tblGrid>
        <w:gridCol w:w="1682"/>
        <w:gridCol w:w="626"/>
        <w:gridCol w:w="727"/>
        <w:gridCol w:w="524"/>
        <w:gridCol w:w="524"/>
        <w:gridCol w:w="524"/>
        <w:gridCol w:w="525"/>
        <w:gridCol w:w="525"/>
        <w:gridCol w:w="525"/>
        <w:gridCol w:w="525"/>
        <w:gridCol w:w="525"/>
        <w:gridCol w:w="525"/>
        <w:gridCol w:w="525"/>
        <w:gridCol w:w="525"/>
        <w:gridCol w:w="525"/>
        <w:gridCol w:w="525"/>
        <w:gridCol w:w="525"/>
        <w:gridCol w:w="525"/>
        <w:gridCol w:w="525"/>
        <w:gridCol w:w="525"/>
        <w:gridCol w:w="525"/>
        <w:gridCol w:w="525"/>
        <w:gridCol w:w="525"/>
        <w:gridCol w:w="517"/>
      </w:tblGrid>
      <w:tr>
        <w:tblPrEx>
          <w:tblCellMar>
            <w:top w:w="0" w:type="dxa"/>
            <w:left w:w="108" w:type="dxa"/>
            <w:bottom w:w="0" w:type="dxa"/>
            <w:right w:w="108" w:type="dxa"/>
          </w:tblCellMar>
        </w:tblPrEx>
        <w:trPr>
          <w:trHeight w:val="264" w:hRule="atLeast"/>
        </w:trPr>
        <w:tc>
          <w:tcPr>
            <w:tcW w:w="599" w:type="pc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技术参数</w:t>
            </w:r>
          </w:p>
        </w:tc>
        <w:tc>
          <w:tcPr>
            <w:tcW w:w="223" w:type="pct"/>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代号</w:t>
            </w:r>
          </w:p>
        </w:tc>
        <w:tc>
          <w:tcPr>
            <w:tcW w:w="259" w:type="pct"/>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单位</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TS-ESB2500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TS-ESB4000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TS-ESB5600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TS-ESB7700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TS-ESB10000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TS-ESB12500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TS-ESB15000</w:t>
            </w:r>
          </w:p>
        </w:tc>
      </w:tr>
      <w:tr>
        <w:tblPrEx>
          <w:tblCellMar>
            <w:top w:w="0" w:type="dxa"/>
            <w:left w:w="108" w:type="dxa"/>
            <w:bottom w:w="0" w:type="dxa"/>
            <w:right w:w="108" w:type="dxa"/>
          </w:tblCellMar>
        </w:tblPrEx>
        <w:trPr>
          <w:trHeight w:val="264" w:hRule="atLeast"/>
        </w:trPr>
        <w:tc>
          <w:tcPr>
            <w:tcW w:w="599"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承载力</w:t>
            </w:r>
          </w:p>
        </w:tc>
        <w:tc>
          <w:tcPr>
            <w:tcW w:w="223"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P</w:t>
            </w:r>
          </w:p>
        </w:tc>
        <w:tc>
          <w:tcPr>
            <w:tcW w:w="25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KN</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5600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7700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12500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15000</w:t>
            </w:r>
          </w:p>
        </w:tc>
      </w:tr>
      <w:tr>
        <w:tblPrEx>
          <w:tblCellMar>
            <w:top w:w="0" w:type="dxa"/>
            <w:left w:w="108" w:type="dxa"/>
            <w:bottom w:w="0" w:type="dxa"/>
            <w:right w:w="108" w:type="dxa"/>
          </w:tblCellMar>
        </w:tblPrEx>
        <w:trPr>
          <w:trHeight w:val="264" w:hRule="atLeast"/>
        </w:trPr>
        <w:tc>
          <w:tcPr>
            <w:tcW w:w="599"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设计位移</w:t>
            </w:r>
            <w:r>
              <w:rPr>
                <w:rFonts w:ascii="宋体" w:hAnsi="宋体" w:cs="宋体"/>
                <w:kern w:val="0"/>
                <w:sz w:val="20"/>
                <w:szCs w:val="20"/>
              </w:rPr>
              <w:t xml:space="preserve">  </w:t>
            </w:r>
            <w:r>
              <w:rPr>
                <w:rFonts w:hint="eastAsia" w:ascii="宋体" w:hAnsi="宋体" w:cs="宋体"/>
                <w:kern w:val="0"/>
                <w:sz w:val="20"/>
                <w:szCs w:val="20"/>
              </w:rPr>
              <w:t>±</w:t>
            </w:r>
          </w:p>
        </w:tc>
        <w:tc>
          <w:tcPr>
            <w:tcW w:w="223"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X</w:t>
            </w:r>
          </w:p>
        </w:tc>
        <w:tc>
          <w:tcPr>
            <w:tcW w:w="25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mm</w:t>
            </w:r>
          </w:p>
        </w:tc>
        <w:tc>
          <w:tcPr>
            <w:tcW w:w="187"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350</w:t>
            </w:r>
          </w:p>
        </w:tc>
        <w:tc>
          <w:tcPr>
            <w:tcW w:w="187"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400</w:t>
            </w:r>
          </w:p>
        </w:tc>
        <w:tc>
          <w:tcPr>
            <w:tcW w:w="187"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450</w:t>
            </w:r>
          </w:p>
        </w:tc>
        <w:tc>
          <w:tcPr>
            <w:tcW w:w="187"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350</w:t>
            </w:r>
          </w:p>
        </w:tc>
        <w:tc>
          <w:tcPr>
            <w:tcW w:w="187"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400</w:t>
            </w:r>
          </w:p>
        </w:tc>
        <w:tc>
          <w:tcPr>
            <w:tcW w:w="187"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450</w:t>
            </w:r>
          </w:p>
        </w:tc>
        <w:tc>
          <w:tcPr>
            <w:tcW w:w="187"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400</w:t>
            </w:r>
          </w:p>
        </w:tc>
        <w:tc>
          <w:tcPr>
            <w:tcW w:w="187"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450</w:t>
            </w:r>
          </w:p>
        </w:tc>
        <w:tc>
          <w:tcPr>
            <w:tcW w:w="187"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w:t>
            </w:r>
          </w:p>
        </w:tc>
        <w:tc>
          <w:tcPr>
            <w:tcW w:w="187"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400</w:t>
            </w:r>
          </w:p>
        </w:tc>
        <w:tc>
          <w:tcPr>
            <w:tcW w:w="187"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450</w:t>
            </w:r>
          </w:p>
        </w:tc>
        <w:tc>
          <w:tcPr>
            <w:tcW w:w="187"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w:t>
            </w:r>
          </w:p>
        </w:tc>
        <w:tc>
          <w:tcPr>
            <w:tcW w:w="187"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400</w:t>
            </w:r>
          </w:p>
        </w:tc>
        <w:tc>
          <w:tcPr>
            <w:tcW w:w="187"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450</w:t>
            </w:r>
          </w:p>
        </w:tc>
        <w:tc>
          <w:tcPr>
            <w:tcW w:w="187"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w:t>
            </w:r>
          </w:p>
        </w:tc>
        <w:tc>
          <w:tcPr>
            <w:tcW w:w="187"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450</w:t>
            </w:r>
          </w:p>
        </w:tc>
        <w:tc>
          <w:tcPr>
            <w:tcW w:w="187"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w:t>
            </w:r>
          </w:p>
        </w:tc>
        <w:tc>
          <w:tcPr>
            <w:tcW w:w="187"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550</w:t>
            </w:r>
          </w:p>
        </w:tc>
        <w:tc>
          <w:tcPr>
            <w:tcW w:w="187"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450</w:t>
            </w:r>
          </w:p>
        </w:tc>
        <w:tc>
          <w:tcPr>
            <w:tcW w:w="187"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w:t>
            </w:r>
          </w:p>
        </w:tc>
        <w:tc>
          <w:tcPr>
            <w:tcW w:w="187"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550</w:t>
            </w:r>
          </w:p>
        </w:tc>
      </w:tr>
      <w:tr>
        <w:tblPrEx>
          <w:tblCellMar>
            <w:top w:w="0" w:type="dxa"/>
            <w:left w:w="108" w:type="dxa"/>
            <w:bottom w:w="0" w:type="dxa"/>
            <w:right w:w="108" w:type="dxa"/>
          </w:tblCellMar>
        </w:tblPrEx>
        <w:trPr>
          <w:trHeight w:val="264" w:hRule="atLeast"/>
        </w:trPr>
        <w:tc>
          <w:tcPr>
            <w:tcW w:w="599"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一阶位移</w:t>
            </w:r>
            <w:r>
              <w:rPr>
                <w:rFonts w:ascii="宋体" w:hAnsi="宋体" w:cs="宋体"/>
                <w:kern w:val="0"/>
                <w:sz w:val="20"/>
                <w:szCs w:val="20"/>
              </w:rPr>
              <w:t xml:space="preserve">  </w:t>
            </w:r>
            <w:r>
              <w:rPr>
                <w:rFonts w:hint="eastAsia" w:ascii="宋体" w:hAnsi="宋体" w:cs="宋体"/>
                <w:kern w:val="0"/>
                <w:sz w:val="20"/>
                <w:szCs w:val="20"/>
              </w:rPr>
              <w:t>±</w:t>
            </w:r>
          </w:p>
        </w:tc>
        <w:tc>
          <w:tcPr>
            <w:tcW w:w="223"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X1</w:t>
            </w:r>
          </w:p>
        </w:tc>
        <w:tc>
          <w:tcPr>
            <w:tcW w:w="25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mm</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225</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225</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225</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250</w:t>
            </w:r>
          </w:p>
        </w:tc>
      </w:tr>
      <w:tr>
        <w:tblPrEx>
          <w:tblCellMar>
            <w:top w:w="0" w:type="dxa"/>
            <w:left w:w="108" w:type="dxa"/>
            <w:bottom w:w="0" w:type="dxa"/>
            <w:right w:w="108" w:type="dxa"/>
          </w:tblCellMar>
        </w:tblPrEx>
        <w:trPr>
          <w:trHeight w:val="264" w:hRule="atLeast"/>
        </w:trPr>
        <w:tc>
          <w:tcPr>
            <w:tcW w:w="599"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竖向压缩刚度</w:t>
            </w:r>
          </w:p>
        </w:tc>
        <w:tc>
          <w:tcPr>
            <w:tcW w:w="223"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Kv</w:t>
            </w:r>
          </w:p>
        </w:tc>
        <w:tc>
          <w:tcPr>
            <w:tcW w:w="25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KN/mm</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2300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3950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4950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6050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7750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9300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11300</w:t>
            </w:r>
          </w:p>
        </w:tc>
      </w:tr>
      <w:tr>
        <w:tblPrEx>
          <w:tblCellMar>
            <w:top w:w="0" w:type="dxa"/>
            <w:left w:w="108" w:type="dxa"/>
            <w:bottom w:w="0" w:type="dxa"/>
            <w:right w:w="108" w:type="dxa"/>
          </w:tblCellMar>
        </w:tblPrEx>
        <w:trPr>
          <w:trHeight w:val="264" w:hRule="atLeast"/>
        </w:trPr>
        <w:tc>
          <w:tcPr>
            <w:tcW w:w="599"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屈服前刚度</w:t>
            </w:r>
          </w:p>
        </w:tc>
        <w:tc>
          <w:tcPr>
            <w:tcW w:w="223"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K1</w:t>
            </w:r>
          </w:p>
        </w:tc>
        <w:tc>
          <w:tcPr>
            <w:tcW w:w="25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KN/mm</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w:t>
            </w:r>
          </w:p>
        </w:tc>
      </w:tr>
      <w:tr>
        <w:tblPrEx>
          <w:tblCellMar>
            <w:top w:w="0" w:type="dxa"/>
            <w:left w:w="108" w:type="dxa"/>
            <w:bottom w:w="0" w:type="dxa"/>
            <w:right w:w="108" w:type="dxa"/>
          </w:tblCellMar>
        </w:tblPrEx>
        <w:trPr>
          <w:trHeight w:val="264" w:hRule="atLeast"/>
        </w:trPr>
        <w:tc>
          <w:tcPr>
            <w:tcW w:w="599"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一阶动摩擦系数</w:t>
            </w:r>
          </w:p>
        </w:tc>
        <w:tc>
          <w:tcPr>
            <w:tcW w:w="223"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Arial" w:hAnsi="Arial" w:cs="Arial"/>
                <w:kern w:val="0"/>
                <w:sz w:val="20"/>
                <w:szCs w:val="20"/>
              </w:rPr>
            </w:pPr>
            <w:r>
              <w:rPr>
                <w:rFonts w:ascii="Arial" w:hAnsi="Arial" w:cs="Arial"/>
                <w:kern w:val="0"/>
                <w:sz w:val="20"/>
                <w:szCs w:val="20"/>
              </w:rPr>
              <w:t>μ</w:t>
            </w:r>
            <w:r>
              <w:rPr>
                <w:rFonts w:ascii="宋体" w:hAnsi="宋体" w:cs="Arial"/>
                <w:kern w:val="0"/>
                <w:sz w:val="20"/>
                <w:szCs w:val="20"/>
              </w:rPr>
              <w:t>1</w:t>
            </w:r>
          </w:p>
        </w:tc>
        <w:tc>
          <w:tcPr>
            <w:tcW w:w="25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　</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64" w:hRule="atLeast"/>
        </w:trPr>
        <w:tc>
          <w:tcPr>
            <w:tcW w:w="599"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二阶动摩擦系数</w:t>
            </w:r>
          </w:p>
        </w:tc>
        <w:tc>
          <w:tcPr>
            <w:tcW w:w="223"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Arial" w:hAnsi="Arial" w:cs="Arial"/>
                <w:kern w:val="0"/>
                <w:sz w:val="20"/>
                <w:szCs w:val="20"/>
              </w:rPr>
            </w:pPr>
            <w:r>
              <w:rPr>
                <w:rFonts w:ascii="Arial" w:hAnsi="Arial" w:cs="Arial"/>
                <w:kern w:val="0"/>
                <w:sz w:val="20"/>
                <w:szCs w:val="20"/>
              </w:rPr>
              <w:t>μ2</w:t>
            </w:r>
          </w:p>
        </w:tc>
        <w:tc>
          <w:tcPr>
            <w:tcW w:w="25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　</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0.06</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0.06</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0.06</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0.06</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0.06</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0.06</w:t>
            </w:r>
          </w:p>
        </w:tc>
        <w:tc>
          <w:tcPr>
            <w:tcW w:w="560" w:type="pct"/>
            <w:gridSpan w:val="3"/>
            <w:tcBorders>
              <w:top w:val="single" w:color="auto" w:sz="4" w:space="0"/>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0.06</w:t>
            </w:r>
          </w:p>
        </w:tc>
      </w:tr>
    </w:tbl>
    <w:p>
      <w:pPr>
        <w:adjustRightInd/>
        <w:spacing w:line="240" w:lineRule="auto"/>
        <w:rPr>
          <w:rFonts w:ascii="等线" w:hAnsi="等线" w:eastAsia="等线"/>
          <w:szCs w:val="22"/>
        </w:rPr>
      </w:pPr>
      <w:r>
        <w:rPr>
          <w:rFonts w:hint="eastAsia" w:ascii="等线" w:hAnsi="等线" w:eastAsia="等线"/>
          <w:szCs w:val="22"/>
        </w:rPr>
        <w:t>注：上述力学性能参数中的位移量可根据需要进行调整</w:t>
      </w:r>
    </w:p>
    <w:p>
      <w:pPr>
        <w:adjustRightInd/>
        <w:spacing w:line="240" w:lineRule="auto"/>
        <w:jc w:val="center"/>
        <w:rPr>
          <w:rFonts w:ascii="等线" w:hAnsi="等线" w:eastAsia="等线"/>
          <w:szCs w:val="22"/>
        </w:rPr>
      </w:pPr>
    </w:p>
    <w:p>
      <w:pPr>
        <w:adjustRightInd/>
        <w:spacing w:line="240" w:lineRule="auto"/>
        <w:jc w:val="center"/>
        <w:rPr>
          <w:rFonts w:ascii="等线" w:hAnsi="等线" w:eastAsia="等线"/>
          <w:szCs w:val="22"/>
        </w:rPr>
      </w:pPr>
      <w:r>
        <w:rPr>
          <w:rFonts w:hint="eastAsia" w:ascii="等线" w:hAnsi="等线" w:eastAsia="等线"/>
        </w:rPr>
        <w:t>建筑摩擦摆隔震支座力学性能参数表</w:t>
      </w:r>
    </w:p>
    <w:tbl>
      <w:tblPr>
        <w:tblStyle w:val="27"/>
        <w:tblW w:w="5000" w:type="pct"/>
        <w:tblInd w:w="0" w:type="dxa"/>
        <w:tblLayout w:type="autofit"/>
        <w:tblCellMar>
          <w:top w:w="0" w:type="dxa"/>
          <w:left w:w="108" w:type="dxa"/>
          <w:bottom w:w="0" w:type="dxa"/>
          <w:right w:w="108" w:type="dxa"/>
        </w:tblCellMar>
      </w:tblPr>
      <w:tblGrid>
        <w:gridCol w:w="2942"/>
        <w:gridCol w:w="2251"/>
        <w:gridCol w:w="2526"/>
        <w:gridCol w:w="2388"/>
        <w:gridCol w:w="1972"/>
        <w:gridCol w:w="1970"/>
      </w:tblGrid>
      <w:tr>
        <w:tblPrEx>
          <w:tblCellMar>
            <w:top w:w="0" w:type="dxa"/>
            <w:left w:w="108" w:type="dxa"/>
            <w:bottom w:w="0" w:type="dxa"/>
            <w:right w:w="108" w:type="dxa"/>
          </w:tblCellMar>
        </w:tblPrEx>
        <w:trPr>
          <w:trHeight w:val="270" w:hRule="atLeast"/>
        </w:trPr>
        <w:tc>
          <w:tcPr>
            <w:tcW w:w="5000" w:type="pct"/>
            <w:gridSpan w:val="6"/>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等效曲率半径</w:t>
            </w:r>
            <w:r>
              <w:rPr>
                <w:rFonts w:ascii="宋体" w:hAnsi="宋体" w:cs="宋体"/>
                <w:kern w:val="0"/>
                <w:sz w:val="20"/>
                <w:szCs w:val="20"/>
              </w:rPr>
              <w:t>3000mm</w:t>
            </w:r>
            <w:r>
              <w:rPr>
                <w:rFonts w:hint="eastAsia" w:ascii="宋体" w:hAnsi="宋体" w:cs="宋体"/>
                <w:kern w:val="0"/>
                <w:sz w:val="20"/>
                <w:szCs w:val="20"/>
              </w:rPr>
              <w:t>，摆动周期</w:t>
            </w:r>
            <w:r>
              <w:rPr>
                <w:rFonts w:ascii="宋体" w:hAnsi="宋体" w:cs="宋体"/>
                <w:kern w:val="0"/>
                <w:sz w:val="20"/>
                <w:szCs w:val="20"/>
              </w:rPr>
              <w:t>3.48S</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支座型号</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竖向承载力（</w:t>
            </w:r>
            <w:r>
              <w:rPr>
                <w:rFonts w:ascii="宋体" w:hAnsi="宋体" w:cs="宋体"/>
                <w:kern w:val="0"/>
                <w:sz w:val="20"/>
                <w:szCs w:val="20"/>
              </w:rPr>
              <w:t>KN</w:t>
            </w:r>
            <w:r>
              <w:rPr>
                <w:rFonts w:hint="eastAsia" w:ascii="宋体" w:hAnsi="宋体" w:cs="宋体"/>
                <w:kern w:val="0"/>
                <w:sz w:val="20"/>
                <w:szCs w:val="20"/>
              </w:rPr>
              <w:t>）</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屈服后刚度（</w:t>
            </w:r>
            <w:r>
              <w:rPr>
                <w:rFonts w:ascii="宋体" w:hAnsi="宋体" w:cs="宋体"/>
                <w:kern w:val="0"/>
                <w:sz w:val="20"/>
                <w:szCs w:val="20"/>
              </w:rPr>
              <w:t>KN/m</w:t>
            </w:r>
            <w:r>
              <w:rPr>
                <w:rFonts w:hint="eastAsia" w:ascii="宋体" w:hAnsi="宋体" w:cs="宋体"/>
                <w:kern w:val="0"/>
                <w:sz w:val="20"/>
                <w:szCs w:val="20"/>
              </w:rPr>
              <w:t>）</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初始刚度（</w:t>
            </w:r>
            <w:r>
              <w:rPr>
                <w:rFonts w:ascii="宋体" w:hAnsi="宋体" w:cs="宋体"/>
                <w:kern w:val="0"/>
                <w:sz w:val="20"/>
                <w:szCs w:val="20"/>
              </w:rPr>
              <w:t>KN/mm</w:t>
            </w:r>
            <w:r>
              <w:rPr>
                <w:rFonts w:hint="eastAsia" w:ascii="宋体" w:hAnsi="宋体" w:cs="宋体"/>
                <w:kern w:val="0"/>
                <w:sz w:val="20"/>
                <w:szCs w:val="20"/>
              </w:rPr>
              <w:t>）</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动摩擦系数下限</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动摩擦系数上限</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333</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-2000-300-3.48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667</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16</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-3000-300-3.48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1000</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-4000-300-3.48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1333</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-5000-300-3.48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1667</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-6000-300-3.48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2000</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48</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-7000-300-3.48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2333</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56</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-8000-300-3.48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2667</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64</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-9000-300-3.48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9000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3000</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-10000-300-3.48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3333</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-12500-300-3.48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12500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4167</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-15000-300-3.48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5000</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-17500-300-3.48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17500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5833</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140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-20000-300-3.48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6667</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160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-25000-300-3.48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8333</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-30000-300-3.48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30000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10000</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bl>
    <w:p>
      <w:pPr>
        <w:widowControl/>
        <w:adjustRightInd/>
        <w:spacing w:line="240" w:lineRule="auto"/>
        <w:jc w:val="left"/>
        <w:rPr>
          <w:rFonts w:ascii="等线" w:hAnsi="等线" w:eastAsia="等线"/>
          <w:szCs w:val="22"/>
        </w:rPr>
      </w:pPr>
      <w:r>
        <w:rPr>
          <w:rFonts w:ascii="等线" w:hAnsi="等线" w:eastAsia="等线"/>
          <w:szCs w:val="22"/>
        </w:rPr>
        <w:br w:type="page"/>
      </w:r>
    </w:p>
    <w:p>
      <w:pPr>
        <w:adjustRightInd/>
        <w:spacing w:line="240" w:lineRule="auto"/>
        <w:jc w:val="center"/>
        <w:rPr>
          <w:rFonts w:ascii="等线" w:hAnsi="等线" w:eastAsia="等线"/>
          <w:szCs w:val="22"/>
        </w:rPr>
      </w:pPr>
    </w:p>
    <w:tbl>
      <w:tblPr>
        <w:tblStyle w:val="27"/>
        <w:tblW w:w="5000" w:type="pct"/>
        <w:tblInd w:w="0" w:type="dxa"/>
        <w:tblLayout w:type="autofit"/>
        <w:tblCellMar>
          <w:top w:w="0" w:type="dxa"/>
          <w:left w:w="108" w:type="dxa"/>
          <w:bottom w:w="0" w:type="dxa"/>
          <w:right w:w="108" w:type="dxa"/>
        </w:tblCellMar>
      </w:tblPr>
      <w:tblGrid>
        <w:gridCol w:w="2942"/>
        <w:gridCol w:w="2251"/>
        <w:gridCol w:w="2526"/>
        <w:gridCol w:w="2388"/>
        <w:gridCol w:w="1972"/>
        <w:gridCol w:w="1970"/>
      </w:tblGrid>
      <w:tr>
        <w:tblPrEx>
          <w:tblCellMar>
            <w:top w:w="0" w:type="dxa"/>
            <w:left w:w="108" w:type="dxa"/>
            <w:bottom w:w="0" w:type="dxa"/>
            <w:right w:w="108" w:type="dxa"/>
          </w:tblCellMar>
        </w:tblPrEx>
        <w:trPr>
          <w:trHeight w:val="270" w:hRule="atLeast"/>
        </w:trPr>
        <w:tc>
          <w:tcPr>
            <w:tcW w:w="5000" w:type="pct"/>
            <w:gridSpan w:val="6"/>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等效曲率半径</w:t>
            </w:r>
            <w:r>
              <w:rPr>
                <w:rFonts w:ascii="宋体" w:hAnsi="宋体" w:cs="宋体"/>
                <w:kern w:val="0"/>
                <w:sz w:val="20"/>
                <w:szCs w:val="20"/>
              </w:rPr>
              <w:t>3000mm</w:t>
            </w:r>
            <w:r>
              <w:rPr>
                <w:rFonts w:hint="eastAsia" w:ascii="宋体" w:hAnsi="宋体" w:cs="宋体"/>
                <w:kern w:val="0"/>
                <w:sz w:val="20"/>
                <w:szCs w:val="20"/>
              </w:rPr>
              <w:t>，摆动周期</w:t>
            </w:r>
            <w:r>
              <w:rPr>
                <w:rFonts w:ascii="宋体" w:hAnsi="宋体" w:cs="宋体"/>
                <w:kern w:val="0"/>
                <w:sz w:val="20"/>
                <w:szCs w:val="20"/>
              </w:rPr>
              <w:t>3.48S</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支座型号</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竖向承载力（</w:t>
            </w:r>
            <w:r>
              <w:rPr>
                <w:rFonts w:ascii="宋体" w:hAnsi="宋体" w:cs="宋体"/>
                <w:kern w:val="0"/>
                <w:sz w:val="20"/>
                <w:szCs w:val="20"/>
              </w:rPr>
              <w:t>KN</w:t>
            </w:r>
            <w:r>
              <w:rPr>
                <w:rFonts w:hint="eastAsia" w:ascii="宋体" w:hAnsi="宋体" w:cs="宋体"/>
                <w:kern w:val="0"/>
                <w:sz w:val="20"/>
                <w:szCs w:val="20"/>
              </w:rPr>
              <w:t>）</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屈服后刚度（</w:t>
            </w:r>
            <w:r>
              <w:rPr>
                <w:rFonts w:ascii="宋体" w:hAnsi="宋体" w:cs="宋体"/>
                <w:kern w:val="0"/>
                <w:sz w:val="20"/>
                <w:szCs w:val="20"/>
              </w:rPr>
              <w:t>KN/m</w:t>
            </w:r>
            <w:r>
              <w:rPr>
                <w:rFonts w:hint="eastAsia" w:ascii="宋体" w:hAnsi="宋体" w:cs="宋体"/>
                <w:kern w:val="0"/>
                <w:sz w:val="20"/>
                <w:szCs w:val="20"/>
              </w:rPr>
              <w:t>）</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初始刚度（</w:t>
            </w:r>
            <w:r>
              <w:rPr>
                <w:rFonts w:ascii="宋体" w:hAnsi="宋体" w:cs="宋体"/>
                <w:kern w:val="0"/>
                <w:sz w:val="20"/>
                <w:szCs w:val="20"/>
              </w:rPr>
              <w:t>KN/mm</w:t>
            </w:r>
            <w:r>
              <w:rPr>
                <w:rFonts w:hint="eastAsia" w:ascii="宋体" w:hAnsi="宋体" w:cs="宋体"/>
                <w:kern w:val="0"/>
                <w:sz w:val="20"/>
                <w:szCs w:val="20"/>
              </w:rPr>
              <w:t>）</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动摩擦系数下限</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动摩擦系数上限</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333</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-2000-300-3.48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667</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-3000-300-3.48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1000</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-4000-300-3.48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1333</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-5000-300-3.48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1667</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-6000-300-3.48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2000</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-7000-300-3.48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2333</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140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-8000-300-3.48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2667</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160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-9000-300-3.48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9000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3000</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180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-10000-300-3.48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3333</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-12500-300-3.48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12500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4167</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-15000-300-3.48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5000</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300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-17500-300-3.48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17500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5833</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350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-20000-300-3.48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6667</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-25000-300-3.48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8333</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-30000-300-3.48</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30000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10000</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600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bl>
    <w:p>
      <w:pPr>
        <w:adjustRightInd/>
        <w:spacing w:line="240" w:lineRule="auto"/>
        <w:jc w:val="center"/>
        <w:rPr>
          <w:rFonts w:ascii="等线" w:hAnsi="等线" w:eastAsia="等线"/>
          <w:szCs w:val="22"/>
        </w:rPr>
      </w:pPr>
    </w:p>
    <w:p>
      <w:pPr>
        <w:widowControl/>
        <w:adjustRightInd/>
        <w:spacing w:line="240" w:lineRule="auto"/>
        <w:jc w:val="left"/>
        <w:rPr>
          <w:rFonts w:ascii="等线" w:hAnsi="等线" w:eastAsia="等线"/>
          <w:szCs w:val="22"/>
        </w:rPr>
      </w:pPr>
      <w:r>
        <w:rPr>
          <w:rFonts w:ascii="等线" w:hAnsi="等线" w:eastAsia="等线"/>
          <w:szCs w:val="22"/>
        </w:rPr>
        <w:br w:type="page"/>
      </w:r>
    </w:p>
    <w:p>
      <w:pPr>
        <w:adjustRightInd/>
        <w:spacing w:line="240" w:lineRule="auto"/>
        <w:jc w:val="center"/>
        <w:rPr>
          <w:rFonts w:ascii="等线" w:hAnsi="等线" w:eastAsia="等线"/>
          <w:szCs w:val="22"/>
        </w:rPr>
      </w:pPr>
    </w:p>
    <w:tbl>
      <w:tblPr>
        <w:tblStyle w:val="27"/>
        <w:tblW w:w="5000" w:type="pct"/>
        <w:tblInd w:w="0" w:type="dxa"/>
        <w:tblLayout w:type="autofit"/>
        <w:tblCellMar>
          <w:top w:w="0" w:type="dxa"/>
          <w:left w:w="108" w:type="dxa"/>
          <w:bottom w:w="0" w:type="dxa"/>
          <w:right w:w="108" w:type="dxa"/>
        </w:tblCellMar>
      </w:tblPr>
      <w:tblGrid>
        <w:gridCol w:w="2942"/>
        <w:gridCol w:w="2251"/>
        <w:gridCol w:w="2526"/>
        <w:gridCol w:w="2388"/>
        <w:gridCol w:w="1972"/>
        <w:gridCol w:w="1970"/>
      </w:tblGrid>
      <w:tr>
        <w:tblPrEx>
          <w:tblCellMar>
            <w:top w:w="0" w:type="dxa"/>
            <w:left w:w="108" w:type="dxa"/>
            <w:bottom w:w="0" w:type="dxa"/>
            <w:right w:w="108" w:type="dxa"/>
          </w:tblCellMar>
        </w:tblPrEx>
        <w:trPr>
          <w:trHeight w:val="270" w:hRule="atLeast"/>
        </w:trPr>
        <w:tc>
          <w:tcPr>
            <w:tcW w:w="5000" w:type="pct"/>
            <w:gridSpan w:val="6"/>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等效曲率半径</w:t>
            </w:r>
            <w:r>
              <w:rPr>
                <w:rFonts w:ascii="宋体" w:hAnsi="宋体" w:cs="宋体"/>
                <w:kern w:val="0"/>
                <w:sz w:val="20"/>
                <w:szCs w:val="20"/>
              </w:rPr>
              <w:t>3600mm</w:t>
            </w:r>
            <w:r>
              <w:rPr>
                <w:rFonts w:hint="eastAsia" w:ascii="宋体" w:hAnsi="宋体" w:cs="宋体"/>
                <w:kern w:val="0"/>
                <w:sz w:val="20"/>
                <w:szCs w:val="20"/>
              </w:rPr>
              <w:t>，摆动周期</w:t>
            </w:r>
            <w:r>
              <w:rPr>
                <w:rFonts w:ascii="宋体" w:hAnsi="宋体" w:cs="宋体"/>
                <w:kern w:val="0"/>
                <w:sz w:val="20"/>
                <w:szCs w:val="20"/>
              </w:rPr>
              <w:t>3.81S</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支座型号</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竖向承载力（</w:t>
            </w:r>
            <w:r>
              <w:rPr>
                <w:rFonts w:ascii="宋体" w:hAnsi="宋体" w:cs="宋体"/>
                <w:kern w:val="0"/>
                <w:sz w:val="20"/>
                <w:szCs w:val="20"/>
              </w:rPr>
              <w:t>KN</w:t>
            </w:r>
            <w:r>
              <w:rPr>
                <w:rFonts w:hint="eastAsia" w:ascii="宋体" w:hAnsi="宋体" w:cs="宋体"/>
                <w:kern w:val="0"/>
                <w:sz w:val="20"/>
                <w:szCs w:val="20"/>
              </w:rPr>
              <w:t>）</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屈服后刚度（</w:t>
            </w:r>
            <w:r>
              <w:rPr>
                <w:rFonts w:ascii="宋体" w:hAnsi="宋体" w:cs="宋体"/>
                <w:kern w:val="0"/>
                <w:sz w:val="20"/>
                <w:szCs w:val="20"/>
              </w:rPr>
              <w:t>KN/m</w:t>
            </w:r>
            <w:r>
              <w:rPr>
                <w:rFonts w:hint="eastAsia" w:ascii="宋体" w:hAnsi="宋体" w:cs="宋体"/>
                <w:kern w:val="0"/>
                <w:sz w:val="20"/>
                <w:szCs w:val="20"/>
              </w:rPr>
              <w:t>）</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初始刚度（</w:t>
            </w:r>
            <w:r>
              <w:rPr>
                <w:rFonts w:ascii="宋体" w:hAnsi="宋体" w:cs="宋体"/>
                <w:kern w:val="0"/>
                <w:sz w:val="20"/>
                <w:szCs w:val="20"/>
              </w:rPr>
              <w:t>KN/mm</w:t>
            </w:r>
            <w:r>
              <w:rPr>
                <w:rFonts w:hint="eastAsia" w:ascii="宋体" w:hAnsi="宋体" w:cs="宋体"/>
                <w:kern w:val="0"/>
                <w:sz w:val="20"/>
                <w:szCs w:val="20"/>
              </w:rPr>
              <w:t>）</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动摩擦系数下限</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动摩擦系数上限</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278</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-2000-300-3.81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556</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16</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-3000-300-3.81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833</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-4000-300-3.81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1111</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-5000-300-3.81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1389</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-6000-300-3.81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1667</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48</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-7000-300-3.81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1944</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56</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-8000-300-3.81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2222</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64</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-9000-300-3.81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9000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2500</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-10000-300-3.81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2778</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-12500-300-3.81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12500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3472</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-15000-300-3.81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4167</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-17500-300-3.81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17500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4861</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140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-20000-300-3.81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5556</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160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-25000-300-3.81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6944</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-30000-300-3.81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30000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8333</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bl>
    <w:p>
      <w:pPr>
        <w:adjustRightInd/>
        <w:spacing w:line="240" w:lineRule="auto"/>
        <w:jc w:val="center"/>
        <w:rPr>
          <w:rFonts w:ascii="等线" w:hAnsi="等线" w:eastAsia="等线"/>
          <w:szCs w:val="22"/>
        </w:rPr>
      </w:pPr>
    </w:p>
    <w:p>
      <w:pPr>
        <w:widowControl/>
        <w:adjustRightInd/>
        <w:spacing w:line="240" w:lineRule="auto"/>
        <w:jc w:val="left"/>
        <w:rPr>
          <w:rFonts w:ascii="等线" w:hAnsi="等线" w:eastAsia="等线"/>
          <w:szCs w:val="22"/>
        </w:rPr>
      </w:pPr>
      <w:r>
        <w:rPr>
          <w:rFonts w:ascii="等线" w:hAnsi="等线" w:eastAsia="等线"/>
          <w:szCs w:val="22"/>
        </w:rPr>
        <w:br w:type="page"/>
      </w:r>
    </w:p>
    <w:tbl>
      <w:tblPr>
        <w:tblStyle w:val="27"/>
        <w:tblW w:w="5000" w:type="pct"/>
        <w:tblInd w:w="0" w:type="dxa"/>
        <w:tblLayout w:type="autofit"/>
        <w:tblCellMar>
          <w:top w:w="0" w:type="dxa"/>
          <w:left w:w="108" w:type="dxa"/>
          <w:bottom w:w="0" w:type="dxa"/>
          <w:right w:w="108" w:type="dxa"/>
        </w:tblCellMar>
      </w:tblPr>
      <w:tblGrid>
        <w:gridCol w:w="2942"/>
        <w:gridCol w:w="2251"/>
        <w:gridCol w:w="2526"/>
        <w:gridCol w:w="2388"/>
        <w:gridCol w:w="1972"/>
        <w:gridCol w:w="1970"/>
      </w:tblGrid>
      <w:tr>
        <w:tblPrEx>
          <w:tblCellMar>
            <w:top w:w="0" w:type="dxa"/>
            <w:left w:w="108" w:type="dxa"/>
            <w:bottom w:w="0" w:type="dxa"/>
            <w:right w:w="108" w:type="dxa"/>
          </w:tblCellMar>
        </w:tblPrEx>
        <w:trPr>
          <w:trHeight w:val="270" w:hRule="atLeast"/>
        </w:trPr>
        <w:tc>
          <w:tcPr>
            <w:tcW w:w="5000" w:type="pct"/>
            <w:gridSpan w:val="6"/>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等效曲率半径</w:t>
            </w:r>
            <w:r>
              <w:rPr>
                <w:rFonts w:ascii="宋体" w:hAnsi="宋体" w:cs="宋体"/>
                <w:kern w:val="0"/>
                <w:sz w:val="20"/>
                <w:szCs w:val="20"/>
              </w:rPr>
              <w:t>3600mm</w:t>
            </w:r>
            <w:r>
              <w:rPr>
                <w:rFonts w:hint="eastAsia" w:ascii="宋体" w:hAnsi="宋体" w:cs="宋体"/>
                <w:kern w:val="0"/>
                <w:sz w:val="20"/>
                <w:szCs w:val="20"/>
              </w:rPr>
              <w:t>，摆动周期</w:t>
            </w:r>
            <w:r>
              <w:rPr>
                <w:rFonts w:ascii="宋体" w:hAnsi="宋体" w:cs="宋体"/>
                <w:kern w:val="0"/>
                <w:sz w:val="20"/>
                <w:szCs w:val="20"/>
              </w:rPr>
              <w:t>3.81S</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支座型号</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竖向承载力（</w:t>
            </w:r>
            <w:r>
              <w:rPr>
                <w:rFonts w:ascii="宋体" w:hAnsi="宋体" w:cs="宋体"/>
                <w:kern w:val="0"/>
                <w:sz w:val="20"/>
                <w:szCs w:val="20"/>
              </w:rPr>
              <w:t>KN</w:t>
            </w:r>
            <w:r>
              <w:rPr>
                <w:rFonts w:hint="eastAsia" w:ascii="宋体" w:hAnsi="宋体" w:cs="宋体"/>
                <w:kern w:val="0"/>
                <w:sz w:val="20"/>
                <w:szCs w:val="20"/>
              </w:rPr>
              <w:t>）</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屈服后刚度（</w:t>
            </w:r>
            <w:r>
              <w:rPr>
                <w:rFonts w:ascii="宋体" w:hAnsi="宋体" w:cs="宋体"/>
                <w:kern w:val="0"/>
                <w:sz w:val="20"/>
                <w:szCs w:val="20"/>
              </w:rPr>
              <w:t>KN/m</w:t>
            </w:r>
            <w:r>
              <w:rPr>
                <w:rFonts w:hint="eastAsia" w:ascii="宋体" w:hAnsi="宋体" w:cs="宋体"/>
                <w:kern w:val="0"/>
                <w:sz w:val="20"/>
                <w:szCs w:val="20"/>
              </w:rPr>
              <w:t>）</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初始刚度（</w:t>
            </w:r>
            <w:r>
              <w:rPr>
                <w:rFonts w:ascii="宋体" w:hAnsi="宋体" w:cs="宋体"/>
                <w:kern w:val="0"/>
                <w:sz w:val="20"/>
                <w:szCs w:val="20"/>
              </w:rPr>
              <w:t>KN/mm</w:t>
            </w:r>
            <w:r>
              <w:rPr>
                <w:rFonts w:hint="eastAsia" w:ascii="宋体" w:hAnsi="宋体" w:cs="宋体"/>
                <w:kern w:val="0"/>
                <w:sz w:val="20"/>
                <w:szCs w:val="20"/>
              </w:rPr>
              <w:t>）</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动摩擦系数下限</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动摩擦系数上限</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278</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-2000-300-3.81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556</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-3000-300-3.81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833</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-4000-300-3.81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1111</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-5000-300-3.81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1389</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-6000-300-3.81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1667</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-7000-300-3.81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1944</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140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-8000-300-3.81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2222</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160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-9000-300-3.81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9000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2500</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180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-10000-300-3.81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2778</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-12500-300-3.81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12500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3472</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-15000-300-3.81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4167</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300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-17500-300-3.81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17500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4861</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350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-20000-300-3.81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5556</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-25000-300-3.81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6944</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-30000-300-3.81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30000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8333</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600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0.05</w:t>
            </w:r>
          </w:p>
        </w:tc>
      </w:tr>
    </w:tbl>
    <w:p>
      <w:pPr>
        <w:adjustRightInd/>
        <w:spacing w:line="240" w:lineRule="auto"/>
        <w:jc w:val="center"/>
        <w:rPr>
          <w:rFonts w:ascii="等线" w:hAnsi="等线" w:eastAsia="等线"/>
          <w:szCs w:val="22"/>
        </w:rPr>
      </w:pPr>
    </w:p>
    <w:p>
      <w:pPr>
        <w:widowControl/>
        <w:adjustRightInd/>
        <w:spacing w:line="240" w:lineRule="auto"/>
        <w:jc w:val="left"/>
        <w:rPr>
          <w:rFonts w:ascii="等线" w:hAnsi="等线" w:eastAsia="等线"/>
          <w:szCs w:val="22"/>
        </w:rPr>
      </w:pPr>
      <w:r>
        <w:rPr>
          <w:rFonts w:ascii="等线" w:hAnsi="等线" w:eastAsia="等线"/>
          <w:szCs w:val="22"/>
        </w:rPr>
        <w:br w:type="page"/>
      </w:r>
    </w:p>
    <w:tbl>
      <w:tblPr>
        <w:tblStyle w:val="27"/>
        <w:tblW w:w="5000" w:type="pct"/>
        <w:tblInd w:w="0" w:type="dxa"/>
        <w:tblLayout w:type="autofit"/>
        <w:tblCellMar>
          <w:top w:w="0" w:type="dxa"/>
          <w:left w:w="108" w:type="dxa"/>
          <w:bottom w:w="0" w:type="dxa"/>
          <w:right w:w="108" w:type="dxa"/>
        </w:tblCellMar>
      </w:tblPr>
      <w:tblGrid>
        <w:gridCol w:w="2942"/>
        <w:gridCol w:w="2251"/>
        <w:gridCol w:w="2526"/>
        <w:gridCol w:w="2388"/>
        <w:gridCol w:w="1972"/>
        <w:gridCol w:w="1970"/>
      </w:tblGrid>
      <w:tr>
        <w:tblPrEx>
          <w:tblCellMar>
            <w:top w:w="0" w:type="dxa"/>
            <w:left w:w="108" w:type="dxa"/>
            <w:bottom w:w="0" w:type="dxa"/>
            <w:right w:w="108" w:type="dxa"/>
          </w:tblCellMar>
        </w:tblPrEx>
        <w:trPr>
          <w:trHeight w:val="270" w:hRule="atLeast"/>
        </w:trPr>
        <w:tc>
          <w:tcPr>
            <w:tcW w:w="5000" w:type="pct"/>
            <w:gridSpan w:val="6"/>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等效曲率半径</w:t>
            </w:r>
            <w:r>
              <w:rPr>
                <w:rFonts w:ascii="宋体" w:hAnsi="宋体" w:cs="宋体"/>
                <w:kern w:val="0"/>
                <w:sz w:val="20"/>
                <w:szCs w:val="20"/>
              </w:rPr>
              <w:t>4200mm</w:t>
            </w:r>
            <w:r>
              <w:rPr>
                <w:rFonts w:hint="eastAsia" w:ascii="宋体" w:hAnsi="宋体" w:cs="宋体"/>
                <w:kern w:val="0"/>
                <w:sz w:val="20"/>
                <w:szCs w:val="20"/>
              </w:rPr>
              <w:t>，摆动周期</w:t>
            </w:r>
            <w:r>
              <w:rPr>
                <w:rFonts w:ascii="宋体" w:hAnsi="宋体" w:cs="宋体"/>
                <w:kern w:val="0"/>
                <w:sz w:val="20"/>
                <w:szCs w:val="20"/>
              </w:rPr>
              <w:t>4.11S</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支座型号</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竖向承载力（</w:t>
            </w:r>
            <w:r>
              <w:rPr>
                <w:rFonts w:ascii="宋体" w:hAnsi="宋体" w:cs="宋体"/>
                <w:kern w:val="0"/>
                <w:sz w:val="20"/>
                <w:szCs w:val="20"/>
              </w:rPr>
              <w:t>KN</w:t>
            </w:r>
            <w:r>
              <w:rPr>
                <w:rFonts w:hint="eastAsia" w:ascii="宋体" w:hAnsi="宋体" w:cs="宋体"/>
                <w:kern w:val="0"/>
                <w:sz w:val="20"/>
                <w:szCs w:val="20"/>
              </w:rPr>
              <w:t>）</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屈服后刚度（</w:t>
            </w:r>
            <w:r>
              <w:rPr>
                <w:rFonts w:ascii="宋体" w:hAnsi="宋体" w:cs="宋体"/>
                <w:kern w:val="0"/>
                <w:sz w:val="20"/>
                <w:szCs w:val="20"/>
              </w:rPr>
              <w:t>KN/m</w:t>
            </w:r>
            <w:r>
              <w:rPr>
                <w:rFonts w:hint="eastAsia" w:ascii="宋体" w:hAnsi="宋体" w:cs="宋体"/>
                <w:kern w:val="0"/>
                <w:sz w:val="20"/>
                <w:szCs w:val="20"/>
              </w:rPr>
              <w:t>）</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初始刚度（</w:t>
            </w:r>
            <w:r>
              <w:rPr>
                <w:rFonts w:ascii="宋体" w:hAnsi="宋体" w:cs="宋体"/>
                <w:kern w:val="0"/>
                <w:sz w:val="20"/>
                <w:szCs w:val="20"/>
              </w:rPr>
              <w:t>KN/mm</w:t>
            </w:r>
            <w:r>
              <w:rPr>
                <w:rFonts w:hint="eastAsia" w:ascii="宋体" w:hAnsi="宋体" w:cs="宋体"/>
                <w:kern w:val="0"/>
                <w:sz w:val="20"/>
                <w:szCs w:val="20"/>
              </w:rPr>
              <w:t>）</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动摩擦系数下限</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hint="eastAsia" w:ascii="宋体" w:hAnsi="宋体" w:cs="宋体"/>
                <w:kern w:val="0"/>
                <w:sz w:val="20"/>
                <w:szCs w:val="20"/>
              </w:rPr>
              <w:t>动摩擦系数上限</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-1000-300-4.11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238</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-2000-300-4.11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476</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16</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-3000-300-4.11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714</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-4000-300-4.11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952</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-5000-300-4.11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1190</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-6000-300-4.11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1429</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48</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-7000-300-4.11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1667</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56</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-8000-300-4.11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1905</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64</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-9000-300-4.11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9000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2143</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72</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-10000-300-4.11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2381</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80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-12500-300-4.11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12500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2976</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100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-15000-300-4.11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15000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3571</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120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-17500-300-4.11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17500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4167</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140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-20000-300-4.11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4762</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160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-25000-300-4.11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25000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5952</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200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r>
        <w:tblPrEx>
          <w:tblCellMar>
            <w:top w:w="0" w:type="dxa"/>
            <w:left w:w="108" w:type="dxa"/>
            <w:bottom w:w="0" w:type="dxa"/>
            <w:right w:w="108" w:type="dxa"/>
          </w:tblCellMar>
        </w:tblPrEx>
        <w:trPr>
          <w:trHeight w:val="270" w:hRule="atLeast"/>
        </w:trPr>
        <w:tc>
          <w:tcPr>
            <w:tcW w:w="1047" w:type="pct"/>
            <w:tcBorders>
              <w:top w:val="nil"/>
              <w:left w:val="single" w:color="auto" w:sz="4" w:space="0"/>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FPS-</w:t>
            </w:r>
            <w:r>
              <w:rPr>
                <w:rFonts w:hint="eastAsia" w:ascii="宋体" w:hAnsi="宋体" w:cs="宋体"/>
                <w:kern w:val="0"/>
                <w:sz w:val="20"/>
                <w:szCs w:val="20"/>
              </w:rPr>
              <w:t>Ⅱ</w:t>
            </w:r>
            <w:r>
              <w:rPr>
                <w:rFonts w:ascii="宋体" w:hAnsi="宋体" w:cs="宋体"/>
                <w:kern w:val="0"/>
                <w:sz w:val="20"/>
                <w:szCs w:val="20"/>
              </w:rPr>
              <w:t>-30000-300-4.11</w:t>
            </w:r>
          </w:p>
        </w:tc>
        <w:tc>
          <w:tcPr>
            <w:tcW w:w="801"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30000</w:t>
            </w:r>
          </w:p>
        </w:tc>
        <w:tc>
          <w:tcPr>
            <w:tcW w:w="899"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7143</w:t>
            </w:r>
          </w:p>
        </w:tc>
        <w:tc>
          <w:tcPr>
            <w:tcW w:w="850"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240</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0.01</w:t>
            </w:r>
          </w:p>
        </w:tc>
        <w:tc>
          <w:tcPr>
            <w:tcW w:w="702" w:type="pct"/>
            <w:tcBorders>
              <w:top w:val="nil"/>
              <w:left w:val="nil"/>
              <w:bottom w:val="single" w:color="auto" w:sz="4" w:space="0"/>
              <w:right w:val="single" w:color="auto" w:sz="4" w:space="0"/>
            </w:tcBorders>
            <w:noWrap/>
            <w:vAlign w:val="center"/>
          </w:tcPr>
          <w:p>
            <w:pPr>
              <w:widowControl/>
              <w:adjustRightInd/>
              <w:spacing w:line="240" w:lineRule="auto"/>
              <w:jc w:val="center"/>
              <w:rPr>
                <w:rFonts w:ascii="宋体" w:hAnsi="宋体" w:cs="宋体"/>
                <w:kern w:val="0"/>
                <w:sz w:val="20"/>
                <w:szCs w:val="20"/>
              </w:rPr>
            </w:pPr>
            <w:r>
              <w:rPr>
                <w:rFonts w:ascii="宋体" w:hAnsi="宋体" w:cs="宋体"/>
                <w:kern w:val="0"/>
                <w:sz w:val="20"/>
                <w:szCs w:val="20"/>
              </w:rPr>
              <w:t>0.02</w:t>
            </w:r>
          </w:p>
        </w:tc>
      </w:tr>
    </w:tbl>
    <w:p>
      <w:pPr>
        <w:adjustRightInd/>
        <w:spacing w:line="240" w:lineRule="auto"/>
        <w:jc w:val="center"/>
        <w:rPr>
          <w:rFonts w:ascii="等线" w:hAnsi="等线" w:eastAsia="等线"/>
          <w:szCs w:val="22"/>
        </w:rPr>
      </w:pPr>
    </w:p>
    <w:p>
      <w:pPr>
        <w:widowControl/>
        <w:adjustRightInd/>
        <w:spacing w:line="240" w:lineRule="auto"/>
        <w:jc w:val="left"/>
        <w:sectPr>
          <w:headerReference r:id="rId16" w:type="default"/>
          <w:footerReference r:id="rId18" w:type="default"/>
          <w:headerReference r:id="rId17" w:type="even"/>
          <w:footerReference r:id="rId19" w:type="even"/>
          <w:pgSz w:w="16838" w:h="11906" w:orient="landscape"/>
          <w:pgMar w:top="1134" w:right="1871" w:bottom="1134" w:left="1134" w:header="1418" w:footer="1247" w:gutter="284"/>
          <w:cols w:space="425" w:num="1"/>
          <w:formProt w:val="0"/>
          <w:docGrid w:type="lines" w:linePitch="312" w:charSpace="0"/>
        </w:sectPr>
      </w:pPr>
      <w:r>
        <w:rPr>
          <w:rFonts w:ascii="等线" w:hAnsi="等线" w:eastAsia="等线"/>
          <w:szCs w:val="22"/>
        </w:rPr>
        <w:br w:type="page"/>
      </w:r>
      <w:bookmarkEnd w:id="81"/>
      <w:bookmarkStart w:id="84" w:name="_GoBack"/>
      <w:bookmarkEnd w:id="84"/>
    </w:p>
    <w:p>
      <w:pPr>
        <w:pStyle w:val="58"/>
        <w:ind w:firstLine="420"/>
      </w:pPr>
    </w:p>
    <w:sectPr>
      <w:headerReference r:id="rId20" w:type="default"/>
      <w:footerReference r:id="rId22" w:type="default"/>
      <w:headerReference r:id="rId21" w:type="even"/>
      <w:footerReference r:id="rId23" w:type="even"/>
      <w:pgSz w:w="11906" w:h="16838"/>
      <w:pgMar w:top="2410"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MS Mincho">
    <w:panose1 w:val="02020609040205080304"/>
    <w:charset w:val="80"/>
    <w:family w:val="modern"/>
    <w:pitch w:val="default"/>
    <w:sig w:usb0="E00002FF" w:usb1="6AC7FDFB" w:usb2="00000012" w:usb3="00000000" w:csb0="4002009F" w:csb1="DFD70000"/>
  </w:font>
  <w:font w:name="仿宋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0000012" w:usb3="00000000" w:csb0="4002009F" w:csb1="DFD70000"/>
  </w:font>
  <w:font w:name="等线">
    <w:altName w:val="Arial Unicode MS"/>
    <w:panose1 w:val="00000000000000000000"/>
    <w:charset w:val="00"/>
    <w:family w:val="auto"/>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PAGE   \* MERGEFORMAT</w:instrText>
    </w:r>
    <w:r>
      <w:fldChar w:fldCharType="separate"/>
    </w:r>
    <w:r>
      <w:rPr>
        <w:lang w:val="zh-CN"/>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PAGE   \* MERGEFORMAT</w:instrText>
    </w:r>
    <w:r>
      <w:fldChar w:fldCharType="separate"/>
    </w:r>
    <w:r>
      <w:rPr>
        <w:lang w:val="zh-CN"/>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fldChar w:fldCharType="begin"/>
    </w:r>
    <w:r>
      <w:instrText xml:space="preserve">PAGE   \* MERGEFORMAT</w:instrText>
    </w:r>
    <w:r>
      <w:fldChar w:fldCharType="separate"/>
    </w:r>
    <w:r>
      <w:rPr>
        <w:lang w:val="zh-CN"/>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mc:AlternateContent>
        <mc:Choice Requires="wps">
          <w:drawing>
            <wp:anchor distT="0" distB="0" distL="114300" distR="114300" simplePos="0" relativeHeight="251662336" behindDoc="0" locked="0" layoutInCell="1" allowOverlap="1">
              <wp:simplePos x="0" y="0"/>
              <wp:positionH relativeFrom="page">
                <wp:posOffset>719455</wp:posOffset>
              </wp:positionH>
              <wp:positionV relativeFrom="page">
                <wp:posOffset>6539865</wp:posOffset>
              </wp:positionV>
              <wp:extent cx="1828800" cy="1828800"/>
              <wp:effectExtent l="0" t="0" r="0" b="508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54"/>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eaVert" wrap="none" lIns="91440" tIns="45720" rIns="91440" bIns="45720" numCol="1" spcCol="0" rtlCol="0" fromWordArt="0" anchor="b" anchorCtr="0" forceAA="0" compatLnSpc="1">
                      <a:spAutoFit/>
                    </wps:bodyPr>
                  </wps:wsp>
                </a:graphicData>
              </a:graphic>
            </wp:anchor>
          </w:drawing>
        </mc:Choice>
        <mc:Fallback>
          <w:pict>
            <v:shape id="_x0000_s1026" o:spid="_x0000_s1026" o:spt="202" type="#_x0000_t202" style="position:absolute;left:0pt;margin-left:56.65pt;margin-top:514.95pt;height:144pt;width:144pt;mso-position-horizontal-relative:page;mso-position-vertical-relative:page;mso-wrap-style:none;z-index:251662336;v-text-anchor:bottom;mso-width-relative:page;mso-height-relative:page;" filled="f" stroked="f" coordsize="21600,21600" o:gfxdata="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58fRQNsAAAANAQAADwAAAAAAAAABACAAAAAiAAAAZHJz&#10;L2Rvd25yZXYueG1sUEsBAhQAFAAAAAgAh07iQOjzn946AgAAaQQAAA4AAAAAAAAAAQAgAAAAKgEA&#10;AGRycy9lMm9Eb2MueG1sUEsFBgAAAAAGAAYAWQEAANYFAAAAAA==&#10;">
              <v:fill on="f" focussize="0,0"/>
              <v:stroke on="f" weight="0.5pt"/>
              <v:imagedata o:title=""/>
              <o:lock v:ext="edit" aspectratio="f"/>
              <v:textbox style="layout-flow:vertical-ideographic;mso-fit-shape-to-text:t;">
                <w:txbxContent>
                  <w:p>
                    <w:pPr>
                      <w:pStyle w:val="54"/>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4384" behindDoc="0" locked="0" layoutInCell="1" allowOverlap="1">
              <wp:simplePos x="0" y="0"/>
              <wp:positionH relativeFrom="page">
                <wp:posOffset>719455</wp:posOffset>
              </wp:positionH>
              <wp:positionV relativeFrom="page">
                <wp:posOffset>863600</wp:posOffset>
              </wp:positionV>
              <wp:extent cx="1828800" cy="1828800"/>
              <wp:effectExtent l="0" t="0" r="11430" b="12065"/>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8"/>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eaVert" wrap="none" lIns="0" tIns="0" rIns="0" bIns="0" numCol="1" spcCol="0" rtlCol="0" fromWordArt="0" anchor="b" anchorCtr="0" forceAA="0" compatLnSpc="1">
                      <a:spAutoFit/>
                    </wps:bodyPr>
                  </wps:wsp>
                </a:graphicData>
              </a:graphic>
            </wp:anchor>
          </w:drawing>
        </mc:Choice>
        <mc:Fallback>
          <w:pict>
            <v:shape id="_x0000_s1026" o:spid="_x0000_s1026" o:spt="202" type="#_x0000_t202" style="position:absolute;left:0pt;margin-left:56.65pt;margin-top:68pt;height:144pt;width:144pt;mso-position-horizontal-relative:page;mso-position-vertical-relative:page;mso-wrap-style:none;z-index:251664384;v-text-anchor:bottom;mso-width-relative:page;mso-height-relative:page;" filled="f" stroked="f" coordsize="21600,21600" o:gfxdata="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gYhOXWAAAACwEAAA8AAAAAAAAAAQAgAAAAIgAAAGRycy9kb3ducmV2LnhtbFBLAQIU&#10;ABQAAAAIAIdO4kDSYARfLgIAAFkEAAAOAAAAAAAAAAEAIAAAACUBAABkcnMvZTJvRG9jLnhtbFBL&#10;BQYAAAAABgAGAFkBAADFBQAAAAA=&#10;">
              <v:fill on="f" focussize="0,0"/>
              <v:stroke on="f" weight="0.5pt"/>
              <v:imagedata o:title=""/>
              <o:lock v:ext="edit" aspectratio="f"/>
              <v:textbox inset="0mm,0mm,0mm,0mm" style="layout-flow:vertical-ideographic;mso-fit-shape-to-text:t;">
                <w:txbxContent>
                  <w:p>
                    <w:pPr>
                      <w:pStyle w:val="18"/>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PAGE   \* MERGEFORMAT</w:instrText>
    </w:r>
    <w:r>
      <w:fldChar w:fldCharType="separate"/>
    </w:r>
    <w:r>
      <w:rPr>
        <w:lang w:val="zh-CN"/>
      </w:rPr>
      <w:t>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fldChar w:fldCharType="begin"/>
    </w:r>
    <w:r>
      <w:instrText xml:space="preserve">PAGE   \* MERGEFORMAT</w:instrText>
    </w:r>
    <w:r>
      <w:fldChar w:fldCharType="separate"/>
    </w:r>
    <w:r>
      <w:rPr>
        <w:lang w:val="zh-CN"/>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lang w:val="fr-FR"/>
      </w:rPr>
    </w:pPr>
    <w:r>
      <w:fldChar w:fldCharType="begin"/>
    </w:r>
    <w:r>
      <w:rPr>
        <w:lang w:val="fr-FR"/>
      </w:rPr>
      <w:instrText xml:space="preserve"> STYLEREF  </w:instrText>
    </w:r>
    <w:r>
      <w:instrText xml:space="preserve">标准文件</w:instrText>
    </w:r>
    <w:r>
      <w:rPr>
        <w:lang w:val="fr-FR"/>
      </w:rPr>
      <w:instrText xml:space="preserve">_</w:instrText>
    </w:r>
    <w:r>
      <w:instrText xml:space="preserve">文件编号</w:instrText>
    </w:r>
    <w:r>
      <w:rPr>
        <w:lang w:val="fr-FR"/>
      </w:rPr>
      <w:instrText xml:space="preserve">  \* MERGEFORMAT </w:instrText>
    </w:r>
    <w:r>
      <w:fldChar w:fldCharType="separate"/>
    </w:r>
    <w:r>
      <w:rPr>
        <w:lang w:val="fr-FR"/>
      </w:rPr>
      <w:t>DB XX/T XXXX—XXXX</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STYLEREF  标准文件_文件编号  \* MERGEFORMAT </w:instrText>
    </w:r>
    <w:r>
      <w:fldChar w:fldCharType="separate"/>
    </w:r>
    <w:r>
      <w:t>DB XX/T 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lang w:val="fr-FR"/>
      </w:rPr>
    </w:pPr>
    <w:r>
      <w:fldChar w:fldCharType="begin"/>
    </w:r>
    <w:r>
      <w:rPr>
        <w:lang w:val="fr-FR"/>
      </w:rPr>
      <w:instrText xml:space="preserve"> STYLEREF  </w:instrText>
    </w:r>
    <w:r>
      <w:instrText xml:space="preserve">标准文件</w:instrText>
    </w:r>
    <w:r>
      <w:rPr>
        <w:lang w:val="fr-FR"/>
      </w:rPr>
      <w:instrText xml:space="preserve">_</w:instrText>
    </w:r>
    <w:r>
      <w:instrText xml:space="preserve">文件编号</w:instrText>
    </w:r>
    <w:r>
      <w:rPr>
        <w:lang w:val="fr-FR"/>
      </w:rPr>
      <w:instrText xml:space="preserve">  \* MERGEFORMAT </w:instrText>
    </w:r>
    <w:r>
      <w:fldChar w:fldCharType="separate"/>
    </w:r>
    <w:r>
      <w:rPr>
        <w:lang w:val="fr-FR"/>
      </w:rPr>
      <w:t>DB XX/T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STYLEREF  标准文件_文件编号  \* MERGEFORMAT </w:instrText>
    </w:r>
    <w:r>
      <w:fldChar w:fldCharType="separate"/>
    </w:r>
    <w:r>
      <w:t>DB XX/T XXXX—XXXX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lang w:val="fr-FR"/>
      </w:rPr>
    </w:pPr>
    <w:r>
      <w:fldChar w:fldCharType="begin"/>
    </w:r>
    <w:r>
      <w:rPr>
        <w:lang w:val="fr-FR"/>
      </w:rPr>
      <w:instrText xml:space="preserve"> STYLEREF  </w:instrText>
    </w:r>
    <w:r>
      <w:instrText xml:space="preserve">标准文件</w:instrText>
    </w:r>
    <w:r>
      <w:rPr>
        <w:lang w:val="fr-FR"/>
      </w:rPr>
      <w:instrText xml:space="preserve">_</w:instrText>
    </w:r>
    <w:r>
      <w:instrText xml:space="preserve">文件编号</w:instrText>
    </w:r>
    <w:r>
      <w:rPr>
        <w:lang w:val="fr-FR"/>
      </w:rPr>
      <w:instrText xml:space="preserve">  \* MERGEFORMAT </w:instrText>
    </w:r>
    <w:r>
      <w:fldChar w:fldCharType="separate"/>
    </w:r>
    <w:r>
      <w:rPr>
        <w:lang w:val="fr-FR"/>
      </w:rPr>
      <w:t>DB XX/T XXXX—XXXX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mc:AlternateContent>
        <mc:Choice Requires="wps">
          <w:drawing>
            <wp:anchor distT="0" distB="0" distL="114300" distR="114300" simplePos="0" relativeHeight="251660288" behindDoc="0" locked="0" layoutInCell="1" allowOverlap="1">
              <wp:simplePos x="0" y="0"/>
              <wp:positionH relativeFrom="page">
                <wp:posOffset>9539605</wp:posOffset>
              </wp:positionH>
              <wp:positionV relativeFrom="page">
                <wp:posOffset>5570855</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63"/>
                          </w:pPr>
                          <w:r>
                            <w:fldChar w:fldCharType="begin"/>
                          </w:r>
                          <w:r>
                            <w:instrText xml:space="preserve"> STYLEREF  标准文件_文件编号  \* MERGEFORMAT </w:instrText>
                          </w:r>
                          <w:r>
                            <w:fldChar w:fldCharType="separate"/>
                          </w:r>
                          <w:r>
                            <w:t>DB XX/T XXXX—XXXX</w:t>
                          </w:r>
                          <w:r>
                            <w:fldChar w:fldCharType="end"/>
                          </w:r>
                        </w:p>
                      </w:txbxContent>
                    </wps:txbx>
                    <wps:bodyPr rot="0" spcFirstLastPara="0" vertOverflow="overflow" horzOverflow="overflow" vert="eaVert" wrap="none" lIns="91440" tIns="45720" rIns="91440" bIns="45720" numCol="1" spcCol="0" rtlCol="0" fromWordArt="0" anchor="b" anchorCtr="0" forceAA="0" compatLnSpc="1">
                      <a:spAutoFit/>
                    </wps:bodyPr>
                  </wps:wsp>
                </a:graphicData>
              </a:graphic>
            </wp:anchor>
          </w:drawing>
        </mc:Choice>
        <mc:Fallback>
          <w:pict>
            <v:shape id="_x0000_s1026" o:spid="_x0000_s1026" o:spt="202" type="#_x0000_t202" style="position:absolute;left:0pt;margin-left:751.15pt;margin-top:438.65pt;height:144pt;width:144pt;mso-position-horizontal-relative:page;mso-position-vertical-relative:page;mso-wrap-style:none;z-index:251660288;v-text-anchor:bottom;mso-width-relative:page;mso-height-relative:page;" filled="f" stroked="f" coordsize="21600,21600" o:gfxdata="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119CNwAAAAOAQAADwAAAAAAAAABACAAAAAiAAAAZHJz&#10;L2Rvd25yZXYueG1sUEsBAhQAFAAAAAgAh07iQHzzoDY5AgAAaQQAAA4AAAAAAAAAAQAgAAAAKwEA&#10;AGRycy9lMm9Eb2MueG1sUEsFBgAAAAAGAAYAWQEAANYFAAAAAA==&#10;">
              <v:fill on="f" focussize="0,0"/>
              <v:stroke on="f" weight="0.5pt"/>
              <v:imagedata o:title=""/>
              <o:lock v:ext="edit" aspectratio="f"/>
              <v:textbox style="layout-flow:vertical-ideographic;mso-fit-shape-to-text:t;">
                <w:txbxContent>
                  <w:p>
                    <w:pPr>
                      <w:pStyle w:val="63"/>
                    </w:pPr>
                    <w:r>
                      <w:fldChar w:fldCharType="begin"/>
                    </w:r>
                    <w:r>
                      <w:instrText xml:space="preserve"> STYLEREF  标准文件_文件编号  \* MERGEFORMAT </w:instrText>
                    </w:r>
                    <w:r>
                      <w:fldChar w:fldCharType="separate"/>
                    </w:r>
                    <w:r>
                      <w:t>DB XX/T XXXX—XXXX</w:t>
                    </w:r>
                    <w:r>
                      <w:fldChar w:fldCharType="end"/>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pPr>
    <w:r>
      <mc:AlternateContent>
        <mc:Choice Requires="wps">
          <w:drawing>
            <wp:anchor distT="0" distB="0" distL="114300" distR="114300" simplePos="0" relativeHeight="251663360" behindDoc="0" locked="0" layoutInCell="1" allowOverlap="1">
              <wp:simplePos x="0" y="0"/>
              <wp:positionH relativeFrom="page">
                <wp:posOffset>9719945</wp:posOffset>
              </wp:positionH>
              <wp:positionV relativeFrom="page">
                <wp:posOffset>899795</wp:posOffset>
              </wp:positionV>
              <wp:extent cx="1828800" cy="1828800"/>
              <wp:effectExtent l="0" t="0" r="5080" b="12065"/>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64"/>
                          </w:pPr>
                          <w:r>
                            <w:fldChar w:fldCharType="begin"/>
                          </w:r>
                          <w:r>
                            <w:instrText xml:space="preserve"> STYLEREF  标准文件_文件编号 \* MERGEFORMAT </w:instrText>
                          </w:r>
                          <w:r>
                            <w:fldChar w:fldCharType="separate"/>
                          </w:r>
                          <w:r>
                            <w:t>DB XX/T XXXX—XXXX</w:t>
                          </w:r>
                          <w:r>
                            <w:fldChar w:fldCharType="end"/>
                          </w:r>
                        </w:p>
                      </w:txbxContent>
                    </wps:txbx>
                    <wps:bodyPr rot="0" spcFirstLastPara="0" vertOverflow="overflow" horzOverflow="overflow" vert="eaVert" wrap="none" lIns="0" tIns="0" rIns="0" bIns="0" numCol="1" spcCol="0" rtlCol="0" fromWordArt="0" anchor="b" anchorCtr="0" forceAA="0" compatLnSpc="1">
                      <a:spAutoFit/>
                    </wps:bodyPr>
                  </wps:wsp>
                </a:graphicData>
              </a:graphic>
            </wp:anchor>
          </w:drawing>
        </mc:Choice>
        <mc:Fallback>
          <w:pict>
            <v:shape id="_x0000_s1026" o:spid="_x0000_s1026" o:spt="202" type="#_x0000_t202" style="position:absolute;left:0pt;margin-left:765.35pt;margin-top:70.85pt;height:144pt;width:144pt;mso-position-horizontal-relative:page;mso-position-vertical-relative:page;mso-wrap-style:none;z-index:251663360;v-text-anchor:bottom;mso-width-relative:page;mso-height-relative:page;" filled="f" stroked="f" coordsize="21600,21600" o:gfxdata="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si7HNkAAAANAQAADwAAAAAAAAABACAAAAAiAAAAZHJzL2Rvd25yZXYueG1s&#10;UEsBAhQAFAAAAAgAh07iQKzNpAswAgAAWQQAAA4AAAAAAAAAAQAgAAAAKAEAAGRycy9lMm9Eb2Mu&#10;eG1sUEsFBgAAAAAGAAYAWQEAAMoFAAAAAA==&#10;">
              <v:fill on="f" focussize="0,0"/>
              <v:stroke on="f" weight="0.5pt"/>
              <v:imagedata o:title=""/>
              <o:lock v:ext="edit" aspectratio="f"/>
              <v:textbox inset="0mm,0mm,0mm,0mm" style="layout-flow:vertical-ideographic;mso-fit-shape-to-text:t;">
                <w:txbxContent>
                  <w:p>
                    <w:pPr>
                      <w:pStyle w:val="64"/>
                    </w:pPr>
                    <w:r>
                      <w:fldChar w:fldCharType="begin"/>
                    </w:r>
                    <w:r>
                      <w:instrText xml:space="preserve"> STYLEREF  标准文件_文件编号 \* MERGEFORMAT </w:instrText>
                    </w:r>
                    <w:r>
                      <w:fldChar w:fldCharType="separate"/>
                    </w:r>
                    <w:r>
                      <w:t>DB XX/T XXXX—XXXX</w:t>
                    </w:r>
                    <w:r>
                      <w:fldChar w:fldCharType="end"/>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STYLEREF  标准文件_文件编号  \* MERGEFORMAT </w:instrText>
    </w:r>
    <w:r>
      <w:fldChar w:fldCharType="separate"/>
    </w:r>
    <w:r>
      <w:t>DB XX/T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6"/>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1"/>
      <w:suff w:val="nothing"/>
      <w:lvlText w:val="%1%2.%3　"/>
      <w:lvlJc w:val="left"/>
      <w:pPr>
        <w:ind w:left="0" w:firstLine="0"/>
      </w:pPr>
    </w:lvl>
    <w:lvl w:ilvl="3" w:tentative="0">
      <w:start w:val="1"/>
      <w:numFmt w:val="decimal"/>
      <w:pStyle w:val="120"/>
      <w:suff w:val="nothing"/>
      <w:lvlText w:val="%1%2.%3.%4　"/>
      <w:lvlJc w:val="left"/>
      <w:pPr>
        <w:ind w:left="0" w:firstLine="0"/>
      </w:pPr>
    </w:lvl>
    <w:lvl w:ilvl="4" w:tentative="0">
      <w:start w:val="1"/>
      <w:numFmt w:val="decimal"/>
      <w:pStyle w:val="155"/>
      <w:suff w:val="nothing"/>
      <w:lvlText w:val="%1%2.%3.%4.%5　"/>
      <w:lvlJc w:val="left"/>
      <w:pPr>
        <w:ind w:left="0" w:firstLine="0"/>
      </w:pPr>
    </w:lvl>
    <w:lvl w:ilvl="5" w:tentative="0">
      <w:start w:val="1"/>
      <w:numFmt w:val="decimal"/>
      <w:pStyle w:val="157"/>
      <w:suff w:val="nothing"/>
      <w:lvlText w:val="%1%2.%3.%4.%5.%6　"/>
      <w:lvlJc w:val="left"/>
      <w:pPr>
        <w:ind w:left="0" w:firstLine="0"/>
      </w:pPr>
    </w:lvl>
    <w:lvl w:ilvl="6" w:tentative="0">
      <w:start w:val="1"/>
      <w:numFmt w:val="decimal"/>
      <w:pStyle w:val="160"/>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2"/>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1"/>
      <w:lvlText w:val="%1"/>
      <w:lvlJc w:val="left"/>
      <w:pPr>
        <w:ind w:left="425" w:hanging="425"/>
      </w:pPr>
      <w:rPr>
        <w:rFonts w:hint="eastAsia"/>
      </w:rPr>
    </w:lvl>
    <w:lvl w:ilvl="1" w:tentative="0">
      <w:start w:val="1"/>
      <w:numFmt w:val="decimal"/>
      <w:pStyle w:val="202"/>
      <w:suff w:val="nothing"/>
      <w:lvlText w:val="%10.%2 "/>
      <w:lvlJc w:val="left"/>
      <w:pPr>
        <w:ind w:left="0" w:firstLine="0"/>
      </w:pPr>
      <w:rPr>
        <w:rFonts w:hint="eastAsia" w:ascii="黑体" w:eastAsia="黑体" w:hAnsiTheme="minorHAnsi"/>
        <w:b w:val="0"/>
        <w:i w:val="0"/>
        <w:sz w:val="21"/>
      </w:rPr>
    </w:lvl>
    <w:lvl w:ilvl="2" w:tentative="0">
      <w:start w:val="1"/>
      <w:numFmt w:val="decimal"/>
      <w:pStyle w:val="203"/>
      <w:suff w:val="nothing"/>
      <w:lvlText w:val="%10.%2.%3 "/>
      <w:lvlJc w:val="left"/>
      <w:pPr>
        <w:ind w:left="0" w:firstLine="0"/>
      </w:pPr>
      <w:rPr>
        <w:rFonts w:hint="eastAsia" w:ascii="黑体" w:eastAsia="黑体" w:hAnsiTheme="minorHAnsi"/>
        <w:b w:val="0"/>
        <w:i w:val="0"/>
        <w:sz w:val="21"/>
      </w:rPr>
    </w:lvl>
    <w:lvl w:ilvl="3" w:tentative="0">
      <w:start w:val="1"/>
      <w:numFmt w:val="decimal"/>
      <w:pStyle w:val="204"/>
      <w:suff w:val="nothing"/>
      <w:lvlText w:val="%10.%2.%3.%4 "/>
      <w:lvlJc w:val="left"/>
      <w:pPr>
        <w:ind w:left="0" w:firstLine="0"/>
      </w:pPr>
      <w:rPr>
        <w:rFonts w:hint="eastAsia" w:ascii="黑体" w:eastAsia="黑体" w:hAnsiTheme="minorHAnsi"/>
        <w:b w:val="0"/>
        <w:i w:val="0"/>
        <w:sz w:val="21"/>
      </w:rPr>
    </w:lvl>
    <w:lvl w:ilvl="4" w:tentative="0">
      <w:start w:val="1"/>
      <w:numFmt w:val="decimal"/>
      <w:pStyle w:val="205"/>
      <w:suff w:val="nothing"/>
      <w:lvlText w:val="%10.%2.%3.%4.%5 "/>
      <w:lvlJc w:val="left"/>
      <w:pPr>
        <w:ind w:left="0" w:firstLine="0"/>
      </w:pPr>
      <w:rPr>
        <w:rFonts w:hint="eastAsia" w:ascii="黑体" w:eastAsia="黑体" w:hAnsiTheme="minorHAnsi"/>
        <w:b w:val="0"/>
        <w:i w:val="0"/>
        <w:sz w:val="21"/>
      </w:rPr>
    </w:lvl>
    <w:lvl w:ilvl="5" w:tentative="0">
      <w:start w:val="1"/>
      <w:numFmt w:val="decimal"/>
      <w:pStyle w:val="206"/>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3"/>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9"/>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1"/>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2"/>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7"/>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4"/>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4B86B7B"/>
    <w:multiLevelType w:val="multilevel"/>
    <w:tmpl w:val="24B86B7B"/>
    <w:lvl w:ilvl="0" w:tentative="0">
      <w:start w:val="1"/>
      <w:numFmt w:val="decimal"/>
      <w:lvlText w:val="%1"/>
      <w:lvlJc w:val="left"/>
      <w:pPr>
        <w:ind w:left="786"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C5917C3"/>
    <w:multiLevelType w:val="multilevel"/>
    <w:tmpl w:val="2C5917C3"/>
    <w:lvl w:ilvl="0" w:tentative="0">
      <w:start w:val="1"/>
      <w:numFmt w:val="none"/>
      <w:pStyle w:val="134"/>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9"/>
      <w:lvlText w:val=""/>
      <w:lvlJc w:val="left"/>
      <w:pPr>
        <w:ind w:left="851" w:hanging="431"/>
      </w:pPr>
      <w:rPr>
        <w:rFonts w:hint="default" w:ascii="Symbol" w:hAnsi="Symbol"/>
        <w:sz w:val="21"/>
      </w:rPr>
    </w:lvl>
    <w:lvl w:ilvl="2" w:tentative="0">
      <w:start w:val="1"/>
      <w:numFmt w:val="bullet"/>
      <w:pStyle w:val="174"/>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2">
    <w:nsid w:val="32F04FB2"/>
    <w:multiLevelType w:val="multilevel"/>
    <w:tmpl w:val="32F04FB2"/>
    <w:lvl w:ilvl="0" w:tentative="0">
      <w:start w:val="1"/>
      <w:numFmt w:val="lowerLetter"/>
      <w:pStyle w:val="103"/>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3">
    <w:nsid w:val="44C50F90"/>
    <w:multiLevelType w:val="multilevel"/>
    <w:tmpl w:val="44C50F90"/>
    <w:lvl w:ilvl="0" w:tentative="0">
      <w:start w:val="1"/>
      <w:numFmt w:val="lowerLetter"/>
      <w:pStyle w:val="176"/>
      <w:lvlText w:val="%1)"/>
      <w:lvlJc w:val="left"/>
      <w:pPr>
        <w:tabs>
          <w:tab w:val="left" w:pos="851"/>
        </w:tabs>
        <w:ind w:left="851" w:hanging="426"/>
      </w:pPr>
      <w:rPr>
        <w:rFonts w:hint="eastAsia" w:ascii="宋体" w:hAnsi="Times New Roman" w:eastAsia="宋体"/>
        <w:sz w:val="21"/>
      </w:rPr>
    </w:lvl>
    <w:lvl w:ilvl="1" w:tentative="0">
      <w:start w:val="1"/>
      <w:numFmt w:val="decimal"/>
      <w:pStyle w:val="111"/>
      <w:lvlText w:val="%2)"/>
      <w:lvlJc w:val="left"/>
      <w:pPr>
        <w:tabs>
          <w:tab w:val="left" w:pos="1276"/>
        </w:tabs>
        <w:ind w:left="1276" w:hanging="425"/>
      </w:pPr>
      <w:rPr>
        <w:rFonts w:hint="eastAsia" w:ascii="宋体" w:hAnsi="Times New Roman" w:eastAsia="宋体"/>
        <w:sz w:val="21"/>
      </w:rPr>
    </w:lvl>
    <w:lvl w:ilvl="2" w:tentative="0">
      <w:start w:val="1"/>
      <w:numFmt w:val="decimal"/>
      <w:pStyle w:val="119"/>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4">
    <w:nsid w:val="48802D1C"/>
    <w:multiLevelType w:val="multilevel"/>
    <w:tmpl w:val="48802D1C"/>
    <w:lvl w:ilvl="0" w:tentative="0">
      <w:start w:val="1"/>
      <w:numFmt w:val="upperLetter"/>
      <w:pStyle w:val="200"/>
      <w:lvlText w:val="%1"/>
      <w:lvlJc w:val="left"/>
      <w:pPr>
        <w:ind w:left="420" w:hanging="420"/>
      </w:pPr>
      <w:rPr>
        <w:rFonts w:hint="eastAsia"/>
      </w:rPr>
    </w:lvl>
    <w:lvl w:ilvl="1" w:tentative="0">
      <w:start w:val="1"/>
      <w:numFmt w:val="decimal"/>
      <w:pStyle w:val="85"/>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4B733A5F"/>
    <w:multiLevelType w:val="multilevel"/>
    <w:tmpl w:val="4B733A5F"/>
    <w:lvl w:ilvl="0" w:tentative="0">
      <w:start w:val="1"/>
      <w:numFmt w:val="decimal"/>
      <w:pStyle w:val="185"/>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6">
    <w:nsid w:val="4E5D0534"/>
    <w:multiLevelType w:val="multilevel"/>
    <w:tmpl w:val="4E5D0534"/>
    <w:lvl w:ilvl="0" w:tentative="0">
      <w:start w:val="1"/>
      <w:numFmt w:val="decimal"/>
      <w:pStyle w:val="118"/>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7">
    <w:nsid w:val="54632751"/>
    <w:multiLevelType w:val="multilevel"/>
    <w:tmpl w:val="54632751"/>
    <w:lvl w:ilvl="0" w:tentative="0">
      <w:start w:val="1"/>
      <w:numFmt w:val="none"/>
      <w:pStyle w:val="95"/>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8">
    <w:nsid w:val="557C2AF5"/>
    <w:multiLevelType w:val="multilevel"/>
    <w:tmpl w:val="557C2AF5"/>
    <w:lvl w:ilvl="0" w:tentative="0">
      <w:start w:val="1"/>
      <w:numFmt w:val="decimal"/>
      <w:pStyle w:val="116"/>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603797C"/>
    <w:multiLevelType w:val="multilevel"/>
    <w:tmpl w:val="5603797C"/>
    <w:lvl w:ilvl="0" w:tentative="0">
      <w:start w:val="1"/>
      <w:numFmt w:val="upperLetter"/>
      <w:pStyle w:val="201"/>
      <w:suff w:val="space"/>
      <w:lvlText w:val="%1"/>
      <w:lvlJc w:val="left"/>
      <w:pPr>
        <w:ind w:left="425" w:hanging="425"/>
      </w:pPr>
      <w:rPr>
        <w:rFonts w:hint="eastAsia"/>
      </w:rPr>
    </w:lvl>
    <w:lvl w:ilvl="1" w:tentative="0">
      <w:start w:val="1"/>
      <w:numFmt w:val="decimal"/>
      <w:pStyle w:val="79"/>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564D2089"/>
    <w:multiLevelType w:val="multilevel"/>
    <w:tmpl w:val="564D2089"/>
    <w:lvl w:ilvl="0" w:tentative="0">
      <w:start w:val="1"/>
      <w:numFmt w:val="none"/>
      <w:pStyle w:val="113"/>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44622F9"/>
    <w:multiLevelType w:val="multilevel"/>
    <w:tmpl w:val="644622F9"/>
    <w:lvl w:ilvl="0" w:tentative="0">
      <w:start w:val="1"/>
      <w:numFmt w:val="upp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tentative="0">
      <w:start w:val="1"/>
      <w:numFmt w:val="decimal"/>
      <w:pStyle w:val="114"/>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3">
    <w:nsid w:val="654A26C9"/>
    <w:multiLevelType w:val="multilevel"/>
    <w:tmpl w:val="654A26C9"/>
    <w:lvl w:ilvl="0" w:tentative="0">
      <w:start w:val="1"/>
      <w:numFmt w:val="none"/>
      <w:pStyle w:val="191"/>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4">
    <w:nsid w:val="657D3FBC"/>
    <w:multiLevelType w:val="multilevel"/>
    <w:tmpl w:val="657D3FBC"/>
    <w:lvl w:ilvl="0" w:tentative="0">
      <w:start w:val="1"/>
      <w:numFmt w:val="upperLetter"/>
      <w:pStyle w:val="78"/>
      <w:suff w:val="nothing"/>
      <w:lvlText w:val="附录%1"/>
      <w:lvlJc w:val="left"/>
      <w:pPr>
        <w:ind w:left="0" w:firstLine="0"/>
      </w:pPr>
      <w:rPr>
        <w:rFonts w:hint="eastAsia"/>
        <w:spacing w:val="100"/>
      </w:rPr>
    </w:lvl>
    <w:lvl w:ilvl="1" w:tentative="0">
      <w:start w:val="1"/>
      <w:numFmt w:val="decimal"/>
      <w:pStyle w:val="80"/>
      <w:suff w:val="nothing"/>
      <w:lvlText w:val="%1.%2　"/>
      <w:lvlJc w:val="left"/>
      <w:pPr>
        <w:ind w:left="0" w:firstLine="0"/>
      </w:pPr>
      <w:rPr>
        <w:rFonts w:hint="eastAsia" w:ascii="黑体" w:eastAsia="黑体"/>
        <w:b w:val="0"/>
        <w:i w:val="0"/>
        <w:sz w:val="21"/>
      </w:rPr>
    </w:lvl>
    <w:lvl w:ilvl="2" w:tentative="0">
      <w:start w:val="1"/>
      <w:numFmt w:val="decimal"/>
      <w:pStyle w:val="81"/>
      <w:suff w:val="nothing"/>
      <w:lvlText w:val="%1.%2.%3　"/>
      <w:lvlJc w:val="left"/>
      <w:pPr>
        <w:ind w:left="0" w:firstLine="0"/>
      </w:pPr>
      <w:rPr>
        <w:rFonts w:hint="eastAsia" w:ascii="黑体" w:eastAsia="黑体"/>
        <w:b w:val="0"/>
        <w:i w:val="0"/>
        <w:sz w:val="21"/>
      </w:rPr>
    </w:lvl>
    <w:lvl w:ilvl="3" w:tentative="0">
      <w:start w:val="1"/>
      <w:numFmt w:val="decimal"/>
      <w:pStyle w:val="83"/>
      <w:suff w:val="nothing"/>
      <w:lvlText w:val="%1.%2.%3.%4　"/>
      <w:lvlJc w:val="left"/>
      <w:pPr>
        <w:ind w:left="0" w:firstLine="0"/>
      </w:pPr>
      <w:rPr>
        <w:rFonts w:hint="eastAsia" w:ascii="黑体" w:eastAsia="黑体"/>
        <w:b w:val="0"/>
        <w:i w:val="0"/>
        <w:sz w:val="21"/>
      </w:rPr>
    </w:lvl>
    <w:lvl w:ilvl="4" w:tentative="0">
      <w:start w:val="1"/>
      <w:numFmt w:val="decimal"/>
      <w:pStyle w:val="84"/>
      <w:suff w:val="nothing"/>
      <w:lvlText w:val="%1.%2.%3.%4.%5　"/>
      <w:lvlJc w:val="left"/>
      <w:pPr>
        <w:ind w:left="0" w:firstLine="0"/>
      </w:pPr>
      <w:rPr>
        <w:rFonts w:hint="eastAsia" w:ascii="黑体" w:eastAsia="黑体"/>
        <w:b w:val="0"/>
        <w:i w:val="0"/>
        <w:sz w:val="21"/>
      </w:rPr>
    </w:lvl>
    <w:lvl w:ilvl="5" w:tentative="0">
      <w:start w:val="1"/>
      <w:numFmt w:val="decimal"/>
      <w:pStyle w:val="86"/>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tentative="0">
      <w:start w:val="1"/>
      <w:numFmt w:val="bullet"/>
      <w:pStyle w:val="190"/>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6CA41985"/>
    <w:multiLevelType w:val="multilevel"/>
    <w:tmpl w:val="6CA41985"/>
    <w:lvl w:ilvl="0" w:tentative="0">
      <w:start w:val="1"/>
      <w:numFmt w:val="decimal"/>
      <w:pStyle w:val="99"/>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CE42AC1"/>
    <w:multiLevelType w:val="multilevel"/>
    <w:tmpl w:val="6CE42AC1"/>
    <w:lvl w:ilvl="0" w:tentative="0">
      <w:start w:val="1"/>
      <w:numFmt w:val="lowerLetter"/>
      <w:pStyle w:val="17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CEA2025"/>
    <w:multiLevelType w:val="multilevel"/>
    <w:tmpl w:val="6CEA2025"/>
    <w:lvl w:ilvl="0" w:tentative="0">
      <w:start w:val="1"/>
      <w:numFmt w:val="none"/>
      <w:pStyle w:val="154"/>
      <w:suff w:val="nothing"/>
      <w:lvlText w:val="%1"/>
      <w:lvlJc w:val="left"/>
      <w:pPr>
        <w:ind w:left="0" w:firstLine="0"/>
      </w:pPr>
      <w:rPr>
        <w:rFonts w:hint="eastAsia"/>
      </w:rPr>
    </w:lvl>
    <w:lvl w:ilvl="1" w:tentative="0">
      <w:start w:val="1"/>
      <w:numFmt w:val="decimal"/>
      <w:pStyle w:val="106"/>
      <w:suff w:val="nothing"/>
      <w:lvlText w:val="%1%2　"/>
      <w:lvlJc w:val="left"/>
      <w:pPr>
        <w:ind w:left="0" w:firstLine="0"/>
      </w:pPr>
      <w:rPr>
        <w:rFonts w:hint="eastAsia" w:ascii="黑体" w:eastAsia="黑体"/>
        <w:b w:val="0"/>
        <w:i w:val="0"/>
        <w:sz w:val="21"/>
      </w:rPr>
    </w:lvl>
    <w:lvl w:ilvl="2" w:tentative="0">
      <w:start w:val="1"/>
      <w:numFmt w:val="decimal"/>
      <w:pStyle w:val="107"/>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3" w:tentative="0">
      <w:start w:val="1"/>
      <w:numFmt w:val="decimal"/>
      <w:pStyle w:val="67"/>
      <w:suff w:val="nothing"/>
      <w:lvlText w:val="%1%2.%3.%4　"/>
      <w:lvlJc w:val="left"/>
      <w:pPr>
        <w:ind w:left="2978" w:firstLine="0"/>
      </w:pPr>
      <w:rPr>
        <w:rFonts w:hint="eastAsia" w:ascii="黑体" w:eastAsia="黑体"/>
        <w:b w:val="0"/>
        <w:i w:val="0"/>
        <w:sz w:val="21"/>
      </w:rPr>
    </w:lvl>
    <w:lvl w:ilvl="4" w:tentative="0">
      <w:start w:val="1"/>
      <w:numFmt w:val="decimal"/>
      <w:pStyle w:val="96"/>
      <w:suff w:val="nothing"/>
      <w:lvlText w:val="%1%2.%3.%4.%5　"/>
      <w:lvlJc w:val="left"/>
      <w:pPr>
        <w:ind w:left="0" w:firstLine="0"/>
      </w:pPr>
      <w:rPr>
        <w:rFonts w:hint="eastAsia" w:ascii="黑体" w:eastAsia="黑体"/>
        <w:b w:val="0"/>
        <w:i w:val="0"/>
        <w:sz w:val="21"/>
      </w:rPr>
    </w:lvl>
    <w:lvl w:ilvl="5" w:tentative="0">
      <w:start w:val="1"/>
      <w:numFmt w:val="decimal"/>
      <w:pStyle w:val="100"/>
      <w:suff w:val="nothing"/>
      <w:lvlText w:val="%1%2.%3.%4.%5.%6　"/>
      <w:lvlJc w:val="left"/>
      <w:pPr>
        <w:ind w:left="0" w:firstLine="0"/>
      </w:pPr>
      <w:rPr>
        <w:rFonts w:hint="eastAsia" w:ascii="黑体" w:eastAsia="黑体"/>
        <w:b w:val="0"/>
        <w:i w:val="0"/>
        <w:sz w:val="21"/>
      </w:rPr>
    </w:lvl>
    <w:lvl w:ilvl="6" w:tentative="0">
      <w:start w:val="1"/>
      <w:numFmt w:val="decimal"/>
      <w:pStyle w:val="105"/>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tentative="0">
      <w:start w:val="1"/>
      <w:numFmt w:val="none"/>
      <w:pStyle w:val="181"/>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tentative="0">
      <w:start w:val="1"/>
      <w:numFmt w:val="decimal"/>
      <w:pStyle w:val="117"/>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1">
    <w:nsid w:val="76933334"/>
    <w:multiLevelType w:val="multilevel"/>
    <w:tmpl w:val="76933334"/>
    <w:lvl w:ilvl="0" w:tentative="0">
      <w:start w:val="1"/>
      <w:numFmt w:val="none"/>
      <w:pStyle w:val="141"/>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8"/>
  </w:num>
  <w:num w:numId="3">
    <w:abstractNumId w:val="5"/>
  </w:num>
  <w:num w:numId="4">
    <w:abstractNumId w:val="24"/>
  </w:num>
  <w:num w:numId="5">
    <w:abstractNumId w:val="19"/>
  </w:num>
  <w:num w:numId="6">
    <w:abstractNumId w:val="14"/>
  </w:num>
  <w:num w:numId="7">
    <w:abstractNumId w:val="8"/>
  </w:num>
  <w:num w:numId="8">
    <w:abstractNumId w:val="3"/>
  </w:num>
  <w:num w:numId="9">
    <w:abstractNumId w:val="9"/>
  </w:num>
  <w:num w:numId="10">
    <w:abstractNumId w:val="17"/>
  </w:num>
  <w:num w:numId="11">
    <w:abstractNumId w:val="26"/>
  </w:num>
  <w:num w:numId="12">
    <w:abstractNumId w:val="12"/>
  </w:num>
  <w:num w:numId="13">
    <w:abstractNumId w:val="13"/>
  </w:num>
  <w:num w:numId="14">
    <w:abstractNumId w:val="7"/>
  </w:num>
  <w:num w:numId="15">
    <w:abstractNumId w:val="20"/>
  </w:num>
  <w:num w:numId="16">
    <w:abstractNumId w:val="22"/>
  </w:num>
  <w:num w:numId="17">
    <w:abstractNumId w:val="18"/>
  </w:num>
  <w:num w:numId="18">
    <w:abstractNumId w:val="30"/>
  </w:num>
  <w:num w:numId="19">
    <w:abstractNumId w:val="16"/>
  </w:num>
  <w:num w:numId="20">
    <w:abstractNumId w:val="1"/>
  </w:num>
  <w:num w:numId="21">
    <w:abstractNumId w:val="11"/>
  </w:num>
  <w:num w:numId="22">
    <w:abstractNumId w:val="31"/>
  </w:num>
  <w:num w:numId="23">
    <w:abstractNumId w:val="21"/>
  </w:num>
  <w:num w:numId="24">
    <w:abstractNumId w:val="6"/>
  </w:num>
  <w:num w:numId="25">
    <w:abstractNumId w:val="27"/>
  </w:num>
  <w:num w:numId="26">
    <w:abstractNumId w:val="29"/>
  </w:num>
  <w:num w:numId="27">
    <w:abstractNumId w:val="2"/>
  </w:num>
  <w:num w:numId="28">
    <w:abstractNumId w:val="4"/>
  </w:num>
  <w:num w:numId="29">
    <w:abstractNumId w:val="15"/>
  </w:num>
  <w:num w:numId="30">
    <w:abstractNumId w:val="25"/>
  </w:num>
  <w:num w:numId="31">
    <w:abstractNumId w:val="23"/>
  </w:num>
  <w:num w:numId="32">
    <w:abstractNumId w:val="10"/>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dit="forms" w:enforcement="1" w:cryptProviderType="rsaAES" w:cryptAlgorithmClass="hash" w:cryptAlgorithmType="typeAny" w:cryptAlgorithmSid="14" w:cryptSpinCount="100000" w:hash="ROny/gcf6CJRvsGdLS+wRmf+xzJkJ+TIIJrI+VPBUQjqwGcUEbKTC92R7iWtV81r2GffkFEiGcRXl6hM0QSlRw==" w:salt="wfMxqR1TpPoJn6ME9vR71Q=="/>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F1A"/>
    <w:rsid w:val="0000040A"/>
    <w:rsid w:val="00000A94"/>
    <w:rsid w:val="00001972"/>
    <w:rsid w:val="00001D9A"/>
    <w:rsid w:val="000023BD"/>
    <w:rsid w:val="000033CA"/>
    <w:rsid w:val="0000433D"/>
    <w:rsid w:val="00005D6C"/>
    <w:rsid w:val="00007B3A"/>
    <w:rsid w:val="00007D2D"/>
    <w:rsid w:val="00010232"/>
    <w:rsid w:val="000107E0"/>
    <w:rsid w:val="00010FD1"/>
    <w:rsid w:val="00011ADA"/>
    <w:rsid w:val="00011CC7"/>
    <w:rsid w:val="00011FDE"/>
    <w:rsid w:val="00012FFD"/>
    <w:rsid w:val="00014162"/>
    <w:rsid w:val="00014340"/>
    <w:rsid w:val="000151AC"/>
    <w:rsid w:val="00016A9C"/>
    <w:rsid w:val="00022184"/>
    <w:rsid w:val="00022762"/>
    <w:rsid w:val="00022A65"/>
    <w:rsid w:val="000238E0"/>
    <w:rsid w:val="000244B7"/>
    <w:rsid w:val="000249DB"/>
    <w:rsid w:val="0002595E"/>
    <w:rsid w:val="00027A77"/>
    <w:rsid w:val="000303C3"/>
    <w:rsid w:val="00031D03"/>
    <w:rsid w:val="000331D3"/>
    <w:rsid w:val="0003363C"/>
    <w:rsid w:val="000346A5"/>
    <w:rsid w:val="000359C3"/>
    <w:rsid w:val="00035A7D"/>
    <w:rsid w:val="00035C78"/>
    <w:rsid w:val="000365ED"/>
    <w:rsid w:val="000403FA"/>
    <w:rsid w:val="0004068C"/>
    <w:rsid w:val="0004249A"/>
    <w:rsid w:val="000426BA"/>
    <w:rsid w:val="00043282"/>
    <w:rsid w:val="00044286"/>
    <w:rsid w:val="00044BB1"/>
    <w:rsid w:val="00045491"/>
    <w:rsid w:val="000457CE"/>
    <w:rsid w:val="00047A40"/>
    <w:rsid w:val="00047F28"/>
    <w:rsid w:val="000503AA"/>
    <w:rsid w:val="000506A1"/>
    <w:rsid w:val="000515DD"/>
    <w:rsid w:val="0005252A"/>
    <w:rsid w:val="0005265A"/>
    <w:rsid w:val="000539CA"/>
    <w:rsid w:val="000539DD"/>
    <w:rsid w:val="00053BD3"/>
    <w:rsid w:val="000556ED"/>
    <w:rsid w:val="00055FE2"/>
    <w:rsid w:val="0005616F"/>
    <w:rsid w:val="00060551"/>
    <w:rsid w:val="00060C2E"/>
    <w:rsid w:val="00061033"/>
    <w:rsid w:val="000615EE"/>
    <w:rsid w:val="000619E9"/>
    <w:rsid w:val="00061E18"/>
    <w:rsid w:val="000622D4"/>
    <w:rsid w:val="0006329A"/>
    <w:rsid w:val="0006357D"/>
    <w:rsid w:val="00065052"/>
    <w:rsid w:val="00066428"/>
    <w:rsid w:val="00066F73"/>
    <w:rsid w:val="00067F1E"/>
    <w:rsid w:val="00071CC0"/>
    <w:rsid w:val="00073C8C"/>
    <w:rsid w:val="00073DC0"/>
    <w:rsid w:val="00076985"/>
    <w:rsid w:val="00077313"/>
    <w:rsid w:val="00077A47"/>
    <w:rsid w:val="00077B64"/>
    <w:rsid w:val="00080A1C"/>
    <w:rsid w:val="00082317"/>
    <w:rsid w:val="00082A07"/>
    <w:rsid w:val="00083D2C"/>
    <w:rsid w:val="00086AA1"/>
    <w:rsid w:val="00087A77"/>
    <w:rsid w:val="00090951"/>
    <w:rsid w:val="00090CA6"/>
    <w:rsid w:val="00092B8A"/>
    <w:rsid w:val="00092FB0"/>
    <w:rsid w:val="000934C5"/>
    <w:rsid w:val="00093D25"/>
    <w:rsid w:val="00093DAB"/>
    <w:rsid w:val="00094D73"/>
    <w:rsid w:val="00096D63"/>
    <w:rsid w:val="000972C0"/>
    <w:rsid w:val="000A0B60"/>
    <w:rsid w:val="000A0EB8"/>
    <w:rsid w:val="000A14B1"/>
    <w:rsid w:val="000A19FC"/>
    <w:rsid w:val="000A296B"/>
    <w:rsid w:val="000A343A"/>
    <w:rsid w:val="000A34F8"/>
    <w:rsid w:val="000A41CB"/>
    <w:rsid w:val="000A4405"/>
    <w:rsid w:val="000A7311"/>
    <w:rsid w:val="000B060F"/>
    <w:rsid w:val="000B105E"/>
    <w:rsid w:val="000B1592"/>
    <w:rsid w:val="000B1FF2"/>
    <w:rsid w:val="000B3CDA"/>
    <w:rsid w:val="000B54B2"/>
    <w:rsid w:val="000B6A0B"/>
    <w:rsid w:val="000B6AA1"/>
    <w:rsid w:val="000C0F6C"/>
    <w:rsid w:val="000C11DB"/>
    <w:rsid w:val="000C12FF"/>
    <w:rsid w:val="000C1492"/>
    <w:rsid w:val="000C154E"/>
    <w:rsid w:val="000C2FBD"/>
    <w:rsid w:val="000C4B41"/>
    <w:rsid w:val="000C57D6"/>
    <w:rsid w:val="000C6362"/>
    <w:rsid w:val="000C7666"/>
    <w:rsid w:val="000D052E"/>
    <w:rsid w:val="000D0A9C"/>
    <w:rsid w:val="000D1795"/>
    <w:rsid w:val="000D329A"/>
    <w:rsid w:val="000D4B9C"/>
    <w:rsid w:val="000D4EB6"/>
    <w:rsid w:val="000D71A3"/>
    <w:rsid w:val="000D753B"/>
    <w:rsid w:val="000E09D5"/>
    <w:rsid w:val="000E4C9E"/>
    <w:rsid w:val="000E5098"/>
    <w:rsid w:val="000E6FD7"/>
    <w:rsid w:val="000F06E1"/>
    <w:rsid w:val="000F072F"/>
    <w:rsid w:val="000F0E3C"/>
    <w:rsid w:val="000F17A5"/>
    <w:rsid w:val="000F19D5"/>
    <w:rsid w:val="000F4AEA"/>
    <w:rsid w:val="000F633F"/>
    <w:rsid w:val="000F67E9"/>
    <w:rsid w:val="0010126F"/>
    <w:rsid w:val="00103086"/>
    <w:rsid w:val="00104926"/>
    <w:rsid w:val="0010551F"/>
    <w:rsid w:val="001060DD"/>
    <w:rsid w:val="00106704"/>
    <w:rsid w:val="00113B1E"/>
    <w:rsid w:val="00115127"/>
    <w:rsid w:val="001154A1"/>
    <w:rsid w:val="0011711C"/>
    <w:rsid w:val="001173D2"/>
    <w:rsid w:val="0012059C"/>
    <w:rsid w:val="00121E41"/>
    <w:rsid w:val="00124E4F"/>
    <w:rsid w:val="001260B7"/>
    <w:rsid w:val="001265CB"/>
    <w:rsid w:val="00130E6C"/>
    <w:rsid w:val="001312D5"/>
    <w:rsid w:val="001321C6"/>
    <w:rsid w:val="001325C4"/>
    <w:rsid w:val="00132CA7"/>
    <w:rsid w:val="00133010"/>
    <w:rsid w:val="001338EE"/>
    <w:rsid w:val="00133AAE"/>
    <w:rsid w:val="00133BEB"/>
    <w:rsid w:val="00135323"/>
    <w:rsid w:val="001356C4"/>
    <w:rsid w:val="00140F9A"/>
    <w:rsid w:val="00141114"/>
    <w:rsid w:val="00142969"/>
    <w:rsid w:val="001446C2"/>
    <w:rsid w:val="001457E7"/>
    <w:rsid w:val="00145D9D"/>
    <w:rsid w:val="00146388"/>
    <w:rsid w:val="001471C7"/>
    <w:rsid w:val="001502BE"/>
    <w:rsid w:val="00150BBC"/>
    <w:rsid w:val="001529E5"/>
    <w:rsid w:val="00153C7E"/>
    <w:rsid w:val="00153DAE"/>
    <w:rsid w:val="00154896"/>
    <w:rsid w:val="001561FB"/>
    <w:rsid w:val="00156B25"/>
    <w:rsid w:val="00156E1A"/>
    <w:rsid w:val="00157894"/>
    <w:rsid w:val="00157B55"/>
    <w:rsid w:val="001602A1"/>
    <w:rsid w:val="00160505"/>
    <w:rsid w:val="00160C78"/>
    <w:rsid w:val="001612B2"/>
    <w:rsid w:val="001625A4"/>
    <w:rsid w:val="00163829"/>
    <w:rsid w:val="00163969"/>
    <w:rsid w:val="00163B46"/>
    <w:rsid w:val="001642FA"/>
    <w:rsid w:val="001643AE"/>
    <w:rsid w:val="001649EB"/>
    <w:rsid w:val="00164BAF"/>
    <w:rsid w:val="00164FA8"/>
    <w:rsid w:val="00165065"/>
    <w:rsid w:val="00165434"/>
    <w:rsid w:val="0016580B"/>
    <w:rsid w:val="00165F49"/>
    <w:rsid w:val="00166106"/>
    <w:rsid w:val="00166B88"/>
    <w:rsid w:val="0016770A"/>
    <w:rsid w:val="00167B02"/>
    <w:rsid w:val="00170804"/>
    <w:rsid w:val="001708E9"/>
    <w:rsid w:val="0017340B"/>
    <w:rsid w:val="00173A06"/>
    <w:rsid w:val="00173FB1"/>
    <w:rsid w:val="00176DFD"/>
    <w:rsid w:val="00177476"/>
    <w:rsid w:val="00177DA3"/>
    <w:rsid w:val="001826C2"/>
    <w:rsid w:val="00184EB9"/>
    <w:rsid w:val="001852C9"/>
    <w:rsid w:val="00185FAD"/>
    <w:rsid w:val="00186B77"/>
    <w:rsid w:val="00190087"/>
    <w:rsid w:val="001913C4"/>
    <w:rsid w:val="0019348F"/>
    <w:rsid w:val="00193A07"/>
    <w:rsid w:val="00194C95"/>
    <w:rsid w:val="00195C34"/>
    <w:rsid w:val="00196EF5"/>
    <w:rsid w:val="001A00B1"/>
    <w:rsid w:val="001A1A53"/>
    <w:rsid w:val="001A234A"/>
    <w:rsid w:val="001A43F5"/>
    <w:rsid w:val="001A4A6B"/>
    <w:rsid w:val="001A4CF3"/>
    <w:rsid w:val="001A576C"/>
    <w:rsid w:val="001A5977"/>
    <w:rsid w:val="001A6D50"/>
    <w:rsid w:val="001A7D2F"/>
    <w:rsid w:val="001A7F22"/>
    <w:rsid w:val="001B06E8"/>
    <w:rsid w:val="001B1883"/>
    <w:rsid w:val="001B3BD2"/>
    <w:rsid w:val="001B5003"/>
    <w:rsid w:val="001B71D0"/>
    <w:rsid w:val="001B71EE"/>
    <w:rsid w:val="001C04A8"/>
    <w:rsid w:val="001C2C03"/>
    <w:rsid w:val="001C42F7"/>
    <w:rsid w:val="001C49E5"/>
    <w:rsid w:val="001C59D6"/>
    <w:rsid w:val="001C5F73"/>
    <w:rsid w:val="001C680C"/>
    <w:rsid w:val="001C7FEA"/>
    <w:rsid w:val="001D0499"/>
    <w:rsid w:val="001D0BBE"/>
    <w:rsid w:val="001D0ED4"/>
    <w:rsid w:val="001D212F"/>
    <w:rsid w:val="001D29D7"/>
    <w:rsid w:val="001D2DE7"/>
    <w:rsid w:val="001D411C"/>
    <w:rsid w:val="001D4D67"/>
    <w:rsid w:val="001D5308"/>
    <w:rsid w:val="001D7B3E"/>
    <w:rsid w:val="001E1B6A"/>
    <w:rsid w:val="001E2484"/>
    <w:rsid w:val="001E3CC4"/>
    <w:rsid w:val="001E409C"/>
    <w:rsid w:val="001E4882"/>
    <w:rsid w:val="001E52D6"/>
    <w:rsid w:val="001E6DD2"/>
    <w:rsid w:val="001E73AB"/>
    <w:rsid w:val="001F092D"/>
    <w:rsid w:val="001F143A"/>
    <w:rsid w:val="001F1605"/>
    <w:rsid w:val="001F2508"/>
    <w:rsid w:val="001F31EB"/>
    <w:rsid w:val="001F3AF9"/>
    <w:rsid w:val="001F4816"/>
    <w:rsid w:val="001F4EE9"/>
    <w:rsid w:val="001F69B4"/>
    <w:rsid w:val="001F77C7"/>
    <w:rsid w:val="00200183"/>
    <w:rsid w:val="00200333"/>
    <w:rsid w:val="002009E2"/>
    <w:rsid w:val="00200CDB"/>
    <w:rsid w:val="0020107D"/>
    <w:rsid w:val="00201DDF"/>
    <w:rsid w:val="00202AA4"/>
    <w:rsid w:val="00202BBB"/>
    <w:rsid w:val="002031AF"/>
    <w:rsid w:val="002031F7"/>
    <w:rsid w:val="002040E6"/>
    <w:rsid w:val="0020411A"/>
    <w:rsid w:val="00204330"/>
    <w:rsid w:val="0020469C"/>
    <w:rsid w:val="0020527B"/>
    <w:rsid w:val="00205F2C"/>
    <w:rsid w:val="002075AB"/>
    <w:rsid w:val="00207A2C"/>
    <w:rsid w:val="00210B15"/>
    <w:rsid w:val="00214253"/>
    <w:rsid w:val="002142EA"/>
    <w:rsid w:val="002204BB"/>
    <w:rsid w:val="00221B79"/>
    <w:rsid w:val="00221C6B"/>
    <w:rsid w:val="00222564"/>
    <w:rsid w:val="002234F6"/>
    <w:rsid w:val="002253A1"/>
    <w:rsid w:val="00225989"/>
    <w:rsid w:val="00225CF8"/>
    <w:rsid w:val="0022660B"/>
    <w:rsid w:val="002278F3"/>
    <w:rsid w:val="0022794E"/>
    <w:rsid w:val="00232672"/>
    <w:rsid w:val="00233853"/>
    <w:rsid w:val="00233D64"/>
    <w:rsid w:val="0023482A"/>
    <w:rsid w:val="00235790"/>
    <w:rsid w:val="002359CB"/>
    <w:rsid w:val="0024007B"/>
    <w:rsid w:val="00243540"/>
    <w:rsid w:val="0024497B"/>
    <w:rsid w:val="002449D4"/>
    <w:rsid w:val="0024515B"/>
    <w:rsid w:val="00246021"/>
    <w:rsid w:val="0024666E"/>
    <w:rsid w:val="00247B57"/>
    <w:rsid w:val="00247B7F"/>
    <w:rsid w:val="00247E80"/>
    <w:rsid w:val="00247F52"/>
    <w:rsid w:val="00250B25"/>
    <w:rsid w:val="00250BBE"/>
    <w:rsid w:val="002515C2"/>
    <w:rsid w:val="0025194F"/>
    <w:rsid w:val="002534EC"/>
    <w:rsid w:val="00255233"/>
    <w:rsid w:val="002556C9"/>
    <w:rsid w:val="00255C38"/>
    <w:rsid w:val="002576C6"/>
    <w:rsid w:val="0026148A"/>
    <w:rsid w:val="002621A1"/>
    <w:rsid w:val="00262696"/>
    <w:rsid w:val="00263D25"/>
    <w:rsid w:val="002643C3"/>
    <w:rsid w:val="00264A0C"/>
    <w:rsid w:val="00266EEB"/>
    <w:rsid w:val="00267EF4"/>
    <w:rsid w:val="00270CB8"/>
    <w:rsid w:val="00272B08"/>
    <w:rsid w:val="00273E3E"/>
    <w:rsid w:val="002744C1"/>
    <w:rsid w:val="00274620"/>
    <w:rsid w:val="00281BB8"/>
    <w:rsid w:val="00281E9E"/>
    <w:rsid w:val="00282405"/>
    <w:rsid w:val="0028377E"/>
    <w:rsid w:val="00284170"/>
    <w:rsid w:val="00285170"/>
    <w:rsid w:val="00285361"/>
    <w:rsid w:val="00292D60"/>
    <w:rsid w:val="002939D3"/>
    <w:rsid w:val="00293B30"/>
    <w:rsid w:val="00294D34"/>
    <w:rsid w:val="00294E3B"/>
    <w:rsid w:val="00296193"/>
    <w:rsid w:val="00296C66"/>
    <w:rsid w:val="00296EBE"/>
    <w:rsid w:val="00296F27"/>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1EBC"/>
    <w:rsid w:val="002B4508"/>
    <w:rsid w:val="002B5779"/>
    <w:rsid w:val="002B635C"/>
    <w:rsid w:val="002B7332"/>
    <w:rsid w:val="002B7F51"/>
    <w:rsid w:val="002C09E7"/>
    <w:rsid w:val="002C1200"/>
    <w:rsid w:val="002C1E06"/>
    <w:rsid w:val="002C1E1C"/>
    <w:rsid w:val="002C312F"/>
    <w:rsid w:val="002C3F07"/>
    <w:rsid w:val="002C5278"/>
    <w:rsid w:val="002C582D"/>
    <w:rsid w:val="002C7EBB"/>
    <w:rsid w:val="002D06C1"/>
    <w:rsid w:val="002D42B5"/>
    <w:rsid w:val="002D4F1A"/>
    <w:rsid w:val="002D6EC6"/>
    <w:rsid w:val="002D79AC"/>
    <w:rsid w:val="002D7B6C"/>
    <w:rsid w:val="002E039D"/>
    <w:rsid w:val="002E2D3D"/>
    <w:rsid w:val="002E40DF"/>
    <w:rsid w:val="002E4D5A"/>
    <w:rsid w:val="002E4EBD"/>
    <w:rsid w:val="002E6326"/>
    <w:rsid w:val="002F1847"/>
    <w:rsid w:val="002F30E0"/>
    <w:rsid w:val="002F35E4"/>
    <w:rsid w:val="002F3730"/>
    <w:rsid w:val="002F38E1"/>
    <w:rsid w:val="002F4DBA"/>
    <w:rsid w:val="002F606A"/>
    <w:rsid w:val="002F6183"/>
    <w:rsid w:val="002F7AF6"/>
    <w:rsid w:val="00300E63"/>
    <w:rsid w:val="00302F5F"/>
    <w:rsid w:val="0030441D"/>
    <w:rsid w:val="00304711"/>
    <w:rsid w:val="00304F61"/>
    <w:rsid w:val="00305D34"/>
    <w:rsid w:val="00306063"/>
    <w:rsid w:val="00310F37"/>
    <w:rsid w:val="003124BF"/>
    <w:rsid w:val="00313B85"/>
    <w:rsid w:val="00316493"/>
    <w:rsid w:val="00317988"/>
    <w:rsid w:val="003221B4"/>
    <w:rsid w:val="0032258D"/>
    <w:rsid w:val="00322641"/>
    <w:rsid w:val="00322E62"/>
    <w:rsid w:val="00322FD5"/>
    <w:rsid w:val="00323329"/>
    <w:rsid w:val="00323737"/>
    <w:rsid w:val="00324D13"/>
    <w:rsid w:val="00324D2A"/>
    <w:rsid w:val="00324EDD"/>
    <w:rsid w:val="00326362"/>
    <w:rsid w:val="00330BEF"/>
    <w:rsid w:val="003331E4"/>
    <w:rsid w:val="00336C64"/>
    <w:rsid w:val="00337162"/>
    <w:rsid w:val="0034194F"/>
    <w:rsid w:val="003425D7"/>
    <w:rsid w:val="00342E4F"/>
    <w:rsid w:val="00344605"/>
    <w:rsid w:val="003450BF"/>
    <w:rsid w:val="00346B52"/>
    <w:rsid w:val="003474AA"/>
    <w:rsid w:val="00350D1D"/>
    <w:rsid w:val="00352B42"/>
    <w:rsid w:val="00352C83"/>
    <w:rsid w:val="00352C86"/>
    <w:rsid w:val="00353165"/>
    <w:rsid w:val="003539D4"/>
    <w:rsid w:val="003575C9"/>
    <w:rsid w:val="003578CA"/>
    <w:rsid w:val="00357AA3"/>
    <w:rsid w:val="00357CA6"/>
    <w:rsid w:val="003615D2"/>
    <w:rsid w:val="00363A58"/>
    <w:rsid w:val="00363AEA"/>
    <w:rsid w:val="0036429C"/>
    <w:rsid w:val="00364A53"/>
    <w:rsid w:val="003654CB"/>
    <w:rsid w:val="00365AA9"/>
    <w:rsid w:val="00365F86"/>
    <w:rsid w:val="00365F87"/>
    <w:rsid w:val="00366E89"/>
    <w:rsid w:val="003705F4"/>
    <w:rsid w:val="00370D58"/>
    <w:rsid w:val="00371316"/>
    <w:rsid w:val="00371876"/>
    <w:rsid w:val="003729F2"/>
    <w:rsid w:val="00373FD3"/>
    <w:rsid w:val="00376300"/>
    <w:rsid w:val="00376355"/>
    <w:rsid w:val="00376713"/>
    <w:rsid w:val="003768F5"/>
    <w:rsid w:val="00381815"/>
    <w:rsid w:val="003819AF"/>
    <w:rsid w:val="003820E9"/>
    <w:rsid w:val="00382DE7"/>
    <w:rsid w:val="00384FFC"/>
    <w:rsid w:val="00386486"/>
    <w:rsid w:val="003872FC"/>
    <w:rsid w:val="003879B0"/>
    <w:rsid w:val="00387ADC"/>
    <w:rsid w:val="00390020"/>
    <w:rsid w:val="003903D6"/>
    <w:rsid w:val="00390C38"/>
    <w:rsid w:val="00390EE6"/>
    <w:rsid w:val="0039118F"/>
    <w:rsid w:val="0039209E"/>
    <w:rsid w:val="00392AD7"/>
    <w:rsid w:val="0039316A"/>
    <w:rsid w:val="003938D9"/>
    <w:rsid w:val="00394001"/>
    <w:rsid w:val="00394376"/>
    <w:rsid w:val="003943FF"/>
    <w:rsid w:val="0039507B"/>
    <w:rsid w:val="00395700"/>
    <w:rsid w:val="00395CBA"/>
    <w:rsid w:val="003964D1"/>
    <w:rsid w:val="003974EB"/>
    <w:rsid w:val="00397CC5"/>
    <w:rsid w:val="00397E9B"/>
    <w:rsid w:val="003A0294"/>
    <w:rsid w:val="003A0A8A"/>
    <w:rsid w:val="003A0B35"/>
    <w:rsid w:val="003A1582"/>
    <w:rsid w:val="003A22CA"/>
    <w:rsid w:val="003A2FE6"/>
    <w:rsid w:val="003A4077"/>
    <w:rsid w:val="003A470D"/>
    <w:rsid w:val="003A4E4A"/>
    <w:rsid w:val="003B09AD"/>
    <w:rsid w:val="003B1F18"/>
    <w:rsid w:val="003B4B49"/>
    <w:rsid w:val="003B5BF0"/>
    <w:rsid w:val="003B60BF"/>
    <w:rsid w:val="003B6BE3"/>
    <w:rsid w:val="003C010C"/>
    <w:rsid w:val="003C0A6C"/>
    <w:rsid w:val="003C14F8"/>
    <w:rsid w:val="003C5A43"/>
    <w:rsid w:val="003C70EC"/>
    <w:rsid w:val="003D0519"/>
    <w:rsid w:val="003D0FF6"/>
    <w:rsid w:val="003D262C"/>
    <w:rsid w:val="003D2DA5"/>
    <w:rsid w:val="003D4EBD"/>
    <w:rsid w:val="003D6D61"/>
    <w:rsid w:val="003E091D"/>
    <w:rsid w:val="003E1889"/>
    <w:rsid w:val="003E1C53"/>
    <w:rsid w:val="003E23E7"/>
    <w:rsid w:val="003E2A69"/>
    <w:rsid w:val="003E2D49"/>
    <w:rsid w:val="003E2FD4"/>
    <w:rsid w:val="003E3CA0"/>
    <w:rsid w:val="003E49F6"/>
    <w:rsid w:val="003E4EEB"/>
    <w:rsid w:val="003E5C1F"/>
    <w:rsid w:val="003E660F"/>
    <w:rsid w:val="003F0841"/>
    <w:rsid w:val="003F23D3"/>
    <w:rsid w:val="003F3301"/>
    <w:rsid w:val="003F3F08"/>
    <w:rsid w:val="003F49F1"/>
    <w:rsid w:val="003F5E03"/>
    <w:rsid w:val="003F6272"/>
    <w:rsid w:val="003F787F"/>
    <w:rsid w:val="00400E72"/>
    <w:rsid w:val="00401400"/>
    <w:rsid w:val="00404869"/>
    <w:rsid w:val="00405884"/>
    <w:rsid w:val="00407D39"/>
    <w:rsid w:val="00411F1E"/>
    <w:rsid w:val="004121BB"/>
    <w:rsid w:val="0041477A"/>
    <w:rsid w:val="00415E25"/>
    <w:rsid w:val="0041660C"/>
    <w:rsid w:val="004167A3"/>
    <w:rsid w:val="00417916"/>
    <w:rsid w:val="0042068F"/>
    <w:rsid w:val="0042194D"/>
    <w:rsid w:val="00423C5B"/>
    <w:rsid w:val="0043155B"/>
    <w:rsid w:val="00432DAA"/>
    <w:rsid w:val="00433025"/>
    <w:rsid w:val="00433603"/>
    <w:rsid w:val="00433A2C"/>
    <w:rsid w:val="00434305"/>
    <w:rsid w:val="00435DF7"/>
    <w:rsid w:val="0044083F"/>
    <w:rsid w:val="00441AE7"/>
    <w:rsid w:val="00445574"/>
    <w:rsid w:val="004467FB"/>
    <w:rsid w:val="00452D6B"/>
    <w:rsid w:val="00453B7E"/>
    <w:rsid w:val="00454484"/>
    <w:rsid w:val="00454756"/>
    <w:rsid w:val="0045517B"/>
    <w:rsid w:val="00455186"/>
    <w:rsid w:val="0045556D"/>
    <w:rsid w:val="00456138"/>
    <w:rsid w:val="004568FA"/>
    <w:rsid w:val="00456D6F"/>
    <w:rsid w:val="00457E58"/>
    <w:rsid w:val="00463B77"/>
    <w:rsid w:val="00463C7B"/>
    <w:rsid w:val="00464486"/>
    <w:rsid w:val="004644A6"/>
    <w:rsid w:val="00464A2F"/>
    <w:rsid w:val="004659BD"/>
    <w:rsid w:val="00470775"/>
    <w:rsid w:val="00470DE7"/>
    <w:rsid w:val="00471D11"/>
    <w:rsid w:val="00471DE4"/>
    <w:rsid w:val="00472376"/>
    <w:rsid w:val="004723FA"/>
    <w:rsid w:val="004746B1"/>
    <w:rsid w:val="004757FF"/>
    <w:rsid w:val="0047583F"/>
    <w:rsid w:val="00475DE8"/>
    <w:rsid w:val="00476020"/>
    <w:rsid w:val="004816D6"/>
    <w:rsid w:val="00481C44"/>
    <w:rsid w:val="004825E3"/>
    <w:rsid w:val="00482707"/>
    <w:rsid w:val="004843C9"/>
    <w:rsid w:val="00484936"/>
    <w:rsid w:val="00485AE4"/>
    <w:rsid w:val="00485C89"/>
    <w:rsid w:val="004866CA"/>
    <w:rsid w:val="00486BE3"/>
    <w:rsid w:val="00487093"/>
    <w:rsid w:val="004905E4"/>
    <w:rsid w:val="00490A89"/>
    <w:rsid w:val="00490AB4"/>
    <w:rsid w:val="00491CB4"/>
    <w:rsid w:val="00492B21"/>
    <w:rsid w:val="00492F02"/>
    <w:rsid w:val="004939AE"/>
    <w:rsid w:val="004967BF"/>
    <w:rsid w:val="00496D58"/>
    <w:rsid w:val="004A0C8F"/>
    <w:rsid w:val="004A12DF"/>
    <w:rsid w:val="004A17E6"/>
    <w:rsid w:val="004A1BA8"/>
    <w:rsid w:val="004A4B57"/>
    <w:rsid w:val="004A63FA"/>
    <w:rsid w:val="004A6B3B"/>
    <w:rsid w:val="004B0272"/>
    <w:rsid w:val="004B075B"/>
    <w:rsid w:val="004B0A53"/>
    <w:rsid w:val="004B0D3F"/>
    <w:rsid w:val="004B1860"/>
    <w:rsid w:val="004B2701"/>
    <w:rsid w:val="004B2DB0"/>
    <w:rsid w:val="004B2E1B"/>
    <w:rsid w:val="004B32AD"/>
    <w:rsid w:val="004B3AA8"/>
    <w:rsid w:val="004B3E93"/>
    <w:rsid w:val="004B58F3"/>
    <w:rsid w:val="004B798E"/>
    <w:rsid w:val="004B7A89"/>
    <w:rsid w:val="004C05A0"/>
    <w:rsid w:val="004C1FBC"/>
    <w:rsid w:val="004C28BE"/>
    <w:rsid w:val="004C3F1D"/>
    <w:rsid w:val="004C40FD"/>
    <w:rsid w:val="004C4266"/>
    <w:rsid w:val="004C4471"/>
    <w:rsid w:val="004C458D"/>
    <w:rsid w:val="004C7556"/>
    <w:rsid w:val="004C75BB"/>
    <w:rsid w:val="004C7E8B"/>
    <w:rsid w:val="004C7E9D"/>
    <w:rsid w:val="004C7F67"/>
    <w:rsid w:val="004D076D"/>
    <w:rsid w:val="004D0EF1"/>
    <w:rsid w:val="004D1074"/>
    <w:rsid w:val="004D1899"/>
    <w:rsid w:val="004D2253"/>
    <w:rsid w:val="004D3D51"/>
    <w:rsid w:val="004D4406"/>
    <w:rsid w:val="004D7C42"/>
    <w:rsid w:val="004E0465"/>
    <w:rsid w:val="004E11A8"/>
    <w:rsid w:val="004E127B"/>
    <w:rsid w:val="004E1C0A"/>
    <w:rsid w:val="004E2376"/>
    <w:rsid w:val="004E2B06"/>
    <w:rsid w:val="004E30C5"/>
    <w:rsid w:val="004E4AA5"/>
    <w:rsid w:val="004E4AEE"/>
    <w:rsid w:val="004E59E3"/>
    <w:rsid w:val="004E67C0"/>
    <w:rsid w:val="004E6C36"/>
    <w:rsid w:val="004F0779"/>
    <w:rsid w:val="004F07CE"/>
    <w:rsid w:val="004F38E9"/>
    <w:rsid w:val="004F391A"/>
    <w:rsid w:val="004F3CFB"/>
    <w:rsid w:val="004F43E7"/>
    <w:rsid w:val="004F614A"/>
    <w:rsid w:val="004F6456"/>
    <w:rsid w:val="004F696E"/>
    <w:rsid w:val="004F697D"/>
    <w:rsid w:val="004F6C71"/>
    <w:rsid w:val="004F79C4"/>
    <w:rsid w:val="004F7BCD"/>
    <w:rsid w:val="00501139"/>
    <w:rsid w:val="0050363E"/>
    <w:rsid w:val="005039BC"/>
    <w:rsid w:val="005043BB"/>
    <w:rsid w:val="00504A3D"/>
    <w:rsid w:val="00505767"/>
    <w:rsid w:val="005058A0"/>
    <w:rsid w:val="005073F0"/>
    <w:rsid w:val="00510A7B"/>
    <w:rsid w:val="005128D3"/>
    <w:rsid w:val="00512F6E"/>
    <w:rsid w:val="00513038"/>
    <w:rsid w:val="00513584"/>
    <w:rsid w:val="00513B9C"/>
    <w:rsid w:val="00514174"/>
    <w:rsid w:val="00514A7E"/>
    <w:rsid w:val="005156E2"/>
    <w:rsid w:val="00515FA6"/>
    <w:rsid w:val="00516088"/>
    <w:rsid w:val="00516571"/>
    <w:rsid w:val="00516B0B"/>
    <w:rsid w:val="00516CF7"/>
    <w:rsid w:val="00520BF2"/>
    <w:rsid w:val="005217D1"/>
    <w:rsid w:val="005220EC"/>
    <w:rsid w:val="00523F95"/>
    <w:rsid w:val="00524D65"/>
    <w:rsid w:val="00525B16"/>
    <w:rsid w:val="0052765E"/>
    <w:rsid w:val="00533D04"/>
    <w:rsid w:val="00534804"/>
    <w:rsid w:val="00534BDF"/>
    <w:rsid w:val="005354EA"/>
    <w:rsid w:val="0053585F"/>
    <w:rsid w:val="00535BEC"/>
    <w:rsid w:val="00535EC4"/>
    <w:rsid w:val="00535ED9"/>
    <w:rsid w:val="0053692B"/>
    <w:rsid w:val="00541853"/>
    <w:rsid w:val="00542096"/>
    <w:rsid w:val="00543BDA"/>
    <w:rsid w:val="005441CC"/>
    <w:rsid w:val="0054471B"/>
    <w:rsid w:val="005451D5"/>
    <w:rsid w:val="0054678A"/>
    <w:rsid w:val="005479DA"/>
    <w:rsid w:val="00547BCC"/>
    <w:rsid w:val="0055013B"/>
    <w:rsid w:val="00550B46"/>
    <w:rsid w:val="00551F6F"/>
    <w:rsid w:val="00555044"/>
    <w:rsid w:val="005551EA"/>
    <w:rsid w:val="0055529F"/>
    <w:rsid w:val="005570A3"/>
    <w:rsid w:val="00561475"/>
    <w:rsid w:val="005617ED"/>
    <w:rsid w:val="0056487B"/>
    <w:rsid w:val="00564FB9"/>
    <w:rsid w:val="00566115"/>
    <w:rsid w:val="00566C82"/>
    <w:rsid w:val="0056773B"/>
    <w:rsid w:val="00567ED7"/>
    <w:rsid w:val="00570A3E"/>
    <w:rsid w:val="00571274"/>
    <w:rsid w:val="0057304D"/>
    <w:rsid w:val="00573378"/>
    <w:rsid w:val="00573828"/>
    <w:rsid w:val="00573D9E"/>
    <w:rsid w:val="00574321"/>
    <w:rsid w:val="005801E3"/>
    <w:rsid w:val="00581802"/>
    <w:rsid w:val="005836A8"/>
    <w:rsid w:val="0058409C"/>
    <w:rsid w:val="00584262"/>
    <w:rsid w:val="00585C6B"/>
    <w:rsid w:val="00586630"/>
    <w:rsid w:val="00586CF3"/>
    <w:rsid w:val="00587ADD"/>
    <w:rsid w:val="00591E27"/>
    <w:rsid w:val="00592321"/>
    <w:rsid w:val="005940A5"/>
    <w:rsid w:val="00596160"/>
    <w:rsid w:val="005966E2"/>
    <w:rsid w:val="00597007"/>
    <w:rsid w:val="005A0966"/>
    <w:rsid w:val="005A0A8A"/>
    <w:rsid w:val="005A11B7"/>
    <w:rsid w:val="005A260B"/>
    <w:rsid w:val="005A3B5F"/>
    <w:rsid w:val="005A4A1B"/>
    <w:rsid w:val="005A4C03"/>
    <w:rsid w:val="005A6AC7"/>
    <w:rsid w:val="005A7830"/>
    <w:rsid w:val="005A7FCE"/>
    <w:rsid w:val="005B0F3F"/>
    <w:rsid w:val="005B35BC"/>
    <w:rsid w:val="005B4903"/>
    <w:rsid w:val="005B51CE"/>
    <w:rsid w:val="005B5885"/>
    <w:rsid w:val="005B5CD7"/>
    <w:rsid w:val="005B6CF6"/>
    <w:rsid w:val="005B70AA"/>
    <w:rsid w:val="005B7422"/>
    <w:rsid w:val="005C29B8"/>
    <w:rsid w:val="005C3ACA"/>
    <w:rsid w:val="005C4DC3"/>
    <w:rsid w:val="005C53C5"/>
    <w:rsid w:val="005C590C"/>
    <w:rsid w:val="005C5B8D"/>
    <w:rsid w:val="005C5F21"/>
    <w:rsid w:val="005C7156"/>
    <w:rsid w:val="005C78A3"/>
    <w:rsid w:val="005D0C75"/>
    <w:rsid w:val="005D2E2F"/>
    <w:rsid w:val="005D3076"/>
    <w:rsid w:val="005D3099"/>
    <w:rsid w:val="005D3BBA"/>
    <w:rsid w:val="005D4171"/>
    <w:rsid w:val="005D48A4"/>
    <w:rsid w:val="005D654A"/>
    <w:rsid w:val="005D6A95"/>
    <w:rsid w:val="005D6B2C"/>
    <w:rsid w:val="005D6D9C"/>
    <w:rsid w:val="005D76DE"/>
    <w:rsid w:val="005E161A"/>
    <w:rsid w:val="005E2335"/>
    <w:rsid w:val="005E24DD"/>
    <w:rsid w:val="005E2C22"/>
    <w:rsid w:val="005E34CA"/>
    <w:rsid w:val="005E3C18"/>
    <w:rsid w:val="005E4DC2"/>
    <w:rsid w:val="005E6812"/>
    <w:rsid w:val="005E775E"/>
    <w:rsid w:val="005E7881"/>
    <w:rsid w:val="005E78E0"/>
    <w:rsid w:val="005F0D9C"/>
    <w:rsid w:val="005F284E"/>
    <w:rsid w:val="005F33A4"/>
    <w:rsid w:val="005F3700"/>
    <w:rsid w:val="005F3F33"/>
    <w:rsid w:val="005F439D"/>
    <w:rsid w:val="005F4712"/>
    <w:rsid w:val="00600A9B"/>
    <w:rsid w:val="006015CE"/>
    <w:rsid w:val="00604784"/>
    <w:rsid w:val="00605733"/>
    <w:rsid w:val="00606419"/>
    <w:rsid w:val="00607D29"/>
    <w:rsid w:val="00612952"/>
    <w:rsid w:val="006143D1"/>
    <w:rsid w:val="00614CC1"/>
    <w:rsid w:val="00615A9D"/>
    <w:rsid w:val="0061607D"/>
    <w:rsid w:val="00616281"/>
    <w:rsid w:val="00617387"/>
    <w:rsid w:val="00620523"/>
    <w:rsid w:val="006205D6"/>
    <w:rsid w:val="006242D3"/>
    <w:rsid w:val="006252D8"/>
    <w:rsid w:val="00625552"/>
    <w:rsid w:val="006259BC"/>
    <w:rsid w:val="0062636B"/>
    <w:rsid w:val="0062787A"/>
    <w:rsid w:val="00632182"/>
    <w:rsid w:val="00632AE0"/>
    <w:rsid w:val="00633C17"/>
    <w:rsid w:val="0063474E"/>
    <w:rsid w:val="00634D9E"/>
    <w:rsid w:val="00635934"/>
    <w:rsid w:val="00635AC1"/>
    <w:rsid w:val="006362DD"/>
    <w:rsid w:val="00636E3E"/>
    <w:rsid w:val="006378BB"/>
    <w:rsid w:val="006379F7"/>
    <w:rsid w:val="00637E4D"/>
    <w:rsid w:val="006403A2"/>
    <w:rsid w:val="00640620"/>
    <w:rsid w:val="006418A3"/>
    <w:rsid w:val="00641A1F"/>
    <w:rsid w:val="00642184"/>
    <w:rsid w:val="00642618"/>
    <w:rsid w:val="00645904"/>
    <w:rsid w:val="00651ACB"/>
    <w:rsid w:val="00651C47"/>
    <w:rsid w:val="006523D1"/>
    <w:rsid w:val="00652AB2"/>
    <w:rsid w:val="00653FED"/>
    <w:rsid w:val="00654EC0"/>
    <w:rsid w:val="0065525B"/>
    <w:rsid w:val="00655D4F"/>
    <w:rsid w:val="00656D29"/>
    <w:rsid w:val="006640E5"/>
    <w:rsid w:val="006646F1"/>
    <w:rsid w:val="00664929"/>
    <w:rsid w:val="00664F62"/>
    <w:rsid w:val="006655E1"/>
    <w:rsid w:val="00671235"/>
    <w:rsid w:val="0067175E"/>
    <w:rsid w:val="00672060"/>
    <w:rsid w:val="00672BFD"/>
    <w:rsid w:val="0067509C"/>
    <w:rsid w:val="006770F4"/>
    <w:rsid w:val="00677A84"/>
    <w:rsid w:val="0068026D"/>
    <w:rsid w:val="00680567"/>
    <w:rsid w:val="00680A27"/>
    <w:rsid w:val="006816A4"/>
    <w:rsid w:val="006819B8"/>
    <w:rsid w:val="006840A6"/>
    <w:rsid w:val="006850CD"/>
    <w:rsid w:val="00685AAB"/>
    <w:rsid w:val="00695D22"/>
    <w:rsid w:val="006A07AA"/>
    <w:rsid w:val="006A25E5"/>
    <w:rsid w:val="006A2B46"/>
    <w:rsid w:val="006A336D"/>
    <w:rsid w:val="006A37B9"/>
    <w:rsid w:val="006A3D34"/>
    <w:rsid w:val="006A5513"/>
    <w:rsid w:val="006A649D"/>
    <w:rsid w:val="006A6FAE"/>
    <w:rsid w:val="006B264C"/>
    <w:rsid w:val="006B2672"/>
    <w:rsid w:val="006B47F2"/>
    <w:rsid w:val="006B4D61"/>
    <w:rsid w:val="006B54BF"/>
    <w:rsid w:val="006B5F44"/>
    <w:rsid w:val="006B5F90"/>
    <w:rsid w:val="006B62E4"/>
    <w:rsid w:val="006B6F86"/>
    <w:rsid w:val="006C1BBA"/>
    <w:rsid w:val="006C2079"/>
    <w:rsid w:val="006C5A62"/>
    <w:rsid w:val="006C5D68"/>
    <w:rsid w:val="006C61A9"/>
    <w:rsid w:val="006C6362"/>
    <w:rsid w:val="006C6976"/>
    <w:rsid w:val="006C6DD0"/>
    <w:rsid w:val="006D04EA"/>
    <w:rsid w:val="006D16C4"/>
    <w:rsid w:val="006D3B1F"/>
    <w:rsid w:val="006D3E96"/>
    <w:rsid w:val="006D4515"/>
    <w:rsid w:val="006D4BB1"/>
    <w:rsid w:val="006D6593"/>
    <w:rsid w:val="006D7F41"/>
    <w:rsid w:val="006E23EA"/>
    <w:rsid w:val="006E2D65"/>
    <w:rsid w:val="006F03A8"/>
    <w:rsid w:val="006F2ACA"/>
    <w:rsid w:val="006F2ADC"/>
    <w:rsid w:val="006F2BFE"/>
    <w:rsid w:val="006F31E9"/>
    <w:rsid w:val="006F6284"/>
    <w:rsid w:val="006F6F1D"/>
    <w:rsid w:val="007002C5"/>
    <w:rsid w:val="007003FF"/>
    <w:rsid w:val="00700DF2"/>
    <w:rsid w:val="00702960"/>
    <w:rsid w:val="00703770"/>
    <w:rsid w:val="00703BA7"/>
    <w:rsid w:val="00703F3B"/>
    <w:rsid w:val="00704387"/>
    <w:rsid w:val="00704857"/>
    <w:rsid w:val="00705FBD"/>
    <w:rsid w:val="00706F79"/>
    <w:rsid w:val="00707669"/>
    <w:rsid w:val="00710591"/>
    <w:rsid w:val="00711A97"/>
    <w:rsid w:val="00711CBA"/>
    <w:rsid w:val="00711FB5"/>
    <w:rsid w:val="0071247B"/>
    <w:rsid w:val="00712A01"/>
    <w:rsid w:val="00714F58"/>
    <w:rsid w:val="0071546E"/>
    <w:rsid w:val="0071670E"/>
    <w:rsid w:val="007169E0"/>
    <w:rsid w:val="0071728D"/>
    <w:rsid w:val="0071756C"/>
    <w:rsid w:val="00722FBF"/>
    <w:rsid w:val="00722FC2"/>
    <w:rsid w:val="00724879"/>
    <w:rsid w:val="00724E1B"/>
    <w:rsid w:val="00725949"/>
    <w:rsid w:val="00726893"/>
    <w:rsid w:val="00726E43"/>
    <w:rsid w:val="00727FA2"/>
    <w:rsid w:val="00730869"/>
    <w:rsid w:val="00731333"/>
    <w:rsid w:val="0073133F"/>
    <w:rsid w:val="00731909"/>
    <w:rsid w:val="007322D9"/>
    <w:rsid w:val="00732556"/>
    <w:rsid w:val="00732BC0"/>
    <w:rsid w:val="00734386"/>
    <w:rsid w:val="0073690D"/>
    <w:rsid w:val="0073720F"/>
    <w:rsid w:val="00737796"/>
    <w:rsid w:val="0074165C"/>
    <w:rsid w:val="00742C35"/>
    <w:rsid w:val="007432CA"/>
    <w:rsid w:val="007439EB"/>
    <w:rsid w:val="00743CB4"/>
    <w:rsid w:val="00743F0A"/>
    <w:rsid w:val="007444E8"/>
    <w:rsid w:val="0074548E"/>
    <w:rsid w:val="00745773"/>
    <w:rsid w:val="00745E65"/>
    <w:rsid w:val="00746800"/>
    <w:rsid w:val="007501A8"/>
    <w:rsid w:val="00750D61"/>
    <w:rsid w:val="00750EE1"/>
    <w:rsid w:val="00752B4D"/>
    <w:rsid w:val="00752C02"/>
    <w:rsid w:val="00754A5E"/>
    <w:rsid w:val="00755402"/>
    <w:rsid w:val="0075654D"/>
    <w:rsid w:val="00756B26"/>
    <w:rsid w:val="00756EDF"/>
    <w:rsid w:val="007600E3"/>
    <w:rsid w:val="0076213A"/>
    <w:rsid w:val="00762DE2"/>
    <w:rsid w:val="00765C43"/>
    <w:rsid w:val="00765EFB"/>
    <w:rsid w:val="007671CA"/>
    <w:rsid w:val="0076796C"/>
    <w:rsid w:val="00767C61"/>
    <w:rsid w:val="0077008A"/>
    <w:rsid w:val="0077031A"/>
    <w:rsid w:val="00773C1F"/>
    <w:rsid w:val="007746AC"/>
    <w:rsid w:val="00774DA4"/>
    <w:rsid w:val="00774E15"/>
    <w:rsid w:val="00776599"/>
    <w:rsid w:val="0077675E"/>
    <w:rsid w:val="00776F91"/>
    <w:rsid w:val="007800CD"/>
    <w:rsid w:val="0078114B"/>
    <w:rsid w:val="00781DD2"/>
    <w:rsid w:val="00783ECF"/>
    <w:rsid w:val="0078413A"/>
    <w:rsid w:val="00785E03"/>
    <w:rsid w:val="00786F5C"/>
    <w:rsid w:val="007958A5"/>
    <w:rsid w:val="007959E8"/>
    <w:rsid w:val="00795E9C"/>
    <w:rsid w:val="007A0521"/>
    <w:rsid w:val="007A0A9C"/>
    <w:rsid w:val="007A244A"/>
    <w:rsid w:val="007A2E12"/>
    <w:rsid w:val="007A3475"/>
    <w:rsid w:val="007A41C8"/>
    <w:rsid w:val="007A54CE"/>
    <w:rsid w:val="007A6FD9"/>
    <w:rsid w:val="007A7E91"/>
    <w:rsid w:val="007A7FFA"/>
    <w:rsid w:val="007B04EB"/>
    <w:rsid w:val="007B0D4F"/>
    <w:rsid w:val="007B401D"/>
    <w:rsid w:val="007B4D65"/>
    <w:rsid w:val="007B540B"/>
    <w:rsid w:val="007B5A3D"/>
    <w:rsid w:val="007B5B95"/>
    <w:rsid w:val="007B68EA"/>
    <w:rsid w:val="007B7453"/>
    <w:rsid w:val="007B7923"/>
    <w:rsid w:val="007C1E8B"/>
    <w:rsid w:val="007C2C70"/>
    <w:rsid w:val="007C2D89"/>
    <w:rsid w:val="007C3548"/>
    <w:rsid w:val="007C4593"/>
    <w:rsid w:val="007C5309"/>
    <w:rsid w:val="007C57C4"/>
    <w:rsid w:val="007C6069"/>
    <w:rsid w:val="007D06C4"/>
    <w:rsid w:val="007D0828"/>
    <w:rsid w:val="007D1352"/>
    <w:rsid w:val="007D2508"/>
    <w:rsid w:val="007D2C24"/>
    <w:rsid w:val="007D346A"/>
    <w:rsid w:val="007D6385"/>
    <w:rsid w:val="007D6518"/>
    <w:rsid w:val="007D67F5"/>
    <w:rsid w:val="007D76BD"/>
    <w:rsid w:val="007D7F2C"/>
    <w:rsid w:val="007E0BF1"/>
    <w:rsid w:val="007E220A"/>
    <w:rsid w:val="007E27CB"/>
    <w:rsid w:val="007E749B"/>
    <w:rsid w:val="007E7597"/>
    <w:rsid w:val="007E76C2"/>
    <w:rsid w:val="007E7A77"/>
    <w:rsid w:val="007E7CF7"/>
    <w:rsid w:val="007F0471"/>
    <w:rsid w:val="007F0ED8"/>
    <w:rsid w:val="007F0F63"/>
    <w:rsid w:val="007F1B3D"/>
    <w:rsid w:val="007F3383"/>
    <w:rsid w:val="007F5055"/>
    <w:rsid w:val="007F5D7B"/>
    <w:rsid w:val="007F75CE"/>
    <w:rsid w:val="007F7B0E"/>
    <w:rsid w:val="00800B59"/>
    <w:rsid w:val="008013A4"/>
    <w:rsid w:val="0080181A"/>
    <w:rsid w:val="008027CE"/>
    <w:rsid w:val="00802F42"/>
    <w:rsid w:val="0080316D"/>
    <w:rsid w:val="00804383"/>
    <w:rsid w:val="00804BB7"/>
    <w:rsid w:val="00804D41"/>
    <w:rsid w:val="00806437"/>
    <w:rsid w:val="00810257"/>
    <w:rsid w:val="008104F5"/>
    <w:rsid w:val="00810E71"/>
    <w:rsid w:val="00811072"/>
    <w:rsid w:val="00811369"/>
    <w:rsid w:val="00813D9E"/>
    <w:rsid w:val="00815419"/>
    <w:rsid w:val="008163C8"/>
    <w:rsid w:val="008164A1"/>
    <w:rsid w:val="008166FA"/>
    <w:rsid w:val="00817325"/>
    <w:rsid w:val="008209E6"/>
    <w:rsid w:val="00823303"/>
    <w:rsid w:val="008233B2"/>
    <w:rsid w:val="00823A9F"/>
    <w:rsid w:val="00823C85"/>
    <w:rsid w:val="00825138"/>
    <w:rsid w:val="008255E5"/>
    <w:rsid w:val="00825707"/>
    <w:rsid w:val="008269DD"/>
    <w:rsid w:val="00827BE8"/>
    <w:rsid w:val="00830621"/>
    <w:rsid w:val="008333A1"/>
    <w:rsid w:val="0083348C"/>
    <w:rsid w:val="00835454"/>
    <w:rsid w:val="008373D3"/>
    <w:rsid w:val="00840617"/>
    <w:rsid w:val="00840F84"/>
    <w:rsid w:val="008414DE"/>
    <w:rsid w:val="00841AD3"/>
    <w:rsid w:val="00842A47"/>
    <w:rsid w:val="00843C13"/>
    <w:rsid w:val="008454F8"/>
    <w:rsid w:val="00846A1D"/>
    <w:rsid w:val="0085173A"/>
    <w:rsid w:val="0085331C"/>
    <w:rsid w:val="008534B0"/>
    <w:rsid w:val="00853B17"/>
    <w:rsid w:val="00855A9C"/>
    <w:rsid w:val="00856316"/>
    <w:rsid w:val="0085799E"/>
    <w:rsid w:val="008603CE"/>
    <w:rsid w:val="008620FC"/>
    <w:rsid w:val="008627A5"/>
    <w:rsid w:val="008630D4"/>
    <w:rsid w:val="00863E05"/>
    <w:rsid w:val="00865198"/>
    <w:rsid w:val="00865ACA"/>
    <w:rsid w:val="00865D28"/>
    <w:rsid w:val="00865F85"/>
    <w:rsid w:val="00866C6B"/>
    <w:rsid w:val="00867737"/>
    <w:rsid w:val="00867C10"/>
    <w:rsid w:val="00870439"/>
    <w:rsid w:val="00870DA1"/>
    <w:rsid w:val="00870F0B"/>
    <w:rsid w:val="0088010B"/>
    <w:rsid w:val="00880E1F"/>
    <w:rsid w:val="00883F93"/>
    <w:rsid w:val="00884DB3"/>
    <w:rsid w:val="00885A9D"/>
    <w:rsid w:val="008860F7"/>
    <w:rsid w:val="008864F6"/>
    <w:rsid w:val="008870E5"/>
    <w:rsid w:val="00890386"/>
    <w:rsid w:val="0089049D"/>
    <w:rsid w:val="008928C9"/>
    <w:rsid w:val="008930CB"/>
    <w:rsid w:val="008938DC"/>
    <w:rsid w:val="00893FD1"/>
    <w:rsid w:val="0089405F"/>
    <w:rsid w:val="0089424D"/>
    <w:rsid w:val="00894836"/>
    <w:rsid w:val="00895172"/>
    <w:rsid w:val="00895680"/>
    <w:rsid w:val="008959FD"/>
    <w:rsid w:val="00896DFF"/>
    <w:rsid w:val="00896F44"/>
    <w:rsid w:val="0089762C"/>
    <w:rsid w:val="008A044E"/>
    <w:rsid w:val="008A16E6"/>
    <w:rsid w:val="008A1893"/>
    <w:rsid w:val="008A3215"/>
    <w:rsid w:val="008A3B68"/>
    <w:rsid w:val="008A4C41"/>
    <w:rsid w:val="008A53FF"/>
    <w:rsid w:val="008A55F3"/>
    <w:rsid w:val="008A57E6"/>
    <w:rsid w:val="008A5F4C"/>
    <w:rsid w:val="008A6023"/>
    <w:rsid w:val="008A6F81"/>
    <w:rsid w:val="008A769A"/>
    <w:rsid w:val="008B0C78"/>
    <w:rsid w:val="008B0C9C"/>
    <w:rsid w:val="008B10E0"/>
    <w:rsid w:val="008B166D"/>
    <w:rsid w:val="008B17F4"/>
    <w:rsid w:val="008B3615"/>
    <w:rsid w:val="008B4AC4"/>
    <w:rsid w:val="008B50C8"/>
    <w:rsid w:val="008B5281"/>
    <w:rsid w:val="008B5934"/>
    <w:rsid w:val="008B7E05"/>
    <w:rsid w:val="008C1797"/>
    <w:rsid w:val="008C219C"/>
    <w:rsid w:val="008C2BF1"/>
    <w:rsid w:val="008C3F3F"/>
    <w:rsid w:val="008C475E"/>
    <w:rsid w:val="008C619A"/>
    <w:rsid w:val="008D0CE8"/>
    <w:rsid w:val="008D201D"/>
    <w:rsid w:val="008D25C3"/>
    <w:rsid w:val="008D2D1D"/>
    <w:rsid w:val="008D453D"/>
    <w:rsid w:val="008D48C1"/>
    <w:rsid w:val="008D53AD"/>
    <w:rsid w:val="008D562B"/>
    <w:rsid w:val="008D5733"/>
    <w:rsid w:val="008D57AC"/>
    <w:rsid w:val="008D622B"/>
    <w:rsid w:val="008D666C"/>
    <w:rsid w:val="008D72CF"/>
    <w:rsid w:val="008D7A18"/>
    <w:rsid w:val="008D7B54"/>
    <w:rsid w:val="008E0C9D"/>
    <w:rsid w:val="008E1648"/>
    <w:rsid w:val="008E1B3E"/>
    <w:rsid w:val="008E2319"/>
    <w:rsid w:val="008E2940"/>
    <w:rsid w:val="008E4BB6"/>
    <w:rsid w:val="008E5518"/>
    <w:rsid w:val="008E6A84"/>
    <w:rsid w:val="008E7473"/>
    <w:rsid w:val="008E777E"/>
    <w:rsid w:val="008F0CDC"/>
    <w:rsid w:val="008F1023"/>
    <w:rsid w:val="008F17A3"/>
    <w:rsid w:val="008F1ED3"/>
    <w:rsid w:val="008F23A5"/>
    <w:rsid w:val="008F4C29"/>
    <w:rsid w:val="008F70BD"/>
    <w:rsid w:val="008F788F"/>
    <w:rsid w:val="008F7D62"/>
    <w:rsid w:val="008F7EA2"/>
    <w:rsid w:val="00902722"/>
    <w:rsid w:val="009027BC"/>
    <w:rsid w:val="00905283"/>
    <w:rsid w:val="009057D4"/>
    <w:rsid w:val="009062E6"/>
    <w:rsid w:val="00906DA3"/>
    <w:rsid w:val="00910746"/>
    <w:rsid w:val="00911BE5"/>
    <w:rsid w:val="0091232C"/>
    <w:rsid w:val="00913CA9"/>
    <w:rsid w:val="009145AE"/>
    <w:rsid w:val="009146CE"/>
    <w:rsid w:val="00914CA7"/>
    <w:rsid w:val="00915C3E"/>
    <w:rsid w:val="009161A8"/>
    <w:rsid w:val="00916805"/>
    <w:rsid w:val="00917A65"/>
    <w:rsid w:val="00921A4E"/>
    <w:rsid w:val="009234EC"/>
    <w:rsid w:val="009245F5"/>
    <w:rsid w:val="009249EC"/>
    <w:rsid w:val="00924F45"/>
    <w:rsid w:val="009273B3"/>
    <w:rsid w:val="009305B5"/>
    <w:rsid w:val="00930F1A"/>
    <w:rsid w:val="00931EAF"/>
    <w:rsid w:val="0093472F"/>
    <w:rsid w:val="009355B6"/>
    <w:rsid w:val="00935682"/>
    <w:rsid w:val="009429D5"/>
    <w:rsid w:val="00942BF1"/>
    <w:rsid w:val="009441D8"/>
    <w:rsid w:val="00945180"/>
    <w:rsid w:val="00945428"/>
    <w:rsid w:val="00945D86"/>
    <w:rsid w:val="0094607B"/>
    <w:rsid w:val="00950649"/>
    <w:rsid w:val="0095326E"/>
    <w:rsid w:val="00953488"/>
    <w:rsid w:val="00953604"/>
    <w:rsid w:val="0095496B"/>
    <w:rsid w:val="009559D3"/>
    <w:rsid w:val="009607A4"/>
    <w:rsid w:val="009610DC"/>
    <w:rsid w:val="00961490"/>
    <w:rsid w:val="00961FE6"/>
    <w:rsid w:val="009631EC"/>
    <w:rsid w:val="0096381A"/>
    <w:rsid w:val="00964447"/>
    <w:rsid w:val="0096558A"/>
    <w:rsid w:val="0096583F"/>
    <w:rsid w:val="00965E04"/>
    <w:rsid w:val="009674AD"/>
    <w:rsid w:val="00970252"/>
    <w:rsid w:val="00970CDC"/>
    <w:rsid w:val="00972A3A"/>
    <w:rsid w:val="00972D5D"/>
    <w:rsid w:val="00975EFC"/>
    <w:rsid w:val="00975FEB"/>
    <w:rsid w:val="00977010"/>
    <w:rsid w:val="00977D02"/>
    <w:rsid w:val="009809BB"/>
    <w:rsid w:val="009818E8"/>
    <w:rsid w:val="0098298E"/>
    <w:rsid w:val="0098364B"/>
    <w:rsid w:val="00985997"/>
    <w:rsid w:val="009911AF"/>
    <w:rsid w:val="00991875"/>
    <w:rsid w:val="00991F92"/>
    <w:rsid w:val="00992217"/>
    <w:rsid w:val="00992985"/>
    <w:rsid w:val="00992BEC"/>
    <w:rsid w:val="00993695"/>
    <w:rsid w:val="00993889"/>
    <w:rsid w:val="0099551B"/>
    <w:rsid w:val="009960ED"/>
    <w:rsid w:val="00997BF1"/>
    <w:rsid w:val="009A089C"/>
    <w:rsid w:val="009A118E"/>
    <w:rsid w:val="009A21CD"/>
    <w:rsid w:val="009A278C"/>
    <w:rsid w:val="009A2BC2"/>
    <w:rsid w:val="009A42C1"/>
    <w:rsid w:val="009A4C76"/>
    <w:rsid w:val="009A5429"/>
    <w:rsid w:val="009A72AD"/>
    <w:rsid w:val="009B09E0"/>
    <w:rsid w:val="009B0BC5"/>
    <w:rsid w:val="009B0C11"/>
    <w:rsid w:val="009B1247"/>
    <w:rsid w:val="009B2F54"/>
    <w:rsid w:val="009B3048"/>
    <w:rsid w:val="009B35DF"/>
    <w:rsid w:val="009B4FBE"/>
    <w:rsid w:val="009B6029"/>
    <w:rsid w:val="009B63C6"/>
    <w:rsid w:val="009B682E"/>
    <w:rsid w:val="009B6971"/>
    <w:rsid w:val="009C27F1"/>
    <w:rsid w:val="009C3152"/>
    <w:rsid w:val="009C4CFA"/>
    <w:rsid w:val="009C5070"/>
    <w:rsid w:val="009D112C"/>
    <w:rsid w:val="009D1440"/>
    <w:rsid w:val="009D47FA"/>
    <w:rsid w:val="009D4C5B"/>
    <w:rsid w:val="009D50D2"/>
    <w:rsid w:val="009D548B"/>
    <w:rsid w:val="009D66B8"/>
    <w:rsid w:val="009D6BCA"/>
    <w:rsid w:val="009E0F62"/>
    <w:rsid w:val="009E1220"/>
    <w:rsid w:val="009E23E5"/>
    <w:rsid w:val="009E26D1"/>
    <w:rsid w:val="009E3768"/>
    <w:rsid w:val="009E44CE"/>
    <w:rsid w:val="009E4A58"/>
    <w:rsid w:val="009E5A2D"/>
    <w:rsid w:val="009E5AB2"/>
    <w:rsid w:val="009E6219"/>
    <w:rsid w:val="009E7078"/>
    <w:rsid w:val="009F03B3"/>
    <w:rsid w:val="009F1BEE"/>
    <w:rsid w:val="009F3851"/>
    <w:rsid w:val="009F3A57"/>
    <w:rsid w:val="009F6B89"/>
    <w:rsid w:val="00A00562"/>
    <w:rsid w:val="00A0096C"/>
    <w:rsid w:val="00A01757"/>
    <w:rsid w:val="00A0187C"/>
    <w:rsid w:val="00A019A9"/>
    <w:rsid w:val="00A028C0"/>
    <w:rsid w:val="00A02BAE"/>
    <w:rsid w:val="00A035A3"/>
    <w:rsid w:val="00A04E71"/>
    <w:rsid w:val="00A05F56"/>
    <w:rsid w:val="00A06A6B"/>
    <w:rsid w:val="00A07E47"/>
    <w:rsid w:val="00A1200A"/>
    <w:rsid w:val="00A129D0"/>
    <w:rsid w:val="00A12C33"/>
    <w:rsid w:val="00A138BA"/>
    <w:rsid w:val="00A14C8E"/>
    <w:rsid w:val="00A153D9"/>
    <w:rsid w:val="00A15F09"/>
    <w:rsid w:val="00A169B6"/>
    <w:rsid w:val="00A16E6A"/>
    <w:rsid w:val="00A20691"/>
    <w:rsid w:val="00A2271D"/>
    <w:rsid w:val="00A237D5"/>
    <w:rsid w:val="00A23D7C"/>
    <w:rsid w:val="00A243C4"/>
    <w:rsid w:val="00A2513C"/>
    <w:rsid w:val="00A2620E"/>
    <w:rsid w:val="00A30EFC"/>
    <w:rsid w:val="00A31984"/>
    <w:rsid w:val="00A32D73"/>
    <w:rsid w:val="00A3367B"/>
    <w:rsid w:val="00A33759"/>
    <w:rsid w:val="00A337AF"/>
    <w:rsid w:val="00A33862"/>
    <w:rsid w:val="00A3597D"/>
    <w:rsid w:val="00A36DD1"/>
    <w:rsid w:val="00A376B9"/>
    <w:rsid w:val="00A4006C"/>
    <w:rsid w:val="00A40091"/>
    <w:rsid w:val="00A4030F"/>
    <w:rsid w:val="00A41C79"/>
    <w:rsid w:val="00A41CB5"/>
    <w:rsid w:val="00A42CDF"/>
    <w:rsid w:val="00A4452E"/>
    <w:rsid w:val="00A4472C"/>
    <w:rsid w:val="00A44CDB"/>
    <w:rsid w:val="00A44E69"/>
    <w:rsid w:val="00A4661E"/>
    <w:rsid w:val="00A473B2"/>
    <w:rsid w:val="00A508E9"/>
    <w:rsid w:val="00A5394D"/>
    <w:rsid w:val="00A54413"/>
    <w:rsid w:val="00A55BD6"/>
    <w:rsid w:val="00A55D50"/>
    <w:rsid w:val="00A57142"/>
    <w:rsid w:val="00A617AB"/>
    <w:rsid w:val="00A648CD"/>
    <w:rsid w:val="00A64AD7"/>
    <w:rsid w:val="00A64F16"/>
    <w:rsid w:val="00A6537A"/>
    <w:rsid w:val="00A67866"/>
    <w:rsid w:val="00A70B07"/>
    <w:rsid w:val="00A723F8"/>
    <w:rsid w:val="00A7436D"/>
    <w:rsid w:val="00A74917"/>
    <w:rsid w:val="00A76911"/>
    <w:rsid w:val="00A77CCB"/>
    <w:rsid w:val="00A81EF1"/>
    <w:rsid w:val="00A83D8D"/>
    <w:rsid w:val="00A8446B"/>
    <w:rsid w:val="00A8473F"/>
    <w:rsid w:val="00A85530"/>
    <w:rsid w:val="00A862D6"/>
    <w:rsid w:val="00A8715E"/>
    <w:rsid w:val="00A87D98"/>
    <w:rsid w:val="00A90CD8"/>
    <w:rsid w:val="00A9295B"/>
    <w:rsid w:val="00A93B09"/>
    <w:rsid w:val="00A94247"/>
    <w:rsid w:val="00A94A8B"/>
    <w:rsid w:val="00A952D7"/>
    <w:rsid w:val="00A956C2"/>
    <w:rsid w:val="00A95E5B"/>
    <w:rsid w:val="00A963F7"/>
    <w:rsid w:val="00A96AD8"/>
    <w:rsid w:val="00AA052C"/>
    <w:rsid w:val="00AA0A44"/>
    <w:rsid w:val="00AA1E45"/>
    <w:rsid w:val="00AA2038"/>
    <w:rsid w:val="00AA2F1F"/>
    <w:rsid w:val="00AA36A1"/>
    <w:rsid w:val="00AA4286"/>
    <w:rsid w:val="00AA456B"/>
    <w:rsid w:val="00AA57F5"/>
    <w:rsid w:val="00AA6681"/>
    <w:rsid w:val="00AA672E"/>
    <w:rsid w:val="00AA6C69"/>
    <w:rsid w:val="00AA6EC9"/>
    <w:rsid w:val="00AA76A8"/>
    <w:rsid w:val="00AB322E"/>
    <w:rsid w:val="00AB41D5"/>
    <w:rsid w:val="00AB43B3"/>
    <w:rsid w:val="00AB48D2"/>
    <w:rsid w:val="00AB6309"/>
    <w:rsid w:val="00AB6C5F"/>
    <w:rsid w:val="00AB7129"/>
    <w:rsid w:val="00AB7929"/>
    <w:rsid w:val="00AB7C78"/>
    <w:rsid w:val="00AC27A6"/>
    <w:rsid w:val="00AC2A8F"/>
    <w:rsid w:val="00AC30F7"/>
    <w:rsid w:val="00AC38F8"/>
    <w:rsid w:val="00AC3A5A"/>
    <w:rsid w:val="00AC4D95"/>
    <w:rsid w:val="00AC5DE4"/>
    <w:rsid w:val="00AC5DF4"/>
    <w:rsid w:val="00AC7740"/>
    <w:rsid w:val="00AC7DAF"/>
    <w:rsid w:val="00AD0AEF"/>
    <w:rsid w:val="00AD11B7"/>
    <w:rsid w:val="00AD1A94"/>
    <w:rsid w:val="00AD1C05"/>
    <w:rsid w:val="00AD3317"/>
    <w:rsid w:val="00AD3D5D"/>
    <w:rsid w:val="00AD4126"/>
    <w:rsid w:val="00AD421C"/>
    <w:rsid w:val="00AD44FA"/>
    <w:rsid w:val="00AE070A"/>
    <w:rsid w:val="00AE101C"/>
    <w:rsid w:val="00AE1138"/>
    <w:rsid w:val="00AE2236"/>
    <w:rsid w:val="00AE37E5"/>
    <w:rsid w:val="00AE5EB4"/>
    <w:rsid w:val="00AE78DA"/>
    <w:rsid w:val="00AF001B"/>
    <w:rsid w:val="00AF0C18"/>
    <w:rsid w:val="00AF3475"/>
    <w:rsid w:val="00AF47C5"/>
    <w:rsid w:val="00AF5398"/>
    <w:rsid w:val="00B049AF"/>
    <w:rsid w:val="00B055AB"/>
    <w:rsid w:val="00B057CD"/>
    <w:rsid w:val="00B0601B"/>
    <w:rsid w:val="00B07242"/>
    <w:rsid w:val="00B10534"/>
    <w:rsid w:val="00B113DB"/>
    <w:rsid w:val="00B117ED"/>
    <w:rsid w:val="00B11D8A"/>
    <w:rsid w:val="00B11FE0"/>
    <w:rsid w:val="00B12981"/>
    <w:rsid w:val="00B1345E"/>
    <w:rsid w:val="00B147DD"/>
    <w:rsid w:val="00B156FD"/>
    <w:rsid w:val="00B1767A"/>
    <w:rsid w:val="00B20063"/>
    <w:rsid w:val="00B21F61"/>
    <w:rsid w:val="00B238EC"/>
    <w:rsid w:val="00B245A3"/>
    <w:rsid w:val="00B24BF6"/>
    <w:rsid w:val="00B261F1"/>
    <w:rsid w:val="00B265BC"/>
    <w:rsid w:val="00B271D3"/>
    <w:rsid w:val="00B30870"/>
    <w:rsid w:val="00B31FB1"/>
    <w:rsid w:val="00B329AD"/>
    <w:rsid w:val="00B33952"/>
    <w:rsid w:val="00B33C5E"/>
    <w:rsid w:val="00B341AC"/>
    <w:rsid w:val="00B342F4"/>
    <w:rsid w:val="00B34369"/>
    <w:rsid w:val="00B34552"/>
    <w:rsid w:val="00B349F5"/>
    <w:rsid w:val="00B34DC2"/>
    <w:rsid w:val="00B3729F"/>
    <w:rsid w:val="00B378E5"/>
    <w:rsid w:val="00B4346D"/>
    <w:rsid w:val="00B440F4"/>
    <w:rsid w:val="00B447A5"/>
    <w:rsid w:val="00B45E36"/>
    <w:rsid w:val="00B45E9A"/>
    <w:rsid w:val="00B4654C"/>
    <w:rsid w:val="00B47293"/>
    <w:rsid w:val="00B50E50"/>
    <w:rsid w:val="00B517D3"/>
    <w:rsid w:val="00B52120"/>
    <w:rsid w:val="00B52F94"/>
    <w:rsid w:val="00B54ABC"/>
    <w:rsid w:val="00B54DDE"/>
    <w:rsid w:val="00B5632B"/>
    <w:rsid w:val="00B56FBE"/>
    <w:rsid w:val="00B5771F"/>
    <w:rsid w:val="00B57F72"/>
    <w:rsid w:val="00B60ACF"/>
    <w:rsid w:val="00B6184E"/>
    <w:rsid w:val="00B62B58"/>
    <w:rsid w:val="00B64E1E"/>
    <w:rsid w:val="00B65149"/>
    <w:rsid w:val="00B66567"/>
    <w:rsid w:val="00B66F52"/>
    <w:rsid w:val="00B66FE5"/>
    <w:rsid w:val="00B723E7"/>
    <w:rsid w:val="00B72880"/>
    <w:rsid w:val="00B73FEB"/>
    <w:rsid w:val="00B758BF"/>
    <w:rsid w:val="00B75B19"/>
    <w:rsid w:val="00B77EC8"/>
    <w:rsid w:val="00B827A6"/>
    <w:rsid w:val="00B831CE"/>
    <w:rsid w:val="00B8394D"/>
    <w:rsid w:val="00B83FB2"/>
    <w:rsid w:val="00B851F4"/>
    <w:rsid w:val="00B852CB"/>
    <w:rsid w:val="00B86677"/>
    <w:rsid w:val="00B87131"/>
    <w:rsid w:val="00B939B1"/>
    <w:rsid w:val="00B947B2"/>
    <w:rsid w:val="00B95DB6"/>
    <w:rsid w:val="00B95F03"/>
    <w:rsid w:val="00B96D40"/>
    <w:rsid w:val="00B97386"/>
    <w:rsid w:val="00BA263B"/>
    <w:rsid w:val="00BA2766"/>
    <w:rsid w:val="00BA42B2"/>
    <w:rsid w:val="00BA4502"/>
    <w:rsid w:val="00BA58D4"/>
    <w:rsid w:val="00BA5B9E"/>
    <w:rsid w:val="00BA6025"/>
    <w:rsid w:val="00BA7C9A"/>
    <w:rsid w:val="00BB3957"/>
    <w:rsid w:val="00BB5855"/>
    <w:rsid w:val="00BB5F8F"/>
    <w:rsid w:val="00BB657A"/>
    <w:rsid w:val="00BB6859"/>
    <w:rsid w:val="00BC0F70"/>
    <w:rsid w:val="00BC1A4E"/>
    <w:rsid w:val="00BC270F"/>
    <w:rsid w:val="00BC39B7"/>
    <w:rsid w:val="00BC39C4"/>
    <w:rsid w:val="00BC3BF9"/>
    <w:rsid w:val="00BC4A9C"/>
    <w:rsid w:val="00BC5C7B"/>
    <w:rsid w:val="00BC5DC7"/>
    <w:rsid w:val="00BC6B8B"/>
    <w:rsid w:val="00BC73D8"/>
    <w:rsid w:val="00BD4F91"/>
    <w:rsid w:val="00BD52D7"/>
    <w:rsid w:val="00BD5AD2"/>
    <w:rsid w:val="00BE10B7"/>
    <w:rsid w:val="00BE228E"/>
    <w:rsid w:val="00BE22F3"/>
    <w:rsid w:val="00BE5B52"/>
    <w:rsid w:val="00BE7B8D"/>
    <w:rsid w:val="00BF0993"/>
    <w:rsid w:val="00BF10A9"/>
    <w:rsid w:val="00BF1703"/>
    <w:rsid w:val="00BF1E74"/>
    <w:rsid w:val="00BF231C"/>
    <w:rsid w:val="00BF51E5"/>
    <w:rsid w:val="00BF74A6"/>
    <w:rsid w:val="00C013AD"/>
    <w:rsid w:val="00C04904"/>
    <w:rsid w:val="00C056B3"/>
    <w:rsid w:val="00C05A58"/>
    <w:rsid w:val="00C103E5"/>
    <w:rsid w:val="00C12EB1"/>
    <w:rsid w:val="00C13319"/>
    <w:rsid w:val="00C13EE9"/>
    <w:rsid w:val="00C1772D"/>
    <w:rsid w:val="00C17A17"/>
    <w:rsid w:val="00C17AB6"/>
    <w:rsid w:val="00C202FE"/>
    <w:rsid w:val="00C21540"/>
    <w:rsid w:val="00C21906"/>
    <w:rsid w:val="00C219FA"/>
    <w:rsid w:val="00C21BFA"/>
    <w:rsid w:val="00C22148"/>
    <w:rsid w:val="00C23E3C"/>
    <w:rsid w:val="00C24C8D"/>
    <w:rsid w:val="00C24CC3"/>
    <w:rsid w:val="00C25A0B"/>
    <w:rsid w:val="00C25B4C"/>
    <w:rsid w:val="00C25FE2"/>
    <w:rsid w:val="00C26B53"/>
    <w:rsid w:val="00C272F8"/>
    <w:rsid w:val="00C279B2"/>
    <w:rsid w:val="00C30ABC"/>
    <w:rsid w:val="00C33E50"/>
    <w:rsid w:val="00C34C20"/>
    <w:rsid w:val="00C35471"/>
    <w:rsid w:val="00C35A3E"/>
    <w:rsid w:val="00C35AB4"/>
    <w:rsid w:val="00C371EB"/>
    <w:rsid w:val="00C402EF"/>
    <w:rsid w:val="00C42130"/>
    <w:rsid w:val="00C423A4"/>
    <w:rsid w:val="00C44BF5"/>
    <w:rsid w:val="00C4553B"/>
    <w:rsid w:val="00C50F23"/>
    <w:rsid w:val="00C521D6"/>
    <w:rsid w:val="00C52E4A"/>
    <w:rsid w:val="00C541A0"/>
    <w:rsid w:val="00C55232"/>
    <w:rsid w:val="00C553A4"/>
    <w:rsid w:val="00C55A06"/>
    <w:rsid w:val="00C55D03"/>
    <w:rsid w:val="00C579E9"/>
    <w:rsid w:val="00C601BC"/>
    <w:rsid w:val="00C618B1"/>
    <w:rsid w:val="00C61DAF"/>
    <w:rsid w:val="00C61DD2"/>
    <w:rsid w:val="00C6329F"/>
    <w:rsid w:val="00C63340"/>
    <w:rsid w:val="00C63811"/>
    <w:rsid w:val="00C63A00"/>
    <w:rsid w:val="00C6438B"/>
    <w:rsid w:val="00C643F9"/>
    <w:rsid w:val="00C64D8A"/>
    <w:rsid w:val="00C64E95"/>
    <w:rsid w:val="00C679C3"/>
    <w:rsid w:val="00C71372"/>
    <w:rsid w:val="00C71F3B"/>
    <w:rsid w:val="00C72410"/>
    <w:rsid w:val="00C7287F"/>
    <w:rsid w:val="00C73DDB"/>
    <w:rsid w:val="00C74CC0"/>
    <w:rsid w:val="00C77FDC"/>
    <w:rsid w:val="00C80CB8"/>
    <w:rsid w:val="00C819F8"/>
    <w:rsid w:val="00C8248C"/>
    <w:rsid w:val="00C84B48"/>
    <w:rsid w:val="00C84E33"/>
    <w:rsid w:val="00C8504A"/>
    <w:rsid w:val="00C86531"/>
    <w:rsid w:val="00C86D6F"/>
    <w:rsid w:val="00C87A2C"/>
    <w:rsid w:val="00C905FC"/>
    <w:rsid w:val="00C92B24"/>
    <w:rsid w:val="00C92D03"/>
    <w:rsid w:val="00C9319C"/>
    <w:rsid w:val="00C9435D"/>
    <w:rsid w:val="00C94DF2"/>
    <w:rsid w:val="00C96741"/>
    <w:rsid w:val="00C97E35"/>
    <w:rsid w:val="00CA0F45"/>
    <w:rsid w:val="00CA2D1B"/>
    <w:rsid w:val="00CA3642"/>
    <w:rsid w:val="00CA3732"/>
    <w:rsid w:val="00CA375D"/>
    <w:rsid w:val="00CA662A"/>
    <w:rsid w:val="00CA6F3C"/>
    <w:rsid w:val="00CA7AFD"/>
    <w:rsid w:val="00CA7C3C"/>
    <w:rsid w:val="00CB0189"/>
    <w:rsid w:val="00CB0BA2"/>
    <w:rsid w:val="00CB1A42"/>
    <w:rsid w:val="00CB1B0C"/>
    <w:rsid w:val="00CB2C0B"/>
    <w:rsid w:val="00CB42B3"/>
    <w:rsid w:val="00CB48A9"/>
    <w:rsid w:val="00CB517D"/>
    <w:rsid w:val="00CC038D"/>
    <w:rsid w:val="00CC08DB"/>
    <w:rsid w:val="00CC39FF"/>
    <w:rsid w:val="00CC3C2F"/>
    <w:rsid w:val="00CC4AC8"/>
    <w:rsid w:val="00CC5233"/>
    <w:rsid w:val="00CC5BB7"/>
    <w:rsid w:val="00CC5DE6"/>
    <w:rsid w:val="00CC6276"/>
    <w:rsid w:val="00CC6E4E"/>
    <w:rsid w:val="00CC6FE8"/>
    <w:rsid w:val="00CC7202"/>
    <w:rsid w:val="00CD2808"/>
    <w:rsid w:val="00CD28BF"/>
    <w:rsid w:val="00CD342C"/>
    <w:rsid w:val="00CD3954"/>
    <w:rsid w:val="00CD4092"/>
    <w:rsid w:val="00CD45A1"/>
    <w:rsid w:val="00CD4A20"/>
    <w:rsid w:val="00CD50A1"/>
    <w:rsid w:val="00CD519E"/>
    <w:rsid w:val="00CD77B4"/>
    <w:rsid w:val="00CE0C4F"/>
    <w:rsid w:val="00CE2082"/>
    <w:rsid w:val="00CE30EA"/>
    <w:rsid w:val="00CE427E"/>
    <w:rsid w:val="00CF048A"/>
    <w:rsid w:val="00CF155A"/>
    <w:rsid w:val="00CF2124"/>
    <w:rsid w:val="00CF2947"/>
    <w:rsid w:val="00CF30E1"/>
    <w:rsid w:val="00CF572C"/>
    <w:rsid w:val="00CF686F"/>
    <w:rsid w:val="00CF6952"/>
    <w:rsid w:val="00CF6E60"/>
    <w:rsid w:val="00CF6F3F"/>
    <w:rsid w:val="00CF7BCA"/>
    <w:rsid w:val="00D008FD"/>
    <w:rsid w:val="00D00A28"/>
    <w:rsid w:val="00D02ADA"/>
    <w:rsid w:val="00D02BD5"/>
    <w:rsid w:val="00D02DE5"/>
    <w:rsid w:val="00D0321C"/>
    <w:rsid w:val="00D034E5"/>
    <w:rsid w:val="00D035EC"/>
    <w:rsid w:val="00D06AB1"/>
    <w:rsid w:val="00D072ED"/>
    <w:rsid w:val="00D07A16"/>
    <w:rsid w:val="00D1067E"/>
    <w:rsid w:val="00D109F0"/>
    <w:rsid w:val="00D10F50"/>
    <w:rsid w:val="00D11272"/>
    <w:rsid w:val="00D11F3C"/>
    <w:rsid w:val="00D126F5"/>
    <w:rsid w:val="00D1489E"/>
    <w:rsid w:val="00D15F44"/>
    <w:rsid w:val="00D163C8"/>
    <w:rsid w:val="00D20737"/>
    <w:rsid w:val="00D21E81"/>
    <w:rsid w:val="00D223DE"/>
    <w:rsid w:val="00D2261E"/>
    <w:rsid w:val="00D226F8"/>
    <w:rsid w:val="00D2298E"/>
    <w:rsid w:val="00D23ECE"/>
    <w:rsid w:val="00D247D7"/>
    <w:rsid w:val="00D247F4"/>
    <w:rsid w:val="00D24825"/>
    <w:rsid w:val="00D25156"/>
    <w:rsid w:val="00D25E37"/>
    <w:rsid w:val="00D262D9"/>
    <w:rsid w:val="00D2661A"/>
    <w:rsid w:val="00D27582"/>
    <w:rsid w:val="00D27EC4"/>
    <w:rsid w:val="00D314C9"/>
    <w:rsid w:val="00D31971"/>
    <w:rsid w:val="00D323DC"/>
    <w:rsid w:val="00D32719"/>
    <w:rsid w:val="00D33333"/>
    <w:rsid w:val="00D33457"/>
    <w:rsid w:val="00D352A2"/>
    <w:rsid w:val="00D373EF"/>
    <w:rsid w:val="00D4162B"/>
    <w:rsid w:val="00D4514F"/>
    <w:rsid w:val="00D451E2"/>
    <w:rsid w:val="00D45E89"/>
    <w:rsid w:val="00D45E8D"/>
    <w:rsid w:val="00D4620D"/>
    <w:rsid w:val="00D466AE"/>
    <w:rsid w:val="00D4734F"/>
    <w:rsid w:val="00D477EB"/>
    <w:rsid w:val="00D47FB3"/>
    <w:rsid w:val="00D5142A"/>
    <w:rsid w:val="00D51BF3"/>
    <w:rsid w:val="00D52FC2"/>
    <w:rsid w:val="00D55BAA"/>
    <w:rsid w:val="00D56D2E"/>
    <w:rsid w:val="00D64868"/>
    <w:rsid w:val="00D66846"/>
    <w:rsid w:val="00D675FB"/>
    <w:rsid w:val="00D70EFE"/>
    <w:rsid w:val="00D71F25"/>
    <w:rsid w:val="00D721B9"/>
    <w:rsid w:val="00D72A9C"/>
    <w:rsid w:val="00D7421B"/>
    <w:rsid w:val="00D748F0"/>
    <w:rsid w:val="00D77031"/>
    <w:rsid w:val="00D779F4"/>
    <w:rsid w:val="00D8047B"/>
    <w:rsid w:val="00D828CC"/>
    <w:rsid w:val="00D83228"/>
    <w:rsid w:val="00D84941"/>
    <w:rsid w:val="00D84FA1"/>
    <w:rsid w:val="00D851F0"/>
    <w:rsid w:val="00D854AF"/>
    <w:rsid w:val="00D86DB7"/>
    <w:rsid w:val="00D91873"/>
    <w:rsid w:val="00D926D0"/>
    <w:rsid w:val="00D93030"/>
    <w:rsid w:val="00D93FD8"/>
    <w:rsid w:val="00D94557"/>
    <w:rsid w:val="00D950E1"/>
    <w:rsid w:val="00D952A6"/>
    <w:rsid w:val="00D95730"/>
    <w:rsid w:val="00D95ACC"/>
    <w:rsid w:val="00D97F99"/>
    <w:rsid w:val="00DA013A"/>
    <w:rsid w:val="00DA1E08"/>
    <w:rsid w:val="00DA24F8"/>
    <w:rsid w:val="00DA28E8"/>
    <w:rsid w:val="00DA38D3"/>
    <w:rsid w:val="00DA3932"/>
    <w:rsid w:val="00DA3AFC"/>
    <w:rsid w:val="00DA64F8"/>
    <w:rsid w:val="00DA6725"/>
    <w:rsid w:val="00DA6C15"/>
    <w:rsid w:val="00DA73CC"/>
    <w:rsid w:val="00DA7B85"/>
    <w:rsid w:val="00DB0046"/>
    <w:rsid w:val="00DB0258"/>
    <w:rsid w:val="00DB2BEB"/>
    <w:rsid w:val="00DB38EE"/>
    <w:rsid w:val="00DB498B"/>
    <w:rsid w:val="00DB583B"/>
    <w:rsid w:val="00DB66CA"/>
    <w:rsid w:val="00DB6BCA"/>
    <w:rsid w:val="00DB73F7"/>
    <w:rsid w:val="00DB7A2C"/>
    <w:rsid w:val="00DC0321"/>
    <w:rsid w:val="00DC1300"/>
    <w:rsid w:val="00DC19C8"/>
    <w:rsid w:val="00DC3067"/>
    <w:rsid w:val="00DC370B"/>
    <w:rsid w:val="00DC463F"/>
    <w:rsid w:val="00DC497A"/>
    <w:rsid w:val="00DC5B90"/>
    <w:rsid w:val="00DD00FF"/>
    <w:rsid w:val="00DD0619"/>
    <w:rsid w:val="00DD07FB"/>
    <w:rsid w:val="00DD0A8C"/>
    <w:rsid w:val="00DD25C6"/>
    <w:rsid w:val="00DD4FE5"/>
    <w:rsid w:val="00DD54B0"/>
    <w:rsid w:val="00DD5743"/>
    <w:rsid w:val="00DD57EE"/>
    <w:rsid w:val="00DD6BCC"/>
    <w:rsid w:val="00DD7253"/>
    <w:rsid w:val="00DE0A4B"/>
    <w:rsid w:val="00DE0FF6"/>
    <w:rsid w:val="00DE2410"/>
    <w:rsid w:val="00DE2939"/>
    <w:rsid w:val="00DE38AD"/>
    <w:rsid w:val="00DE65FB"/>
    <w:rsid w:val="00DE6E81"/>
    <w:rsid w:val="00DE703F"/>
    <w:rsid w:val="00DE7595"/>
    <w:rsid w:val="00DE7F61"/>
    <w:rsid w:val="00DF1961"/>
    <w:rsid w:val="00DF19E2"/>
    <w:rsid w:val="00DF44DE"/>
    <w:rsid w:val="00DF5F11"/>
    <w:rsid w:val="00DF6E06"/>
    <w:rsid w:val="00DF72C3"/>
    <w:rsid w:val="00DF7321"/>
    <w:rsid w:val="00E00660"/>
    <w:rsid w:val="00E01138"/>
    <w:rsid w:val="00E017E9"/>
    <w:rsid w:val="00E02DFB"/>
    <w:rsid w:val="00E030F9"/>
    <w:rsid w:val="00E0311A"/>
    <w:rsid w:val="00E03138"/>
    <w:rsid w:val="00E04F08"/>
    <w:rsid w:val="00E06404"/>
    <w:rsid w:val="00E11A85"/>
    <w:rsid w:val="00E12495"/>
    <w:rsid w:val="00E13924"/>
    <w:rsid w:val="00E15CCD"/>
    <w:rsid w:val="00E17303"/>
    <w:rsid w:val="00E200FD"/>
    <w:rsid w:val="00E202EF"/>
    <w:rsid w:val="00E210B5"/>
    <w:rsid w:val="00E23D99"/>
    <w:rsid w:val="00E2552F"/>
    <w:rsid w:val="00E3137A"/>
    <w:rsid w:val="00E32CCF"/>
    <w:rsid w:val="00E32E3A"/>
    <w:rsid w:val="00E34A98"/>
    <w:rsid w:val="00E35D1E"/>
    <w:rsid w:val="00E364F9"/>
    <w:rsid w:val="00E365FA"/>
    <w:rsid w:val="00E36789"/>
    <w:rsid w:val="00E4181B"/>
    <w:rsid w:val="00E44860"/>
    <w:rsid w:val="00E44A83"/>
    <w:rsid w:val="00E46A67"/>
    <w:rsid w:val="00E47FDD"/>
    <w:rsid w:val="00E502C1"/>
    <w:rsid w:val="00E502DD"/>
    <w:rsid w:val="00E50D3A"/>
    <w:rsid w:val="00E51387"/>
    <w:rsid w:val="00E51E68"/>
    <w:rsid w:val="00E52EFD"/>
    <w:rsid w:val="00E5408A"/>
    <w:rsid w:val="00E54BC8"/>
    <w:rsid w:val="00E566AF"/>
    <w:rsid w:val="00E56800"/>
    <w:rsid w:val="00E57D7F"/>
    <w:rsid w:val="00E6010F"/>
    <w:rsid w:val="00E604FC"/>
    <w:rsid w:val="00E60C63"/>
    <w:rsid w:val="00E62FF9"/>
    <w:rsid w:val="00E635D6"/>
    <w:rsid w:val="00E639BC"/>
    <w:rsid w:val="00E65868"/>
    <w:rsid w:val="00E664CC"/>
    <w:rsid w:val="00E66A88"/>
    <w:rsid w:val="00E66E2E"/>
    <w:rsid w:val="00E70388"/>
    <w:rsid w:val="00E70F92"/>
    <w:rsid w:val="00E7112B"/>
    <w:rsid w:val="00E72645"/>
    <w:rsid w:val="00E74C54"/>
    <w:rsid w:val="00E77A03"/>
    <w:rsid w:val="00E811FC"/>
    <w:rsid w:val="00E822E8"/>
    <w:rsid w:val="00E82554"/>
    <w:rsid w:val="00E82606"/>
    <w:rsid w:val="00E838DF"/>
    <w:rsid w:val="00E8408A"/>
    <w:rsid w:val="00E846C8"/>
    <w:rsid w:val="00E84957"/>
    <w:rsid w:val="00E84A55"/>
    <w:rsid w:val="00E85BFF"/>
    <w:rsid w:val="00E865F6"/>
    <w:rsid w:val="00E90391"/>
    <w:rsid w:val="00E9053A"/>
    <w:rsid w:val="00E906C2"/>
    <w:rsid w:val="00E90AD5"/>
    <w:rsid w:val="00E92DBB"/>
    <w:rsid w:val="00E930F0"/>
    <w:rsid w:val="00E9311F"/>
    <w:rsid w:val="00E934D1"/>
    <w:rsid w:val="00E935BB"/>
    <w:rsid w:val="00E938AF"/>
    <w:rsid w:val="00E945A9"/>
    <w:rsid w:val="00E94AF0"/>
    <w:rsid w:val="00E95D13"/>
    <w:rsid w:val="00E95DD3"/>
    <w:rsid w:val="00E969D5"/>
    <w:rsid w:val="00E978F6"/>
    <w:rsid w:val="00EA2948"/>
    <w:rsid w:val="00EA58D1"/>
    <w:rsid w:val="00EA61BC"/>
    <w:rsid w:val="00EA681A"/>
    <w:rsid w:val="00EA6C34"/>
    <w:rsid w:val="00EA735B"/>
    <w:rsid w:val="00EB0E71"/>
    <w:rsid w:val="00EB17DE"/>
    <w:rsid w:val="00EB1E69"/>
    <w:rsid w:val="00EB2086"/>
    <w:rsid w:val="00EB4900"/>
    <w:rsid w:val="00EB5EDF"/>
    <w:rsid w:val="00EB60FE"/>
    <w:rsid w:val="00EB74DB"/>
    <w:rsid w:val="00EB7CB7"/>
    <w:rsid w:val="00EC1EF6"/>
    <w:rsid w:val="00EC469B"/>
    <w:rsid w:val="00EC4D52"/>
    <w:rsid w:val="00EC5359"/>
    <w:rsid w:val="00EC562A"/>
    <w:rsid w:val="00EC6578"/>
    <w:rsid w:val="00ED067A"/>
    <w:rsid w:val="00ED1042"/>
    <w:rsid w:val="00ED1128"/>
    <w:rsid w:val="00ED1D1A"/>
    <w:rsid w:val="00ED2B50"/>
    <w:rsid w:val="00ED2DE8"/>
    <w:rsid w:val="00ED44E6"/>
    <w:rsid w:val="00ED4E8E"/>
    <w:rsid w:val="00EE0350"/>
    <w:rsid w:val="00EE0719"/>
    <w:rsid w:val="00EE0E80"/>
    <w:rsid w:val="00EE24F8"/>
    <w:rsid w:val="00EE54A6"/>
    <w:rsid w:val="00EE613F"/>
    <w:rsid w:val="00EE7295"/>
    <w:rsid w:val="00EE74DE"/>
    <w:rsid w:val="00EE7869"/>
    <w:rsid w:val="00EF054A"/>
    <w:rsid w:val="00EF3235"/>
    <w:rsid w:val="00EF61AA"/>
    <w:rsid w:val="00EF64F3"/>
    <w:rsid w:val="00EF7E72"/>
    <w:rsid w:val="00F02312"/>
    <w:rsid w:val="00F059A9"/>
    <w:rsid w:val="00F06D37"/>
    <w:rsid w:val="00F07B9D"/>
    <w:rsid w:val="00F10B2A"/>
    <w:rsid w:val="00F113ED"/>
    <w:rsid w:val="00F11586"/>
    <w:rsid w:val="00F1183B"/>
    <w:rsid w:val="00F11971"/>
    <w:rsid w:val="00F11C9F"/>
    <w:rsid w:val="00F12263"/>
    <w:rsid w:val="00F1409D"/>
    <w:rsid w:val="00F14214"/>
    <w:rsid w:val="00F157A9"/>
    <w:rsid w:val="00F15860"/>
    <w:rsid w:val="00F17427"/>
    <w:rsid w:val="00F1755F"/>
    <w:rsid w:val="00F20200"/>
    <w:rsid w:val="00F234EC"/>
    <w:rsid w:val="00F24D1D"/>
    <w:rsid w:val="00F25BB6"/>
    <w:rsid w:val="00F26B7E"/>
    <w:rsid w:val="00F26C9E"/>
    <w:rsid w:val="00F26F69"/>
    <w:rsid w:val="00F274B3"/>
    <w:rsid w:val="00F27A3B"/>
    <w:rsid w:val="00F30B36"/>
    <w:rsid w:val="00F33817"/>
    <w:rsid w:val="00F362F2"/>
    <w:rsid w:val="00F375A9"/>
    <w:rsid w:val="00F420D5"/>
    <w:rsid w:val="00F451EA"/>
    <w:rsid w:val="00F45447"/>
    <w:rsid w:val="00F456C6"/>
    <w:rsid w:val="00F4577B"/>
    <w:rsid w:val="00F46496"/>
    <w:rsid w:val="00F474D0"/>
    <w:rsid w:val="00F47C7C"/>
    <w:rsid w:val="00F50179"/>
    <w:rsid w:val="00F50D5C"/>
    <w:rsid w:val="00F515EE"/>
    <w:rsid w:val="00F51FDB"/>
    <w:rsid w:val="00F52F05"/>
    <w:rsid w:val="00F54A08"/>
    <w:rsid w:val="00F54EC9"/>
    <w:rsid w:val="00F55158"/>
    <w:rsid w:val="00F56511"/>
    <w:rsid w:val="00F6194E"/>
    <w:rsid w:val="00F623AC"/>
    <w:rsid w:val="00F62D96"/>
    <w:rsid w:val="00F62FC5"/>
    <w:rsid w:val="00F6412A"/>
    <w:rsid w:val="00F65893"/>
    <w:rsid w:val="00F66A4A"/>
    <w:rsid w:val="00F670B9"/>
    <w:rsid w:val="00F70A77"/>
    <w:rsid w:val="00F71290"/>
    <w:rsid w:val="00F71E22"/>
    <w:rsid w:val="00F72142"/>
    <w:rsid w:val="00F721FB"/>
    <w:rsid w:val="00F72AE7"/>
    <w:rsid w:val="00F736CC"/>
    <w:rsid w:val="00F73745"/>
    <w:rsid w:val="00F74037"/>
    <w:rsid w:val="00F7466E"/>
    <w:rsid w:val="00F74788"/>
    <w:rsid w:val="00F75265"/>
    <w:rsid w:val="00F776C6"/>
    <w:rsid w:val="00F80D44"/>
    <w:rsid w:val="00F81141"/>
    <w:rsid w:val="00F81FB3"/>
    <w:rsid w:val="00F833BA"/>
    <w:rsid w:val="00F84FD0"/>
    <w:rsid w:val="00F85521"/>
    <w:rsid w:val="00F85635"/>
    <w:rsid w:val="00F857C2"/>
    <w:rsid w:val="00F859A8"/>
    <w:rsid w:val="00F86D87"/>
    <w:rsid w:val="00F87809"/>
    <w:rsid w:val="00F90D67"/>
    <w:rsid w:val="00F9108B"/>
    <w:rsid w:val="00F91349"/>
    <w:rsid w:val="00F91625"/>
    <w:rsid w:val="00F93A8A"/>
    <w:rsid w:val="00F9422B"/>
    <w:rsid w:val="00F95248"/>
    <w:rsid w:val="00F954EE"/>
    <w:rsid w:val="00F956A9"/>
    <w:rsid w:val="00F96040"/>
    <w:rsid w:val="00F963ED"/>
    <w:rsid w:val="00F966CF"/>
    <w:rsid w:val="00F96B62"/>
    <w:rsid w:val="00F96CAE"/>
    <w:rsid w:val="00F97C99"/>
    <w:rsid w:val="00FA1328"/>
    <w:rsid w:val="00FA4DAC"/>
    <w:rsid w:val="00FA662D"/>
    <w:rsid w:val="00FA6ABC"/>
    <w:rsid w:val="00FA73B1"/>
    <w:rsid w:val="00FA77AC"/>
    <w:rsid w:val="00FB0CB9"/>
    <w:rsid w:val="00FB231D"/>
    <w:rsid w:val="00FB45F1"/>
    <w:rsid w:val="00FB4A72"/>
    <w:rsid w:val="00FB54E8"/>
    <w:rsid w:val="00FB7054"/>
    <w:rsid w:val="00FB7CF1"/>
    <w:rsid w:val="00FC17B7"/>
    <w:rsid w:val="00FC2CB7"/>
    <w:rsid w:val="00FC4090"/>
    <w:rsid w:val="00FC4E43"/>
    <w:rsid w:val="00FC55B4"/>
    <w:rsid w:val="00FC7256"/>
    <w:rsid w:val="00FC780C"/>
    <w:rsid w:val="00FD00E6"/>
    <w:rsid w:val="00FD09A1"/>
    <w:rsid w:val="00FD2A7C"/>
    <w:rsid w:val="00FD358E"/>
    <w:rsid w:val="00FD59EB"/>
    <w:rsid w:val="00FD7299"/>
    <w:rsid w:val="00FE18A0"/>
    <w:rsid w:val="00FE1911"/>
    <w:rsid w:val="00FE1FBE"/>
    <w:rsid w:val="00FE3901"/>
    <w:rsid w:val="00FE39D3"/>
    <w:rsid w:val="00FE4BCE"/>
    <w:rsid w:val="00FE54AE"/>
    <w:rsid w:val="00FE576A"/>
    <w:rsid w:val="00FE7E79"/>
    <w:rsid w:val="00FF04D4"/>
    <w:rsid w:val="00FF2496"/>
    <w:rsid w:val="00FF3E7D"/>
    <w:rsid w:val="00FF5B99"/>
    <w:rsid w:val="00FF5CC6"/>
    <w:rsid w:val="00FF730C"/>
    <w:rsid w:val="00FF73F4"/>
    <w:rsid w:val="00FF7CE4"/>
    <w:rsid w:val="00FF7E39"/>
    <w:rsid w:val="0E1038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0" w:name="toc 8"/>
    <w:lsdException w:uiPriority="0" w:name="toc 9"/>
    <w:lsdException w:unhideWhenUsed="0" w:uiPriority="0" w:semiHidden="0" w:name="Normal Indent"/>
    <w:lsdException w:unhideWhenUsed="0"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nhideWhenUsed="0" w:uiPriority="0" w:name="table of figures"/>
    <w:lsdException w:uiPriority="99" w:name="envelope address"/>
    <w:lsdException w:uiPriority="99" w:name="envelope return"/>
    <w:lsdException w:unhideWhenUsed="0" w:uiPriority="0" w:name="footnote reference"/>
    <w:lsdException w:qFormat="1" w:uiPriority="99"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7"/>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8"/>
    <w:qFormat/>
    <w:uiPriority w:val="0"/>
    <w:pPr>
      <w:keepNext/>
      <w:keepLines/>
      <w:spacing w:before="260" w:after="260" w:line="416" w:lineRule="auto"/>
      <w:outlineLvl w:val="2"/>
    </w:pPr>
    <w:rPr>
      <w:b/>
      <w:bCs/>
      <w:sz w:val="32"/>
      <w:szCs w:val="32"/>
    </w:rPr>
  </w:style>
  <w:style w:type="paragraph" w:styleId="5">
    <w:name w:val="heading 4"/>
    <w:basedOn w:val="1"/>
    <w:next w:val="1"/>
    <w:link w:val="39"/>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0"/>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1"/>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2"/>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3"/>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4"/>
    <w:qFormat/>
    <w:uiPriority w:val="0"/>
    <w:pPr>
      <w:keepNext/>
      <w:keepLines/>
      <w:adjustRightInd/>
      <w:spacing w:before="240" w:after="64" w:line="320" w:lineRule="auto"/>
      <w:outlineLvl w:val="8"/>
    </w:pPr>
    <w:rPr>
      <w:rFonts w:ascii="Arial" w:hAnsi="Arial" w:eastAsia="黑体"/>
    </w:rPr>
  </w:style>
  <w:style w:type="character" w:default="1" w:styleId="29">
    <w:name w:val="Default Paragraph Font"/>
    <w:semiHidden/>
    <w:unhideWhenUsed/>
    <w:uiPriority w:val="1"/>
  </w:style>
  <w:style w:type="table" w:default="1" w:styleId="27">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uiPriority w:val="39"/>
    <w:pPr>
      <w:tabs>
        <w:tab w:val="right" w:leader="dot" w:pos="9344"/>
      </w:tabs>
      <w:spacing w:line="300" w:lineRule="exact"/>
      <w:ind w:left="1259"/>
    </w:pPr>
    <w:rPr>
      <w:rFonts w:ascii="宋体"/>
    </w:rPr>
  </w:style>
  <w:style w:type="paragraph" w:styleId="12">
    <w:name w:val="Normal Indent"/>
    <w:basedOn w:val="1"/>
    <w:uiPriority w:val="0"/>
    <w:pPr>
      <w:ind w:firstLine="420"/>
    </w:pPr>
  </w:style>
  <w:style w:type="paragraph" w:styleId="13">
    <w:name w:val="annotation text"/>
    <w:basedOn w:val="1"/>
    <w:link w:val="232"/>
    <w:unhideWhenUsed/>
    <w:qFormat/>
    <w:uiPriority w:val="99"/>
    <w:pPr>
      <w:adjustRightInd/>
      <w:spacing w:line="240" w:lineRule="auto"/>
      <w:jc w:val="left"/>
    </w:pPr>
    <w:rPr>
      <w:rFonts w:asciiTheme="minorHAnsi" w:hAnsiTheme="minorHAnsi" w:eastAsiaTheme="minorEastAsia"/>
      <w:szCs w:val="22"/>
    </w:rPr>
  </w:style>
  <w:style w:type="paragraph" w:styleId="14">
    <w:name w:val="Body Text"/>
    <w:basedOn w:val="1"/>
    <w:link w:val="88"/>
    <w:qFormat/>
    <w:uiPriority w:val="0"/>
    <w:pPr>
      <w:spacing w:after="120"/>
    </w:pPr>
  </w:style>
  <w:style w:type="paragraph" w:styleId="15">
    <w:name w:val="toc 5"/>
    <w:basedOn w:val="1"/>
    <w:next w:val="1"/>
    <w:unhideWhenUsed/>
    <w:uiPriority w:val="39"/>
    <w:pPr>
      <w:ind w:left="839"/>
    </w:pPr>
    <w:rPr>
      <w:rFonts w:ascii="宋体"/>
    </w:rPr>
  </w:style>
  <w:style w:type="paragraph" w:styleId="16">
    <w:name w:val="toc 3"/>
    <w:basedOn w:val="1"/>
    <w:next w:val="1"/>
    <w:unhideWhenUsed/>
    <w:uiPriority w:val="39"/>
    <w:pPr>
      <w:spacing w:line="300" w:lineRule="exact"/>
      <w:ind w:left="420"/>
    </w:pPr>
    <w:rPr>
      <w:rFonts w:ascii="宋体"/>
    </w:rPr>
  </w:style>
  <w:style w:type="paragraph" w:styleId="17">
    <w:name w:val="Balloon Text"/>
    <w:basedOn w:val="1"/>
    <w:link w:val="47"/>
    <w:semiHidden/>
    <w:unhideWhenUsed/>
    <w:qFormat/>
    <w:uiPriority w:val="99"/>
    <w:rPr>
      <w:sz w:val="18"/>
      <w:szCs w:val="18"/>
    </w:rPr>
  </w:style>
  <w:style w:type="paragraph" w:styleId="18">
    <w:name w:val="footer"/>
    <w:basedOn w:val="1"/>
    <w:link w:val="46"/>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5"/>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uiPriority w:val="39"/>
    <w:rPr>
      <w:rFonts w:ascii="宋体"/>
    </w:rPr>
  </w:style>
  <w:style w:type="paragraph" w:styleId="21">
    <w:name w:val="toc 4"/>
    <w:basedOn w:val="1"/>
    <w:next w:val="1"/>
    <w:unhideWhenUsed/>
    <w:uiPriority w:val="39"/>
    <w:pPr>
      <w:tabs>
        <w:tab w:val="right" w:leader="dot" w:pos="9344"/>
      </w:tabs>
      <w:spacing w:line="300" w:lineRule="exact"/>
      <w:ind w:left="629"/>
    </w:pPr>
    <w:rPr>
      <w:rFonts w:ascii="宋体"/>
    </w:rPr>
  </w:style>
  <w:style w:type="paragraph" w:styleId="22">
    <w:name w:val="footnote text"/>
    <w:basedOn w:val="1"/>
    <w:next w:val="1"/>
    <w:link w:val="101"/>
    <w:semiHidden/>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unhideWhenUsed/>
    <w:uiPriority w:val="39"/>
    <w:pPr>
      <w:spacing w:line="300" w:lineRule="exact"/>
      <w:ind w:left="1049"/>
    </w:pPr>
    <w:rPr>
      <w:rFonts w:ascii="宋体"/>
    </w:rPr>
  </w:style>
  <w:style w:type="paragraph" w:styleId="24">
    <w:name w:val="table of figures"/>
    <w:basedOn w:val="1"/>
    <w:next w:val="1"/>
    <w:semiHidden/>
    <w:uiPriority w:val="0"/>
    <w:pPr>
      <w:adjustRightInd/>
      <w:spacing w:line="240" w:lineRule="auto"/>
      <w:jc w:val="left"/>
    </w:pPr>
    <w:rPr>
      <w:szCs w:val="24"/>
    </w:rPr>
  </w:style>
  <w:style w:type="paragraph" w:styleId="25">
    <w:name w:val="toc 2"/>
    <w:basedOn w:val="1"/>
    <w:next w:val="1"/>
    <w:unhideWhenUsed/>
    <w:uiPriority w:val="39"/>
    <w:pPr>
      <w:tabs>
        <w:tab w:val="right" w:leader="dot" w:pos="9344"/>
      </w:tabs>
      <w:spacing w:line="300" w:lineRule="exact"/>
      <w:ind w:left="210"/>
    </w:pPr>
    <w:rPr>
      <w:rFonts w:ascii="宋体"/>
    </w:rPr>
  </w:style>
  <w:style w:type="paragraph" w:styleId="26">
    <w:name w:val="Title"/>
    <w:basedOn w:val="1"/>
    <w:link w:val="50"/>
    <w:qFormat/>
    <w:uiPriority w:val="0"/>
    <w:pPr>
      <w:spacing w:before="240" w:after="60"/>
      <w:jc w:val="center"/>
      <w:outlineLvl w:val="0"/>
    </w:pPr>
    <w:rPr>
      <w:rFonts w:ascii="Arial" w:hAnsi="Arial" w:cs="Arial"/>
      <w:b/>
      <w:bCs/>
      <w:sz w:val="32"/>
      <w:szCs w:val="32"/>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22"/>
    <w:rPr>
      <w:b/>
      <w:bCs/>
    </w:rPr>
  </w:style>
  <w:style w:type="character" w:styleId="31">
    <w:name w:val="page number"/>
    <w:uiPriority w:val="0"/>
    <w:rPr>
      <w:rFonts w:ascii="宋体" w:hAnsi="Times New Roman" w:eastAsia="宋体"/>
      <w:sz w:val="18"/>
    </w:rPr>
  </w:style>
  <w:style w:type="character" w:styleId="32">
    <w:name w:val="Emphasis"/>
    <w:qFormat/>
    <w:uiPriority w:val="20"/>
    <w:rPr>
      <w:i/>
      <w:iCs/>
    </w:rPr>
  </w:style>
  <w:style w:type="character" w:styleId="33">
    <w:name w:val="Hyperlink"/>
    <w:uiPriority w:val="99"/>
    <w:rPr>
      <w:rFonts w:ascii="宋体" w:hAnsi="Times New Roman" w:eastAsia="宋体"/>
      <w:color w:val="auto"/>
      <w:spacing w:val="0"/>
      <w:w w:val="100"/>
      <w:position w:val="0"/>
      <w:sz w:val="21"/>
      <w:u w:val="none"/>
      <w:vertAlign w:val="baseline"/>
    </w:rPr>
  </w:style>
  <w:style w:type="character" w:styleId="34">
    <w:name w:val="annotation reference"/>
    <w:basedOn w:val="29"/>
    <w:unhideWhenUsed/>
    <w:qFormat/>
    <w:uiPriority w:val="99"/>
    <w:rPr>
      <w:rFonts w:cs="Times New Roman"/>
      <w:sz w:val="21"/>
      <w:szCs w:val="21"/>
    </w:rPr>
  </w:style>
  <w:style w:type="character" w:styleId="35">
    <w:name w:val="footnote reference"/>
    <w:semiHidden/>
    <w:uiPriority w:val="0"/>
    <w:rPr>
      <w:rFonts w:ascii="宋体" w:hAnsi="宋体" w:eastAsia="宋体" w:cs="Times New Roman"/>
      <w:spacing w:val="0"/>
      <w:sz w:val="18"/>
      <w:vertAlign w:val="superscript"/>
    </w:rPr>
  </w:style>
  <w:style w:type="character" w:customStyle="1" w:styleId="36">
    <w:name w:val="标题 1 字符"/>
    <w:link w:val="2"/>
    <w:uiPriority w:val="0"/>
    <w:rPr>
      <w:rFonts w:ascii="Times New Roman" w:hAnsi="Times New Roman" w:eastAsia="宋体" w:cs="Times New Roman"/>
      <w:b/>
      <w:bCs/>
      <w:kern w:val="44"/>
      <w:sz w:val="44"/>
      <w:szCs w:val="44"/>
    </w:rPr>
  </w:style>
  <w:style w:type="character" w:customStyle="1" w:styleId="37">
    <w:name w:val="标题 2 字符"/>
    <w:link w:val="3"/>
    <w:uiPriority w:val="0"/>
    <w:rPr>
      <w:rFonts w:ascii="Arial" w:hAnsi="Arial" w:eastAsia="黑体" w:cs="Times New Roman"/>
      <w:b/>
      <w:bCs/>
      <w:sz w:val="32"/>
      <w:szCs w:val="32"/>
    </w:rPr>
  </w:style>
  <w:style w:type="character" w:customStyle="1" w:styleId="38">
    <w:name w:val="标题 3 字符"/>
    <w:link w:val="4"/>
    <w:uiPriority w:val="0"/>
    <w:rPr>
      <w:rFonts w:ascii="Times New Roman" w:hAnsi="Times New Roman" w:eastAsia="宋体" w:cs="Times New Roman"/>
      <w:b/>
      <w:bCs/>
      <w:sz w:val="32"/>
      <w:szCs w:val="32"/>
    </w:rPr>
  </w:style>
  <w:style w:type="character" w:customStyle="1" w:styleId="39">
    <w:name w:val="标题 4 字符"/>
    <w:link w:val="5"/>
    <w:qFormat/>
    <w:uiPriority w:val="0"/>
    <w:rPr>
      <w:rFonts w:ascii="Arial" w:hAnsi="Arial" w:eastAsia="黑体" w:cs="Times New Roman"/>
      <w:b/>
      <w:bCs/>
      <w:sz w:val="28"/>
      <w:szCs w:val="28"/>
    </w:rPr>
  </w:style>
  <w:style w:type="character" w:customStyle="1" w:styleId="40">
    <w:name w:val="标题 5 字符"/>
    <w:link w:val="6"/>
    <w:qFormat/>
    <w:uiPriority w:val="0"/>
    <w:rPr>
      <w:rFonts w:ascii="Times New Roman" w:hAnsi="Times New Roman" w:eastAsia="宋体" w:cs="Times New Roman"/>
      <w:b/>
      <w:bCs/>
      <w:sz w:val="28"/>
      <w:szCs w:val="28"/>
    </w:rPr>
  </w:style>
  <w:style w:type="character" w:customStyle="1" w:styleId="41">
    <w:name w:val="标题 6 字符"/>
    <w:link w:val="7"/>
    <w:qFormat/>
    <w:uiPriority w:val="0"/>
    <w:rPr>
      <w:rFonts w:ascii="Arial" w:hAnsi="Arial" w:eastAsia="黑体" w:cs="Times New Roman"/>
      <w:b/>
      <w:bCs/>
      <w:sz w:val="24"/>
      <w:szCs w:val="24"/>
    </w:rPr>
  </w:style>
  <w:style w:type="character" w:customStyle="1" w:styleId="42">
    <w:name w:val="标题 7 字符"/>
    <w:link w:val="8"/>
    <w:qFormat/>
    <w:uiPriority w:val="0"/>
    <w:rPr>
      <w:rFonts w:ascii="Times New Roman" w:hAnsi="Times New Roman" w:eastAsia="宋体" w:cs="Times New Roman"/>
      <w:b/>
      <w:bCs/>
      <w:sz w:val="24"/>
      <w:szCs w:val="24"/>
    </w:rPr>
  </w:style>
  <w:style w:type="character" w:customStyle="1" w:styleId="43">
    <w:name w:val="标题 8 字符"/>
    <w:link w:val="9"/>
    <w:qFormat/>
    <w:uiPriority w:val="0"/>
    <w:rPr>
      <w:rFonts w:ascii="Arial" w:hAnsi="Arial" w:eastAsia="黑体" w:cs="Times New Roman"/>
      <w:sz w:val="24"/>
      <w:szCs w:val="24"/>
    </w:rPr>
  </w:style>
  <w:style w:type="character" w:customStyle="1" w:styleId="44">
    <w:name w:val="标题 9 字符"/>
    <w:link w:val="10"/>
    <w:qFormat/>
    <w:uiPriority w:val="0"/>
    <w:rPr>
      <w:rFonts w:ascii="Arial" w:hAnsi="Arial" w:eastAsia="黑体" w:cs="Times New Roman"/>
      <w:szCs w:val="21"/>
    </w:rPr>
  </w:style>
  <w:style w:type="character" w:customStyle="1" w:styleId="45">
    <w:name w:val="页眉 字符"/>
    <w:link w:val="19"/>
    <w:qFormat/>
    <w:uiPriority w:val="99"/>
    <w:rPr>
      <w:rFonts w:ascii="Times New Roman" w:hAnsi="Times New Roman" w:eastAsia="宋体" w:cs="Times New Roman"/>
      <w:sz w:val="18"/>
      <w:szCs w:val="18"/>
    </w:rPr>
  </w:style>
  <w:style w:type="character" w:customStyle="1" w:styleId="46">
    <w:name w:val="页脚 字符"/>
    <w:link w:val="18"/>
    <w:qFormat/>
    <w:uiPriority w:val="99"/>
    <w:rPr>
      <w:rFonts w:ascii="宋体" w:hAnsi="Times New Roman" w:eastAsia="宋体" w:cs="Times New Roman"/>
      <w:sz w:val="18"/>
      <w:szCs w:val="18"/>
    </w:rPr>
  </w:style>
  <w:style w:type="character" w:customStyle="1" w:styleId="47">
    <w:name w:val="批注框文本 字符"/>
    <w:link w:val="17"/>
    <w:semiHidden/>
    <w:qFormat/>
    <w:uiPriority w:val="99"/>
    <w:rPr>
      <w:sz w:val="18"/>
      <w:szCs w:val="18"/>
    </w:rPr>
  </w:style>
  <w:style w:type="paragraph" w:styleId="48">
    <w:name w:val="Quote"/>
    <w:basedOn w:val="1"/>
    <w:next w:val="1"/>
    <w:link w:val="49"/>
    <w:qFormat/>
    <w:uiPriority w:val="29"/>
    <w:rPr>
      <w:i/>
      <w:iCs/>
      <w:color w:val="000000"/>
    </w:rPr>
  </w:style>
  <w:style w:type="character" w:customStyle="1" w:styleId="49">
    <w:name w:val="引用 字符"/>
    <w:link w:val="48"/>
    <w:qFormat/>
    <w:uiPriority w:val="29"/>
    <w:rPr>
      <w:i/>
      <w:iCs/>
      <w:color w:val="000000"/>
    </w:rPr>
  </w:style>
  <w:style w:type="character" w:customStyle="1" w:styleId="50">
    <w:name w:val="标题 字符"/>
    <w:link w:val="26"/>
    <w:qFormat/>
    <w:uiPriority w:val="0"/>
    <w:rPr>
      <w:rFonts w:ascii="Arial" w:hAnsi="Arial" w:eastAsia="宋体" w:cs="Arial"/>
      <w:b/>
      <w:bCs/>
      <w:sz w:val="32"/>
      <w:szCs w:val="32"/>
    </w:rPr>
  </w:style>
  <w:style w:type="paragraph" w:customStyle="1" w:styleId="51">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2">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3">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4">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5">
    <w:name w:val="标准书眉一"/>
    <w:qFormat/>
    <w:uiPriority w:val="0"/>
    <w:pPr>
      <w:jc w:val="both"/>
    </w:pPr>
    <w:rPr>
      <w:rFonts w:ascii="Times New Roman" w:hAnsi="Times New Roman" w:eastAsia="宋体" w:cs="Times New Roman"/>
      <w:lang w:val="en-US" w:eastAsia="zh-CN" w:bidi="ar-SA"/>
    </w:rPr>
  </w:style>
  <w:style w:type="paragraph" w:customStyle="1" w:styleId="56">
    <w:name w:val="标准文件_ICS"/>
    <w:basedOn w:val="1"/>
    <w:qFormat/>
    <w:uiPriority w:val="0"/>
    <w:pPr>
      <w:spacing w:line="0" w:lineRule="atLeast"/>
    </w:pPr>
    <w:rPr>
      <w:rFonts w:ascii="黑体" w:hAnsi="宋体" w:eastAsia="黑体"/>
    </w:rPr>
  </w:style>
  <w:style w:type="paragraph" w:customStyle="1" w:styleId="57">
    <w:name w:val="标准文件_标准正文"/>
    <w:basedOn w:val="1"/>
    <w:next w:val="58"/>
    <w:qFormat/>
    <w:uiPriority w:val="0"/>
    <w:pPr>
      <w:snapToGrid w:val="0"/>
      <w:ind w:firstLine="200" w:firstLineChars="200"/>
    </w:pPr>
    <w:rPr>
      <w:kern w:val="0"/>
    </w:rPr>
  </w:style>
  <w:style w:type="paragraph" w:customStyle="1" w:styleId="58">
    <w:name w:val="标准文件_段"/>
    <w:link w:val="186"/>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9">
    <w:name w:val="标准文件_版本"/>
    <w:basedOn w:val="57"/>
    <w:qFormat/>
    <w:uiPriority w:val="0"/>
    <w:pPr>
      <w:adjustRightInd/>
      <w:snapToGrid/>
      <w:ind w:firstLine="0" w:firstLineChars="0"/>
    </w:pPr>
    <w:rPr>
      <w:rFonts w:ascii="宋体" w:hAnsi="宋体"/>
      <w:kern w:val="2"/>
    </w:rPr>
  </w:style>
  <w:style w:type="paragraph" w:customStyle="1" w:styleId="60">
    <w:name w:val="标准文件_标准部门"/>
    <w:basedOn w:val="1"/>
    <w:qFormat/>
    <w:uiPriority w:val="0"/>
    <w:pPr>
      <w:jc w:val="center"/>
    </w:pPr>
    <w:rPr>
      <w:rFonts w:ascii="黑体" w:eastAsia="黑体"/>
      <w:kern w:val="0"/>
      <w:sz w:val="44"/>
    </w:rPr>
  </w:style>
  <w:style w:type="paragraph" w:customStyle="1" w:styleId="61">
    <w:name w:val="标准文件_标准代替"/>
    <w:basedOn w:val="1"/>
    <w:next w:val="1"/>
    <w:qFormat/>
    <w:uiPriority w:val="0"/>
    <w:pPr>
      <w:spacing w:line="310" w:lineRule="exact"/>
      <w:jc w:val="right"/>
    </w:pPr>
    <w:rPr>
      <w:rFonts w:ascii="宋体" w:hAnsi="宋体"/>
      <w:kern w:val="0"/>
    </w:rPr>
  </w:style>
  <w:style w:type="paragraph" w:customStyle="1" w:styleId="62">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3">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4">
    <w:name w:val="标准文件_页眉偶数页"/>
    <w:basedOn w:val="63"/>
    <w:next w:val="1"/>
    <w:uiPriority w:val="0"/>
    <w:pPr>
      <w:jc w:val="left"/>
    </w:pPr>
  </w:style>
  <w:style w:type="paragraph" w:customStyle="1" w:styleId="65">
    <w:name w:val="标准文件_参考文献标题"/>
    <w:basedOn w:val="1"/>
    <w:next w:val="1"/>
    <w:uiPriority w:val="0"/>
    <w:pPr>
      <w:widowControl/>
      <w:shd w:val="clear" w:color="FFFFFF" w:fill="FFFFFF"/>
      <w:adjustRightInd/>
      <w:spacing w:before="40" w:beforeLines="40" w:after="50" w:afterLines="50" w:line="240" w:lineRule="auto"/>
      <w:jc w:val="center"/>
      <w:outlineLvl w:val="0"/>
    </w:pPr>
    <w:rPr>
      <w:rFonts w:ascii="黑体" w:eastAsia="黑体"/>
      <w:kern w:val="0"/>
    </w:rPr>
  </w:style>
  <w:style w:type="paragraph" w:customStyle="1" w:styleId="66">
    <w:name w:val="标准文件_参考文献条目"/>
    <w:uiPriority w:val="0"/>
    <w:pPr>
      <w:numPr>
        <w:ilvl w:val="0"/>
        <w:numId w:val="1"/>
      </w:numPr>
    </w:pPr>
    <w:rPr>
      <w:rFonts w:ascii="宋体" w:hAnsi="Times New Roman" w:eastAsia="宋体" w:cs="Times New Roman"/>
      <w:lang w:val="en-US" w:eastAsia="zh-CN" w:bidi="ar-SA"/>
    </w:rPr>
  </w:style>
  <w:style w:type="paragraph" w:customStyle="1" w:styleId="67">
    <w:name w:val="标准文件_二级条标题"/>
    <w:next w:val="58"/>
    <w:uiPriority w:val="0"/>
    <w:pPr>
      <w:widowControl w:val="0"/>
      <w:numPr>
        <w:ilvl w:val="3"/>
        <w:numId w:val="2"/>
      </w:numPr>
      <w:spacing w:before="50" w:beforeLines="50" w:after="50" w:afterLines="50"/>
      <w:ind w:left="0"/>
      <w:jc w:val="both"/>
      <w:outlineLvl w:val="2"/>
    </w:pPr>
    <w:rPr>
      <w:rFonts w:ascii="黑体" w:hAnsi="Times New Roman" w:eastAsia="黑体" w:cs="Times New Roman"/>
      <w:sz w:val="21"/>
      <w:lang w:val="en-US" w:eastAsia="zh-CN" w:bidi="ar-SA"/>
    </w:rPr>
  </w:style>
  <w:style w:type="character" w:customStyle="1" w:styleId="68">
    <w:name w:val="标准文件_发布"/>
    <w:uiPriority w:val="0"/>
    <w:rPr>
      <w:rFonts w:ascii="黑体" w:eastAsia="黑体"/>
      <w:spacing w:val="0"/>
      <w:w w:val="100"/>
      <w:position w:val="3"/>
      <w:sz w:val="28"/>
    </w:rPr>
  </w:style>
  <w:style w:type="paragraph" w:customStyle="1" w:styleId="69">
    <w:name w:val="标准文件_方框数字列项"/>
    <w:basedOn w:val="58"/>
    <w:uiPriority w:val="0"/>
    <w:pPr>
      <w:numPr>
        <w:ilvl w:val="0"/>
        <w:numId w:val="3"/>
      </w:numPr>
      <w:ind w:firstLine="0" w:firstLineChars="0"/>
    </w:pPr>
  </w:style>
  <w:style w:type="paragraph" w:customStyle="1" w:styleId="70">
    <w:name w:val="标准文件_封面标准编号"/>
    <w:basedOn w:val="1"/>
    <w:next w:val="61"/>
    <w:uiPriority w:val="0"/>
    <w:pPr>
      <w:spacing w:line="310" w:lineRule="exact"/>
      <w:jc w:val="right"/>
    </w:pPr>
    <w:rPr>
      <w:rFonts w:ascii="黑体" w:eastAsia="黑体"/>
      <w:kern w:val="0"/>
      <w:sz w:val="28"/>
    </w:rPr>
  </w:style>
  <w:style w:type="paragraph" w:customStyle="1" w:styleId="71">
    <w:name w:val="标准文件_封面标准分类号"/>
    <w:basedOn w:val="1"/>
    <w:uiPriority w:val="0"/>
    <w:rPr>
      <w:rFonts w:ascii="黑体" w:eastAsia="黑体"/>
      <w:b/>
      <w:kern w:val="0"/>
      <w:sz w:val="28"/>
    </w:rPr>
  </w:style>
  <w:style w:type="paragraph" w:customStyle="1" w:styleId="72">
    <w:name w:val="标准文件_封面标准名称"/>
    <w:basedOn w:val="1"/>
    <w:uiPriority w:val="0"/>
    <w:pPr>
      <w:spacing w:line="240" w:lineRule="auto"/>
      <w:jc w:val="center"/>
    </w:pPr>
    <w:rPr>
      <w:rFonts w:ascii="黑体" w:eastAsia="黑体"/>
      <w:kern w:val="0"/>
      <w:sz w:val="52"/>
    </w:rPr>
  </w:style>
  <w:style w:type="paragraph" w:customStyle="1" w:styleId="73">
    <w:name w:val="标准文件_封面标准英文名称"/>
    <w:basedOn w:val="1"/>
    <w:uiPriority w:val="0"/>
    <w:pPr>
      <w:spacing w:line="240" w:lineRule="auto"/>
      <w:jc w:val="center"/>
    </w:pPr>
    <w:rPr>
      <w:rFonts w:ascii="黑体" w:eastAsia="黑体"/>
      <w:b/>
      <w:sz w:val="28"/>
    </w:rPr>
  </w:style>
  <w:style w:type="paragraph" w:customStyle="1" w:styleId="74">
    <w:name w:val="标准文件_封面发布日期"/>
    <w:basedOn w:val="1"/>
    <w:uiPriority w:val="0"/>
    <w:pPr>
      <w:spacing w:line="310" w:lineRule="exact"/>
    </w:pPr>
    <w:rPr>
      <w:rFonts w:ascii="黑体" w:eastAsia="黑体"/>
      <w:kern w:val="0"/>
      <w:sz w:val="28"/>
    </w:rPr>
  </w:style>
  <w:style w:type="paragraph" w:customStyle="1" w:styleId="75">
    <w:name w:val="标准文件_封面密级"/>
    <w:basedOn w:val="1"/>
    <w:uiPriority w:val="0"/>
    <w:rPr>
      <w:rFonts w:eastAsia="黑体"/>
      <w:sz w:val="32"/>
    </w:rPr>
  </w:style>
  <w:style w:type="paragraph" w:customStyle="1" w:styleId="76">
    <w:name w:val="标准文件_封面实施日期"/>
    <w:basedOn w:val="1"/>
    <w:uiPriority w:val="0"/>
    <w:pPr>
      <w:spacing w:line="310" w:lineRule="exact"/>
      <w:jc w:val="right"/>
    </w:pPr>
    <w:rPr>
      <w:rFonts w:ascii="黑体" w:eastAsia="黑体"/>
      <w:sz w:val="28"/>
    </w:rPr>
  </w:style>
  <w:style w:type="paragraph" w:customStyle="1" w:styleId="77">
    <w:name w:val="标准文件_封面抬头"/>
    <w:basedOn w:val="58"/>
    <w:uiPriority w:val="0"/>
    <w:pPr>
      <w:adjustRightInd w:val="0"/>
      <w:spacing w:line="800" w:lineRule="exact"/>
      <w:ind w:firstLine="0" w:firstLineChars="0"/>
      <w:jc w:val="distribute"/>
    </w:pPr>
    <w:rPr>
      <w:rFonts w:ascii="黑体" w:eastAsia="黑体"/>
      <w:b/>
      <w:sz w:val="64"/>
    </w:rPr>
  </w:style>
  <w:style w:type="paragraph" w:customStyle="1" w:styleId="78">
    <w:name w:val="标准文件_附录标识"/>
    <w:next w:val="58"/>
    <w:uiPriority w:val="0"/>
    <w:pPr>
      <w:numPr>
        <w:ilvl w:val="0"/>
        <w:numId w:val="4"/>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79">
    <w:name w:val="标准文件_附录表标题"/>
    <w:next w:val="58"/>
    <w:uiPriority w:val="0"/>
    <w:pPr>
      <w:numPr>
        <w:ilvl w:val="1"/>
        <w:numId w:val="5"/>
      </w:numPr>
      <w:adjustRightInd w:val="0"/>
      <w:snapToGrid w:val="0"/>
      <w:spacing w:before="50" w:beforeLines="50" w:after="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80">
    <w:name w:val="标准文件_附录一级条标题"/>
    <w:next w:val="58"/>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1">
    <w:name w:val="标准文件_附录二级条标题"/>
    <w:basedOn w:val="80"/>
    <w:next w:val="58"/>
    <w:uiPriority w:val="0"/>
    <w:pPr>
      <w:widowControl/>
      <w:numPr>
        <w:ilvl w:val="2"/>
      </w:numPr>
      <w:wordWrap w:val="0"/>
      <w:overflowPunct w:val="0"/>
      <w:autoSpaceDE w:val="0"/>
      <w:autoSpaceDN w:val="0"/>
      <w:textAlignment w:val="baseline"/>
      <w:outlineLvl w:val="3"/>
    </w:pPr>
  </w:style>
  <w:style w:type="paragraph" w:customStyle="1" w:styleId="82">
    <w:name w:val="标准文件_附录公式"/>
    <w:basedOn w:val="57"/>
    <w:next w:val="57"/>
    <w:uiPriority w:val="0"/>
    <w:pPr>
      <w:tabs>
        <w:tab w:val="center" w:pos="4678"/>
        <w:tab w:val="right" w:leader="middleDot" w:pos="9356"/>
      </w:tabs>
      <w:spacing w:line="240" w:lineRule="auto"/>
      <w:ind w:right="-51" w:firstLine="0" w:firstLineChars="0"/>
    </w:pPr>
    <w:rPr>
      <w:rFonts w:ascii="宋体" w:hAnsi="宋体"/>
    </w:rPr>
  </w:style>
  <w:style w:type="paragraph" w:customStyle="1" w:styleId="83">
    <w:name w:val="标准文件_附录三级条标题"/>
    <w:next w:val="58"/>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4">
    <w:name w:val="标准文件_附录四级条标题"/>
    <w:next w:val="58"/>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5">
    <w:name w:val="标准文件_附录图标题"/>
    <w:next w:val="58"/>
    <w:uiPriority w:val="0"/>
    <w:pPr>
      <w:numPr>
        <w:ilvl w:val="1"/>
        <w:numId w:val="6"/>
      </w:numPr>
      <w:adjustRightInd w:val="0"/>
      <w:snapToGrid w:val="0"/>
      <w:spacing w:before="50" w:beforeLines="50" w:after="50" w:afterLines="50"/>
      <w:ind w:firstLine="420"/>
      <w:jc w:val="center"/>
    </w:pPr>
    <w:rPr>
      <w:rFonts w:ascii="黑体" w:hAnsi="Times New Roman" w:eastAsia="黑体" w:cs="Times New Roman"/>
      <w:sz w:val="21"/>
      <w:lang w:val="en-US" w:eastAsia="zh-CN" w:bidi="ar-SA"/>
    </w:rPr>
  </w:style>
  <w:style w:type="paragraph" w:customStyle="1" w:styleId="86">
    <w:name w:val="标准文件_附录五级条标题"/>
    <w:next w:val="58"/>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7">
    <w:name w:val="标准文件_附录英文标识"/>
    <w:next w:val="14"/>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8">
    <w:name w:val="正文文本 字符"/>
    <w:link w:val="14"/>
    <w:uiPriority w:val="0"/>
    <w:rPr>
      <w:rFonts w:ascii="Times New Roman" w:hAnsi="Times New Roman" w:eastAsia="宋体" w:cs="Times New Roman"/>
      <w:szCs w:val="20"/>
    </w:rPr>
  </w:style>
  <w:style w:type="paragraph" w:customStyle="1" w:styleId="89">
    <w:name w:val="标准文件_附录章标题"/>
    <w:next w:val="58"/>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0">
    <w:name w:val="标准文件_公式后的破折号"/>
    <w:basedOn w:val="58"/>
    <w:next w:val="58"/>
    <w:uiPriority w:val="0"/>
    <w:pPr>
      <w:ind w:left="488" w:leftChars="200" w:hanging="289" w:hangingChars="290"/>
    </w:pPr>
  </w:style>
  <w:style w:type="paragraph" w:customStyle="1" w:styleId="91">
    <w:name w:val="标准文件_前言、引言标题"/>
    <w:next w:val="1"/>
    <w:uiPriority w:val="0"/>
    <w:pPr>
      <w:numPr>
        <w:ilvl w:val="0"/>
        <w:numId w:val="8"/>
      </w:numPr>
      <w:shd w:val="clear" w:color="FFFFFF" w:fill="FFFFFF"/>
      <w:spacing w:after="150" w:afterLines="150"/>
      <w:ind w:left="0" w:firstLine="0"/>
      <w:jc w:val="center"/>
      <w:outlineLvl w:val="0"/>
    </w:pPr>
    <w:rPr>
      <w:rFonts w:ascii="黑体" w:hAnsi="Times New Roman" w:eastAsia="黑体" w:cs="Times New Roman"/>
      <w:sz w:val="32"/>
      <w:lang w:val="en-US" w:eastAsia="zh-CN" w:bidi="ar-SA"/>
    </w:rPr>
  </w:style>
  <w:style w:type="paragraph" w:customStyle="1" w:styleId="92">
    <w:name w:val="标准文件_目次、标准名称标题"/>
    <w:basedOn w:val="91"/>
    <w:next w:val="58"/>
    <w:uiPriority w:val="0"/>
    <w:pPr>
      <w:spacing w:line="460" w:lineRule="exact"/>
    </w:pPr>
  </w:style>
  <w:style w:type="paragraph" w:customStyle="1" w:styleId="93">
    <w:name w:val="标准文件_目录标题"/>
    <w:basedOn w:val="1"/>
    <w:uiPriority w:val="0"/>
    <w:pPr>
      <w:spacing w:after="150" w:afterLines="150" w:line="240" w:lineRule="auto"/>
      <w:jc w:val="center"/>
    </w:pPr>
    <w:rPr>
      <w:rFonts w:ascii="黑体" w:eastAsia="黑体"/>
      <w:sz w:val="32"/>
    </w:rPr>
  </w:style>
  <w:style w:type="paragraph" w:customStyle="1" w:styleId="94">
    <w:name w:val="标准文件_破折号列项"/>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5">
    <w:name w:val="标准文件_破折号列项（二级）"/>
    <w:basedOn w:val="94"/>
    <w:uiPriority w:val="0"/>
    <w:pPr>
      <w:numPr>
        <w:numId w:val="10"/>
      </w:numPr>
      <w:ind w:left="0" w:firstLine="200"/>
    </w:pPr>
  </w:style>
  <w:style w:type="paragraph" w:customStyle="1" w:styleId="96">
    <w:name w:val="标准文件_三级条标题"/>
    <w:basedOn w:val="67"/>
    <w:next w:val="58"/>
    <w:uiPriority w:val="0"/>
    <w:pPr>
      <w:widowControl/>
      <w:numPr>
        <w:ilvl w:val="4"/>
      </w:numPr>
      <w:outlineLvl w:val="3"/>
    </w:pPr>
  </w:style>
  <w:style w:type="character" w:customStyle="1" w:styleId="97">
    <w:name w:val="Subtle Reference"/>
    <w:qFormat/>
    <w:uiPriority w:val="31"/>
    <w:rPr>
      <w:smallCaps/>
      <w:color w:val="C0504D"/>
      <w:u w:val="single"/>
    </w:rPr>
  </w:style>
  <w:style w:type="paragraph" w:customStyle="1" w:styleId="98">
    <w:name w:val="标准文件_示例后续"/>
    <w:basedOn w:val="1"/>
    <w:uiPriority w:val="0"/>
    <w:pPr>
      <w:adjustRightInd/>
      <w:spacing w:line="240" w:lineRule="auto"/>
      <w:ind w:firstLine="200" w:firstLineChars="200"/>
    </w:pPr>
    <w:rPr>
      <w:sz w:val="18"/>
      <w:szCs w:val="24"/>
    </w:rPr>
  </w:style>
  <w:style w:type="paragraph" w:customStyle="1" w:styleId="99">
    <w:name w:val="标准文件_数字编号列项"/>
    <w:uiPriority w:val="0"/>
    <w:pPr>
      <w:numPr>
        <w:ilvl w:val="0"/>
        <w:numId w:val="11"/>
      </w:numPr>
      <w:jc w:val="both"/>
    </w:pPr>
    <w:rPr>
      <w:rFonts w:ascii="宋体" w:hAnsi="宋体" w:eastAsia="宋体" w:cs="Times New Roman"/>
      <w:sz w:val="21"/>
      <w:lang w:val="en-US" w:eastAsia="zh-CN" w:bidi="ar-SA"/>
    </w:rPr>
  </w:style>
  <w:style w:type="paragraph" w:customStyle="1" w:styleId="100">
    <w:name w:val="标准文件_四级条标题"/>
    <w:next w:val="58"/>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1">
    <w:name w:val="脚注文本 字符"/>
    <w:link w:val="22"/>
    <w:semiHidden/>
    <w:uiPriority w:val="0"/>
    <w:rPr>
      <w:rFonts w:ascii="宋体" w:hAnsi="Times New Roman" w:eastAsia="宋体" w:cs="Times New Roman"/>
      <w:sz w:val="18"/>
      <w:szCs w:val="18"/>
    </w:rPr>
  </w:style>
  <w:style w:type="paragraph" w:customStyle="1" w:styleId="102">
    <w:name w:val="标准文件_条文脚注"/>
    <w:basedOn w:val="22"/>
    <w:uiPriority w:val="0"/>
    <w:pPr>
      <w:adjustRightInd w:val="0"/>
      <w:spacing w:line="240" w:lineRule="auto"/>
      <w:ind w:left="0" w:leftChars="0" w:firstLine="200" w:firstLineChars="200"/>
      <w:jc w:val="both"/>
    </w:pPr>
    <w:rPr>
      <w:rFonts w:hAnsi="宋体"/>
    </w:rPr>
  </w:style>
  <w:style w:type="paragraph" w:customStyle="1" w:styleId="103">
    <w:name w:val="标准文件_图表脚注"/>
    <w:basedOn w:val="1"/>
    <w:next w:val="58"/>
    <w:uiPriority w:val="0"/>
    <w:pPr>
      <w:numPr>
        <w:ilvl w:val="0"/>
        <w:numId w:val="12"/>
      </w:numPr>
      <w:spacing w:line="240" w:lineRule="auto"/>
      <w:jc w:val="left"/>
    </w:pPr>
    <w:rPr>
      <w:rFonts w:ascii="宋体" w:hAnsi="宋体"/>
      <w:sz w:val="18"/>
    </w:rPr>
  </w:style>
  <w:style w:type="character" w:customStyle="1" w:styleId="104">
    <w:name w:val="标准文件_图表脚注内容"/>
    <w:uiPriority w:val="0"/>
    <w:rPr>
      <w:rFonts w:ascii="宋体" w:hAnsi="宋体" w:eastAsia="宋体" w:cs="Times New Roman"/>
      <w:spacing w:val="0"/>
      <w:sz w:val="18"/>
      <w:vertAlign w:val="superscript"/>
    </w:rPr>
  </w:style>
  <w:style w:type="paragraph" w:customStyle="1" w:styleId="105">
    <w:name w:val="标准文件_五级条标题"/>
    <w:next w:val="58"/>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6">
    <w:name w:val="标准文件_章标题"/>
    <w:next w:val="58"/>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7">
    <w:name w:val="标准文件_一级条标题"/>
    <w:basedOn w:val="106"/>
    <w:next w:val="58"/>
    <w:uiPriority w:val="0"/>
    <w:pPr>
      <w:numPr>
        <w:ilvl w:val="2"/>
      </w:numPr>
      <w:spacing w:before="50" w:beforeLines="50" w:after="50" w:afterLines="50"/>
      <w:outlineLvl w:val="1"/>
    </w:pPr>
  </w:style>
  <w:style w:type="paragraph" w:customStyle="1" w:styleId="108">
    <w:name w:val="标准文件_一致程度"/>
    <w:basedOn w:val="1"/>
    <w:uiPriority w:val="0"/>
    <w:pPr>
      <w:spacing w:line="440" w:lineRule="exact"/>
      <w:jc w:val="center"/>
    </w:pPr>
    <w:rPr>
      <w:sz w:val="28"/>
    </w:rPr>
  </w:style>
  <w:style w:type="paragraph" w:customStyle="1" w:styleId="109">
    <w:name w:val="标准文件_引言标题"/>
    <w:next w:val="1"/>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0">
    <w:name w:val="标准文件_英文图表脚注"/>
    <w:basedOn w:val="57"/>
    <w:uiPriority w:val="0"/>
    <w:pPr>
      <w:widowControl/>
      <w:adjustRightInd/>
      <w:snapToGrid/>
      <w:spacing w:line="240" w:lineRule="auto"/>
      <w:ind w:left="79" w:hanging="79" w:hangingChars="80"/>
    </w:pPr>
    <w:rPr>
      <w:rFonts w:ascii="宋体" w:hAnsi="宋体"/>
    </w:rPr>
  </w:style>
  <w:style w:type="paragraph" w:customStyle="1" w:styleId="111">
    <w:name w:val="标准文件_数字编号列项（二级）"/>
    <w:uiPriority w:val="0"/>
    <w:pPr>
      <w:numPr>
        <w:ilvl w:val="1"/>
        <w:numId w:val="13"/>
      </w:numPr>
      <w:jc w:val="both"/>
    </w:pPr>
    <w:rPr>
      <w:rFonts w:ascii="宋体" w:hAnsi="Times New Roman" w:eastAsia="宋体" w:cs="Times New Roman"/>
      <w:sz w:val="21"/>
      <w:lang w:val="en-US" w:eastAsia="zh-CN" w:bidi="ar-SA"/>
    </w:rPr>
  </w:style>
  <w:style w:type="paragraph" w:customStyle="1" w:styleId="112">
    <w:name w:val="标准文件_英文注："/>
    <w:basedOn w:val="1"/>
    <w:next w:val="58"/>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3">
    <w:name w:val="标准文件_英文注×："/>
    <w:basedOn w:val="1"/>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4">
    <w:name w:val="标准文件_正文表标题"/>
    <w:next w:val="58"/>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公式"/>
    <w:basedOn w:val="1"/>
    <w:next w:val="57"/>
    <w:uiPriority w:val="0"/>
    <w:pPr>
      <w:tabs>
        <w:tab w:val="center" w:pos="4678"/>
        <w:tab w:val="right" w:leader="middleDot" w:pos="9356"/>
      </w:tabs>
      <w:spacing w:line="240" w:lineRule="auto"/>
    </w:pPr>
    <w:rPr>
      <w:rFonts w:ascii="宋体" w:hAnsi="宋体"/>
    </w:rPr>
  </w:style>
  <w:style w:type="paragraph" w:customStyle="1" w:styleId="116">
    <w:name w:val="标准文件_正文图标题"/>
    <w:next w:val="58"/>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7">
    <w:name w:val="标准文件_正文英文表标题"/>
    <w:next w:val="58"/>
    <w:uiPriority w:val="0"/>
    <w:pPr>
      <w:numPr>
        <w:ilvl w:val="0"/>
        <w:numId w:val="18"/>
      </w:numPr>
      <w:jc w:val="center"/>
    </w:pPr>
    <w:rPr>
      <w:rFonts w:ascii="黑体" w:hAnsi="Times New Roman" w:eastAsia="黑体" w:cs="Times New Roman"/>
      <w:sz w:val="21"/>
      <w:lang w:val="en-US" w:eastAsia="zh-CN" w:bidi="ar-SA"/>
    </w:rPr>
  </w:style>
  <w:style w:type="paragraph" w:customStyle="1" w:styleId="118">
    <w:name w:val="标准文件_正文英文图标题"/>
    <w:next w:val="58"/>
    <w:uiPriority w:val="0"/>
    <w:pPr>
      <w:numPr>
        <w:ilvl w:val="0"/>
        <w:numId w:val="19"/>
      </w:numPr>
      <w:jc w:val="center"/>
    </w:pPr>
    <w:rPr>
      <w:rFonts w:ascii="黑体" w:hAnsi="Times New Roman" w:eastAsia="黑体" w:cs="Times New Roman"/>
      <w:sz w:val="21"/>
      <w:lang w:val="en-US" w:eastAsia="zh-CN" w:bidi="ar-SA"/>
    </w:rPr>
  </w:style>
  <w:style w:type="paragraph" w:customStyle="1" w:styleId="119">
    <w:name w:val="标准文件_编号列项（三级）"/>
    <w:uiPriority w:val="0"/>
    <w:pPr>
      <w:numPr>
        <w:ilvl w:val="2"/>
        <w:numId w:val="13"/>
      </w:numPr>
    </w:pPr>
    <w:rPr>
      <w:rFonts w:ascii="宋体" w:hAnsi="Times New Roman" w:eastAsia="宋体" w:cs="Times New Roman"/>
      <w:sz w:val="21"/>
      <w:lang w:val="en-US" w:eastAsia="zh-CN" w:bidi="ar-SA"/>
    </w:rPr>
  </w:style>
  <w:style w:type="paragraph" w:customStyle="1" w:styleId="120">
    <w:name w:val="二级无标题条"/>
    <w:basedOn w:val="1"/>
    <w:uiPriority w:val="0"/>
    <w:pPr>
      <w:numPr>
        <w:ilvl w:val="3"/>
        <w:numId w:val="20"/>
      </w:numPr>
      <w:adjustRightInd/>
      <w:spacing w:line="240" w:lineRule="auto"/>
    </w:pPr>
    <w:rPr>
      <w:rFonts w:ascii="宋体" w:hAnsi="宋体"/>
      <w:szCs w:val="24"/>
    </w:rPr>
  </w:style>
  <w:style w:type="paragraph" w:customStyle="1" w:styleId="121">
    <w:name w:val="发布部门"/>
    <w:next w:val="58"/>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2">
    <w:name w:val="发布日期"/>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3">
    <w:name w:val="封面标准代替信息"/>
    <w:basedOn w:val="1"/>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4">
    <w:name w:val="封面标准名称"/>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5">
    <w:name w:val="封面标准文稿编辑信息"/>
    <w:uiPriority w:val="0"/>
    <w:pPr>
      <w:spacing w:before="180" w:line="180" w:lineRule="exact"/>
      <w:jc w:val="center"/>
    </w:pPr>
    <w:rPr>
      <w:rFonts w:ascii="宋体" w:hAnsi="Times New Roman" w:eastAsia="宋体" w:cs="Times New Roman"/>
      <w:sz w:val="21"/>
      <w:lang w:val="en-US" w:eastAsia="zh-CN" w:bidi="ar-SA"/>
    </w:rPr>
  </w:style>
  <w:style w:type="paragraph" w:customStyle="1" w:styleId="126">
    <w:name w:val="封面标准文稿类别"/>
    <w:uiPriority w:val="0"/>
    <w:pPr>
      <w:spacing w:before="440" w:line="400" w:lineRule="exact"/>
      <w:jc w:val="center"/>
    </w:pPr>
    <w:rPr>
      <w:rFonts w:ascii="宋体" w:hAnsi="Times New Roman" w:eastAsia="宋体" w:cs="Times New Roman"/>
      <w:sz w:val="24"/>
      <w:lang w:val="en-US" w:eastAsia="zh-CN" w:bidi="ar-SA"/>
    </w:rPr>
  </w:style>
  <w:style w:type="paragraph" w:customStyle="1" w:styleId="127">
    <w:name w:val="封面标准英文名称"/>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8">
    <w:name w:val="封面一致性程度标识"/>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9">
    <w:name w:val="封面正文"/>
    <w:uiPriority w:val="0"/>
    <w:pPr>
      <w:jc w:val="both"/>
    </w:pPr>
    <w:rPr>
      <w:rFonts w:ascii="Times New Roman" w:hAnsi="Times New Roman" w:eastAsia="宋体" w:cs="Times New Roman"/>
      <w:lang w:val="en-US" w:eastAsia="zh-CN" w:bidi="ar-SA"/>
    </w:rPr>
  </w:style>
  <w:style w:type="paragraph" w:customStyle="1" w:styleId="130">
    <w:name w:val="附录二级无标题条"/>
    <w:basedOn w:val="1"/>
    <w:next w:val="58"/>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1">
    <w:name w:val="附录三级无标题条"/>
    <w:basedOn w:val="130"/>
    <w:next w:val="58"/>
    <w:uiPriority w:val="0"/>
    <w:pPr>
      <w:outlineLvl w:val="4"/>
    </w:pPr>
  </w:style>
  <w:style w:type="paragraph" w:customStyle="1" w:styleId="132">
    <w:name w:val="附录四级无标题条"/>
    <w:basedOn w:val="131"/>
    <w:next w:val="58"/>
    <w:uiPriority w:val="0"/>
    <w:pPr>
      <w:outlineLvl w:val="5"/>
    </w:pPr>
  </w:style>
  <w:style w:type="paragraph" w:customStyle="1" w:styleId="133">
    <w:name w:val="附录图"/>
    <w:next w:val="58"/>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4">
    <w:name w:val="标准文件_一级项"/>
    <w:uiPriority w:val="0"/>
    <w:pPr>
      <w:numPr>
        <w:ilvl w:val="0"/>
        <w:numId w:val="21"/>
      </w:numPr>
    </w:pPr>
    <w:rPr>
      <w:rFonts w:ascii="宋体" w:hAnsi="Times New Roman" w:eastAsia="宋体" w:cs="Times New Roman"/>
      <w:sz w:val="21"/>
      <w:lang w:val="en-US" w:eastAsia="zh-CN" w:bidi="ar-SA"/>
    </w:rPr>
  </w:style>
  <w:style w:type="paragraph" w:customStyle="1" w:styleId="135">
    <w:name w:val="附录五级无标题条"/>
    <w:basedOn w:val="132"/>
    <w:next w:val="58"/>
    <w:uiPriority w:val="0"/>
    <w:pPr>
      <w:outlineLvl w:val="6"/>
    </w:pPr>
  </w:style>
  <w:style w:type="paragraph" w:customStyle="1" w:styleId="136">
    <w:name w:val="附录性质"/>
    <w:basedOn w:val="1"/>
    <w:uiPriority w:val="0"/>
    <w:pPr>
      <w:widowControl/>
      <w:adjustRightInd/>
      <w:jc w:val="center"/>
    </w:pPr>
    <w:rPr>
      <w:rFonts w:ascii="黑体" w:eastAsia="黑体"/>
    </w:rPr>
  </w:style>
  <w:style w:type="paragraph" w:customStyle="1" w:styleId="137">
    <w:name w:val="附录一级无标题条"/>
    <w:basedOn w:val="89"/>
    <w:next w:val="58"/>
    <w:uiPriority w:val="0"/>
    <w:pPr>
      <w:autoSpaceDN w:val="0"/>
      <w:outlineLvl w:val="2"/>
    </w:pPr>
    <w:rPr>
      <w:rFonts w:ascii="宋体" w:hAnsi="宋体" w:eastAsia="宋体"/>
    </w:rPr>
  </w:style>
  <w:style w:type="character" w:customStyle="1" w:styleId="138">
    <w:name w:val="个人答复风格"/>
    <w:uiPriority w:val="0"/>
    <w:rPr>
      <w:rFonts w:ascii="Arial" w:hAnsi="Arial" w:eastAsia="宋体" w:cs="Arial"/>
      <w:color w:val="auto"/>
      <w:spacing w:val="0"/>
      <w:sz w:val="20"/>
    </w:rPr>
  </w:style>
  <w:style w:type="character" w:customStyle="1" w:styleId="139">
    <w:name w:val="个人撰写风格"/>
    <w:uiPriority w:val="0"/>
    <w:rPr>
      <w:rFonts w:ascii="Arial" w:hAnsi="Arial" w:eastAsia="宋体" w:cs="Arial"/>
      <w:color w:val="auto"/>
      <w:spacing w:val="0"/>
      <w:sz w:val="20"/>
    </w:rPr>
  </w:style>
  <w:style w:type="paragraph" w:customStyle="1" w:styleId="140">
    <w:name w:val="脚注后续"/>
    <w:uiPriority w:val="0"/>
    <w:pPr>
      <w:ind w:left="350" w:leftChars="350"/>
      <w:jc w:val="both"/>
    </w:pPr>
    <w:rPr>
      <w:rFonts w:ascii="宋体" w:hAnsi="Times New Roman" w:eastAsia="宋体" w:cs="Times New Roman"/>
      <w:sz w:val="18"/>
      <w:lang w:val="en-US" w:eastAsia="zh-CN" w:bidi="ar-SA"/>
    </w:rPr>
  </w:style>
  <w:style w:type="paragraph" w:customStyle="1" w:styleId="141">
    <w:name w:val="列项——"/>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2">
    <w:name w:val="列项·"/>
    <w:basedOn w:val="58"/>
    <w:uiPriority w:val="0"/>
    <w:pPr>
      <w:tabs>
        <w:tab w:val="left" w:pos="840"/>
      </w:tabs>
    </w:pPr>
  </w:style>
  <w:style w:type="paragraph" w:customStyle="1" w:styleId="143">
    <w:name w:val="目次、索引正文"/>
    <w:uiPriority w:val="0"/>
    <w:pPr>
      <w:spacing w:line="320" w:lineRule="exact"/>
      <w:jc w:val="both"/>
    </w:pPr>
    <w:rPr>
      <w:rFonts w:ascii="宋体" w:hAnsi="Times New Roman" w:eastAsia="宋体" w:cs="Times New Roman"/>
      <w:sz w:val="21"/>
      <w:lang w:val="en-US" w:eastAsia="zh-CN" w:bidi="ar-SA"/>
    </w:rPr>
  </w:style>
  <w:style w:type="paragraph" w:customStyle="1" w:styleId="144">
    <w:name w:val="目录 21"/>
    <w:basedOn w:val="1"/>
    <w:next w:val="1"/>
    <w:semiHidden/>
    <w:uiPriority w:val="0"/>
    <w:pPr>
      <w:adjustRightInd/>
      <w:spacing w:line="240" w:lineRule="auto"/>
      <w:jc w:val="left"/>
    </w:pPr>
    <w:rPr>
      <w:bCs/>
      <w:iCs/>
    </w:rPr>
  </w:style>
  <w:style w:type="paragraph" w:customStyle="1" w:styleId="145">
    <w:name w:val="目录 31"/>
    <w:basedOn w:val="1"/>
    <w:next w:val="1"/>
    <w:semiHidden/>
    <w:uiPriority w:val="0"/>
    <w:pPr>
      <w:spacing w:line="240" w:lineRule="auto"/>
    </w:pPr>
    <w:rPr>
      <w:rFonts w:ascii="宋体" w:hAnsi="宋体"/>
      <w:iCs/>
    </w:rPr>
  </w:style>
  <w:style w:type="paragraph" w:customStyle="1" w:styleId="146">
    <w:name w:val="目录 41"/>
    <w:basedOn w:val="1"/>
    <w:next w:val="1"/>
    <w:semiHidden/>
    <w:uiPriority w:val="0"/>
    <w:pPr>
      <w:adjustRightInd/>
      <w:spacing w:line="240" w:lineRule="auto"/>
      <w:jc w:val="left"/>
    </w:pPr>
  </w:style>
  <w:style w:type="paragraph" w:customStyle="1" w:styleId="147">
    <w:name w:val="目录 51"/>
    <w:basedOn w:val="1"/>
    <w:next w:val="1"/>
    <w:semiHidden/>
    <w:uiPriority w:val="0"/>
    <w:pPr>
      <w:spacing w:line="240" w:lineRule="auto"/>
    </w:pPr>
    <w:rPr>
      <w:rFonts w:ascii="宋体" w:hAnsi="宋体"/>
    </w:rPr>
  </w:style>
  <w:style w:type="paragraph" w:customStyle="1" w:styleId="148">
    <w:name w:val="目录 61"/>
    <w:basedOn w:val="1"/>
    <w:next w:val="1"/>
    <w:semiHidden/>
    <w:uiPriority w:val="0"/>
    <w:pPr>
      <w:adjustRightInd/>
      <w:spacing w:line="240" w:lineRule="auto"/>
      <w:jc w:val="left"/>
    </w:pPr>
  </w:style>
  <w:style w:type="paragraph" w:customStyle="1" w:styleId="149">
    <w:name w:val="目录 71"/>
    <w:basedOn w:val="148"/>
    <w:semiHidden/>
    <w:uiPriority w:val="0"/>
    <w:pPr>
      <w:ind w:left="1260"/>
    </w:pPr>
  </w:style>
  <w:style w:type="paragraph" w:customStyle="1" w:styleId="150">
    <w:name w:val="目录 81"/>
    <w:basedOn w:val="149"/>
    <w:semiHidden/>
    <w:uiPriority w:val="0"/>
    <w:pPr>
      <w:ind w:left="1470"/>
    </w:pPr>
  </w:style>
  <w:style w:type="paragraph" w:customStyle="1" w:styleId="151">
    <w:name w:val="目录 91"/>
    <w:basedOn w:val="150"/>
    <w:semiHidden/>
    <w:uiPriority w:val="0"/>
    <w:pPr>
      <w:ind w:left="1680"/>
    </w:pPr>
  </w:style>
  <w:style w:type="paragraph" w:customStyle="1" w:styleId="152">
    <w:name w:val="其他标准称谓"/>
    <w:uiPriority w:val="0"/>
    <w:pPr>
      <w:spacing w:line="0" w:lineRule="atLeast"/>
      <w:jc w:val="distribute"/>
    </w:pPr>
    <w:rPr>
      <w:rFonts w:ascii="黑体" w:hAnsi="宋体" w:eastAsia="黑体" w:cs="Times New Roman"/>
      <w:sz w:val="52"/>
      <w:lang w:val="en-US" w:eastAsia="zh-CN" w:bidi="ar-SA"/>
    </w:rPr>
  </w:style>
  <w:style w:type="paragraph" w:customStyle="1" w:styleId="153">
    <w:name w:val="其他发布部门"/>
    <w:basedOn w:val="121"/>
    <w:uiPriority w:val="0"/>
    <w:pPr>
      <w:framePr w:wrap="around"/>
      <w:spacing w:line="0" w:lineRule="atLeast"/>
    </w:pPr>
    <w:rPr>
      <w:rFonts w:ascii="黑体" w:eastAsia="黑体"/>
      <w:b w:val="0"/>
    </w:rPr>
  </w:style>
  <w:style w:type="paragraph" w:customStyle="1" w:styleId="154">
    <w:name w:val="前言标题"/>
    <w:next w:val="1"/>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5">
    <w:name w:val="三级无标题条"/>
    <w:basedOn w:val="1"/>
    <w:uiPriority w:val="0"/>
    <w:pPr>
      <w:numPr>
        <w:ilvl w:val="4"/>
        <w:numId w:val="20"/>
      </w:numPr>
      <w:adjustRightInd/>
      <w:spacing w:line="240" w:lineRule="auto"/>
    </w:pPr>
    <w:rPr>
      <w:rFonts w:ascii="宋体" w:hAnsi="宋体"/>
      <w:szCs w:val="24"/>
    </w:rPr>
  </w:style>
  <w:style w:type="paragraph" w:customStyle="1" w:styleId="156">
    <w:name w:val="实施日期"/>
    <w:basedOn w:val="122"/>
    <w:uiPriority w:val="0"/>
    <w:pPr>
      <w:framePr w:hSpace="0" w:wrap="around" w:xAlign="right"/>
      <w:jc w:val="right"/>
    </w:pPr>
  </w:style>
  <w:style w:type="paragraph" w:customStyle="1" w:styleId="157">
    <w:name w:val="四级无标题条"/>
    <w:basedOn w:val="1"/>
    <w:uiPriority w:val="0"/>
    <w:pPr>
      <w:numPr>
        <w:ilvl w:val="5"/>
        <w:numId w:val="20"/>
      </w:numPr>
      <w:adjustRightInd/>
      <w:spacing w:line="240" w:lineRule="auto"/>
    </w:pPr>
    <w:rPr>
      <w:rFonts w:ascii="宋体" w:hAnsi="宋体"/>
      <w:szCs w:val="24"/>
    </w:rPr>
  </w:style>
  <w:style w:type="paragraph" w:customStyle="1" w:styleId="158">
    <w:name w:val="文献分类号"/>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9">
    <w:name w:val="无标题条"/>
    <w:next w:val="58"/>
    <w:uiPriority w:val="0"/>
    <w:pPr>
      <w:jc w:val="both"/>
    </w:pPr>
    <w:rPr>
      <w:rFonts w:ascii="宋体" w:hAnsi="宋体" w:eastAsia="宋体" w:cs="Times New Roman"/>
      <w:sz w:val="21"/>
      <w:lang w:val="en-US" w:eastAsia="zh-CN" w:bidi="ar-SA"/>
    </w:rPr>
  </w:style>
  <w:style w:type="paragraph" w:customStyle="1" w:styleId="160">
    <w:name w:val="五级无标题条"/>
    <w:basedOn w:val="1"/>
    <w:uiPriority w:val="0"/>
    <w:pPr>
      <w:numPr>
        <w:ilvl w:val="6"/>
        <w:numId w:val="20"/>
      </w:numPr>
      <w:adjustRightInd/>
    </w:pPr>
    <w:rPr>
      <w:szCs w:val="24"/>
    </w:rPr>
  </w:style>
  <w:style w:type="paragraph" w:customStyle="1" w:styleId="161">
    <w:name w:val="一级无标题条"/>
    <w:basedOn w:val="1"/>
    <w:uiPriority w:val="0"/>
    <w:pPr>
      <w:numPr>
        <w:ilvl w:val="2"/>
        <w:numId w:val="20"/>
      </w:numPr>
      <w:adjustRightInd/>
      <w:spacing w:before="10" w:after="10" w:line="240" w:lineRule="auto"/>
    </w:pPr>
    <w:rPr>
      <w:rFonts w:ascii="宋体" w:hAnsi="宋体"/>
      <w:szCs w:val="24"/>
    </w:rPr>
  </w:style>
  <w:style w:type="paragraph" w:customStyle="1" w:styleId="162">
    <w:name w:val="注:后续"/>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3">
    <w:name w:val="注×:后续"/>
    <w:basedOn w:val="162"/>
    <w:uiPriority w:val="0"/>
    <w:pPr>
      <w:ind w:left="1406" w:leftChars="0" w:hanging="499" w:firstLineChars="0"/>
    </w:pPr>
  </w:style>
  <w:style w:type="paragraph" w:customStyle="1" w:styleId="164">
    <w:name w:val="标准文件_一级无标题"/>
    <w:basedOn w:val="107"/>
    <w:qFormat/>
    <w:uiPriority w:val="0"/>
    <w:pPr>
      <w:spacing w:before="0" w:beforeLines="0" w:after="0" w:afterLines="0"/>
      <w:outlineLvl w:val="9"/>
    </w:pPr>
    <w:rPr>
      <w:rFonts w:ascii="宋体" w:eastAsia="宋体"/>
    </w:rPr>
  </w:style>
  <w:style w:type="paragraph" w:customStyle="1" w:styleId="165">
    <w:name w:val="标准文件_五级无标题"/>
    <w:basedOn w:val="105"/>
    <w:qFormat/>
    <w:uiPriority w:val="0"/>
    <w:pPr>
      <w:spacing w:before="0" w:beforeLines="0" w:after="0" w:afterLines="0"/>
      <w:outlineLvl w:val="9"/>
    </w:pPr>
    <w:rPr>
      <w:rFonts w:ascii="宋体" w:eastAsia="宋体"/>
    </w:rPr>
  </w:style>
  <w:style w:type="paragraph" w:customStyle="1" w:styleId="166">
    <w:name w:val="标准文件_三级无标题"/>
    <w:basedOn w:val="96"/>
    <w:qFormat/>
    <w:uiPriority w:val="0"/>
    <w:pPr>
      <w:spacing w:before="0" w:beforeLines="0" w:after="0" w:afterLines="0"/>
      <w:outlineLvl w:val="9"/>
    </w:pPr>
    <w:rPr>
      <w:rFonts w:ascii="宋体" w:eastAsia="宋体"/>
    </w:rPr>
  </w:style>
  <w:style w:type="paragraph" w:customStyle="1" w:styleId="167">
    <w:name w:val="标准文件_二级无标题"/>
    <w:basedOn w:val="67"/>
    <w:qFormat/>
    <w:uiPriority w:val="0"/>
    <w:pPr>
      <w:spacing w:before="0" w:beforeLines="0" w:after="0" w:afterLines="0"/>
      <w:outlineLvl w:val="9"/>
    </w:pPr>
    <w:rPr>
      <w:rFonts w:ascii="宋体" w:eastAsia="宋体"/>
    </w:rPr>
  </w:style>
  <w:style w:type="paragraph" w:customStyle="1" w:styleId="168">
    <w:name w:val="标准_四级无标题"/>
    <w:basedOn w:val="100"/>
    <w:next w:val="58"/>
    <w:qFormat/>
    <w:uiPriority w:val="0"/>
    <w:rPr>
      <w:rFonts w:eastAsia="宋体"/>
    </w:rPr>
  </w:style>
  <w:style w:type="paragraph" w:customStyle="1" w:styleId="169">
    <w:name w:val="标准文件_四级无标题"/>
    <w:basedOn w:val="100"/>
    <w:qFormat/>
    <w:uiPriority w:val="0"/>
    <w:pPr>
      <w:spacing w:before="0" w:beforeLines="0" w:after="0" w:afterLines="0"/>
      <w:outlineLvl w:val="9"/>
    </w:pPr>
    <w:rPr>
      <w:rFonts w:ascii="宋体" w:hAnsi="黑体" w:eastAsia="宋体"/>
      <w:szCs w:val="52"/>
    </w:rPr>
  </w:style>
  <w:style w:type="paragraph" w:customStyle="1" w:styleId="170">
    <w:name w:val="标准文件_大写罗马数字编号列项"/>
    <w:basedOn w:val="58"/>
    <w:uiPriority w:val="0"/>
    <w:pPr>
      <w:numPr>
        <w:ilvl w:val="0"/>
        <w:numId w:val="23"/>
      </w:numPr>
      <w:ind w:firstLine="0" w:firstLineChars="0"/>
    </w:pPr>
    <w:rPr>
      <w:rFonts w:ascii="Times New Roman" w:cs="Arial"/>
      <w:szCs w:val="28"/>
    </w:rPr>
  </w:style>
  <w:style w:type="paragraph" w:customStyle="1" w:styleId="171">
    <w:name w:val="标准文件_小写罗马数字编号列项"/>
    <w:basedOn w:val="58"/>
    <w:uiPriority w:val="0"/>
    <w:pPr>
      <w:numPr>
        <w:ilvl w:val="0"/>
        <w:numId w:val="24"/>
      </w:numPr>
      <w:ind w:firstLine="0" w:firstLineChars="0"/>
    </w:pPr>
    <w:rPr>
      <w:rFonts w:cs="Arial"/>
      <w:szCs w:val="28"/>
    </w:rPr>
  </w:style>
  <w:style w:type="paragraph" w:customStyle="1" w:styleId="172">
    <w:name w:val="标准文件_附录标题"/>
    <w:basedOn w:val="78"/>
    <w:qFormat/>
    <w:uiPriority w:val="0"/>
    <w:pPr>
      <w:numPr>
        <w:numId w:val="0"/>
      </w:numPr>
      <w:spacing w:after="280"/>
      <w:outlineLvl w:val="9"/>
    </w:pPr>
  </w:style>
  <w:style w:type="paragraph" w:customStyle="1" w:styleId="173">
    <w:name w:val="标准文件_二级项"/>
    <w:uiPriority w:val="0"/>
    <w:rPr>
      <w:rFonts w:ascii="宋体" w:hAnsi="Times New Roman" w:eastAsia="宋体" w:cs="Times New Roman"/>
      <w:sz w:val="21"/>
      <w:lang w:val="en-US" w:eastAsia="zh-CN" w:bidi="ar-SA"/>
    </w:rPr>
  </w:style>
  <w:style w:type="paragraph" w:customStyle="1" w:styleId="174">
    <w:name w:val="标准文件_三级项"/>
    <w:basedOn w:val="1"/>
    <w:uiPriority w:val="0"/>
    <w:pPr>
      <w:numPr>
        <w:ilvl w:val="2"/>
        <w:numId w:val="21"/>
      </w:numPr>
      <w:spacing w:line="536870612" w:lineRule="auto"/>
    </w:pPr>
    <w:rPr>
      <w:rFonts w:ascii="Times New Roman" w:hAnsi="Times New Roman"/>
    </w:rPr>
  </w:style>
  <w:style w:type="paragraph" w:customStyle="1" w:styleId="175">
    <w:name w:val="图表脚注说明"/>
    <w:basedOn w:val="1"/>
    <w:next w:val="58"/>
    <w:uiPriority w:val="0"/>
    <w:pPr>
      <w:numPr>
        <w:ilvl w:val="0"/>
        <w:numId w:val="25"/>
      </w:numPr>
      <w:adjustRightInd/>
      <w:spacing w:line="240" w:lineRule="auto"/>
      <w:ind w:left="783"/>
    </w:pPr>
    <w:rPr>
      <w:rFonts w:ascii="宋体" w:hAnsi="Times New Roman"/>
      <w:sz w:val="18"/>
      <w:szCs w:val="18"/>
    </w:rPr>
  </w:style>
  <w:style w:type="paragraph" w:customStyle="1" w:styleId="176">
    <w:name w:val="标准文件_字母编号列项（一级）"/>
    <w:uiPriority w:val="0"/>
    <w:pPr>
      <w:numPr>
        <w:ilvl w:val="0"/>
        <w:numId w:val="13"/>
      </w:numPr>
      <w:jc w:val="both"/>
    </w:pPr>
    <w:rPr>
      <w:rFonts w:ascii="宋体" w:hAnsi="Times New Roman" w:eastAsia="宋体" w:cs="Times New Roman"/>
      <w:sz w:val="21"/>
      <w:lang w:val="en-US" w:eastAsia="zh-CN" w:bidi="ar-SA"/>
    </w:rPr>
  </w:style>
  <w:style w:type="paragraph" w:customStyle="1" w:styleId="177">
    <w:name w:val="标准文件_索引字母"/>
    <w:next w:val="58"/>
    <w:qFormat/>
    <w:uiPriority w:val="0"/>
    <w:pPr>
      <w:jc w:val="center"/>
    </w:pPr>
    <w:rPr>
      <w:rFonts w:ascii="宋体" w:hAnsi="宋体" w:eastAsia="Times New Roman" w:cs="Times New Roman"/>
      <w:b/>
      <w:kern w:val="2"/>
      <w:sz w:val="21"/>
      <w:lang w:val="en-US" w:eastAsia="zh-CN" w:bidi="ar-SA"/>
    </w:rPr>
  </w:style>
  <w:style w:type="paragraph" w:customStyle="1" w:styleId="178">
    <w:name w:val="标准文件_附录前"/>
    <w:next w:val="58"/>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9">
    <w:name w:val="标准文件_正文标准名称"/>
    <w:qFormat/>
    <w:uiPriority w:val="0"/>
    <w:pPr>
      <w:spacing w:before="20" w:beforeLines="20" w:after="640" w:line="400" w:lineRule="exact"/>
      <w:jc w:val="center"/>
    </w:pPr>
    <w:rPr>
      <w:rFonts w:ascii="黑体" w:hAnsi="黑体" w:eastAsia="黑体" w:cs="Times New Roman"/>
      <w:kern w:val="2"/>
      <w:sz w:val="32"/>
      <w:szCs w:val="32"/>
      <w:lang w:val="en-US" w:eastAsia="zh-CN" w:bidi="ar-SA"/>
    </w:rPr>
  </w:style>
  <w:style w:type="paragraph" w:customStyle="1" w:styleId="180">
    <w:name w:val="标准文件_表格"/>
    <w:basedOn w:val="58"/>
    <w:qFormat/>
    <w:uiPriority w:val="0"/>
    <w:pPr>
      <w:ind w:firstLine="0" w:firstLineChars="0"/>
      <w:jc w:val="center"/>
    </w:pPr>
    <w:rPr>
      <w:sz w:val="18"/>
    </w:rPr>
  </w:style>
  <w:style w:type="paragraph" w:customStyle="1" w:styleId="181">
    <w:name w:val="标准文件_注："/>
    <w:next w:val="58"/>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注×："/>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3">
    <w:name w:val="标准文件_示例："/>
    <w:next w:val="184"/>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4">
    <w:name w:val="标准文件_示例内容"/>
    <w:basedOn w:val="58"/>
    <w:qFormat/>
    <w:uiPriority w:val="0"/>
    <w:pPr>
      <w:ind w:firstLine="420"/>
    </w:pPr>
    <w:rPr>
      <w:sz w:val="18"/>
    </w:rPr>
  </w:style>
  <w:style w:type="paragraph" w:customStyle="1" w:styleId="185">
    <w:name w:val="标准文件_示例×："/>
    <w:basedOn w:val="1"/>
    <w:next w:val="184"/>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6">
    <w:name w:val="标准文件_段 Char"/>
    <w:link w:val="58"/>
    <w:uiPriority w:val="0"/>
    <w:rPr>
      <w:rFonts w:ascii="宋体" w:hAnsi="Times New Roman"/>
      <w:sz w:val="21"/>
    </w:rPr>
  </w:style>
  <w:style w:type="paragraph" w:customStyle="1" w:styleId="187">
    <w:name w:val="标准文件_表格续"/>
    <w:basedOn w:val="58"/>
    <w:next w:val="58"/>
    <w:qFormat/>
    <w:uiPriority w:val="0"/>
    <w:pPr>
      <w:jc w:val="center"/>
    </w:pPr>
    <w:rPr>
      <w:rFonts w:ascii="黑体" w:hAnsi="黑体" w:eastAsia="黑体"/>
    </w:rPr>
  </w:style>
  <w:style w:type="character" w:styleId="188">
    <w:name w:val="Placeholder Text"/>
    <w:basedOn w:val="29"/>
    <w:semiHidden/>
    <w:uiPriority w:val="99"/>
    <w:rPr>
      <w:color w:val="808080"/>
    </w:rPr>
  </w:style>
  <w:style w:type="paragraph" w:customStyle="1" w:styleId="189">
    <w:name w:val="标准文件_二级项2"/>
    <w:basedOn w:val="58"/>
    <w:qFormat/>
    <w:uiPriority w:val="0"/>
    <w:pPr>
      <w:numPr>
        <w:ilvl w:val="1"/>
        <w:numId w:val="21"/>
      </w:numPr>
      <w:ind w:left="1271" w:hanging="420" w:firstLineChars="0"/>
    </w:pPr>
  </w:style>
  <w:style w:type="paragraph" w:customStyle="1" w:styleId="190">
    <w:name w:val="标准文件_三级项2"/>
    <w:basedOn w:val="58"/>
    <w:qFormat/>
    <w:uiPriority w:val="0"/>
    <w:pPr>
      <w:numPr>
        <w:ilvl w:val="0"/>
        <w:numId w:val="30"/>
      </w:numPr>
      <w:spacing w:line="300" w:lineRule="exact"/>
      <w:ind w:left="1276" w:hanging="425" w:firstLineChars="0"/>
    </w:pPr>
    <w:rPr>
      <w:rFonts w:ascii="Times New Roman"/>
    </w:rPr>
  </w:style>
  <w:style w:type="paragraph" w:customStyle="1" w:styleId="191">
    <w:name w:val="标准文件_一级项2"/>
    <w:basedOn w:val="58"/>
    <w:qFormat/>
    <w:uiPriority w:val="0"/>
    <w:pPr>
      <w:numPr>
        <w:ilvl w:val="0"/>
        <w:numId w:val="31"/>
      </w:numPr>
      <w:spacing w:line="300" w:lineRule="exact"/>
      <w:ind w:left="1271" w:hanging="420" w:firstLineChars="0"/>
    </w:pPr>
    <w:rPr>
      <w:rFonts w:ascii="Times New Roman"/>
    </w:rPr>
  </w:style>
  <w:style w:type="paragraph" w:customStyle="1" w:styleId="192">
    <w:name w:val="标准文件_提示"/>
    <w:basedOn w:val="58"/>
    <w:next w:val="58"/>
    <w:qFormat/>
    <w:uiPriority w:val="0"/>
    <w:pPr>
      <w:ind w:firstLine="420"/>
    </w:pPr>
    <w:rPr>
      <w:rFonts w:ascii="黑体" w:eastAsia="黑体"/>
    </w:rPr>
  </w:style>
  <w:style w:type="character" w:customStyle="1" w:styleId="193">
    <w:name w:val="标准文件_来源"/>
    <w:basedOn w:val="29"/>
    <w:qFormat/>
    <w:uiPriority w:val="1"/>
    <w:rPr>
      <w:rFonts w:eastAsia="宋体"/>
      <w:sz w:val="21"/>
    </w:rPr>
  </w:style>
  <w:style w:type="paragraph" w:customStyle="1" w:styleId="194">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5">
    <w:name w:val="其他发布日期"/>
    <w:basedOn w:val="122"/>
    <w:uiPriority w:val="0"/>
    <w:pPr>
      <w:framePr w:w="3997" w:h="471" w:hRule="exact" w:hSpace="0" w:vSpace="181" w:wrap="around" w:vAnchor="page" w:hAnchor="page" w:x="1419" w:y="14097"/>
    </w:pPr>
  </w:style>
  <w:style w:type="paragraph" w:customStyle="1" w:styleId="196">
    <w:name w:val="其他实施日期"/>
    <w:basedOn w:val="156"/>
    <w:uiPriority w:val="0"/>
    <w:pPr>
      <w:framePr w:w="3997" w:h="471" w:hRule="exact" w:vSpace="181" w:wrap="around" w:vAnchor="page" w:hAnchor="page" w:x="7089" w:y="14097"/>
    </w:pPr>
  </w:style>
  <w:style w:type="paragraph" w:customStyle="1" w:styleId="197">
    <w:name w:val="标准文件_文件编号"/>
    <w:basedOn w:val="58"/>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8">
    <w:name w:val="标准文件_替换文件编号"/>
    <w:basedOn w:val="197"/>
    <w:qFormat/>
    <w:uiPriority w:val="0"/>
    <w:pPr>
      <w:framePr/>
      <w:spacing w:before="57"/>
    </w:pPr>
    <w:rPr>
      <w:sz w:val="21"/>
    </w:rPr>
  </w:style>
  <w:style w:type="paragraph" w:customStyle="1" w:styleId="199">
    <w:name w:val="标准文件_文件名称"/>
    <w:basedOn w:val="58"/>
    <w:next w:val="58"/>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0">
    <w:name w:val="标准文件_附录图标号"/>
    <w:basedOn w:val="58"/>
    <w:next w:val="58"/>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1">
    <w:name w:val="标准文件_附录表标号"/>
    <w:basedOn w:val="58"/>
    <w:next w:val="58"/>
    <w:qFormat/>
    <w:uiPriority w:val="0"/>
    <w:pPr>
      <w:numPr>
        <w:ilvl w:val="0"/>
        <w:numId w:val="5"/>
      </w:numPr>
      <w:spacing w:line="14" w:lineRule="exact"/>
      <w:ind w:firstLine="0" w:firstLineChars="0"/>
      <w:jc w:val="center"/>
    </w:pPr>
    <w:rPr>
      <w:rFonts w:eastAsia="黑体"/>
      <w:vanish/>
      <w:sz w:val="2"/>
    </w:rPr>
  </w:style>
  <w:style w:type="paragraph" w:customStyle="1" w:styleId="202">
    <w:name w:val="标准文件_引言一级条标题"/>
    <w:basedOn w:val="58"/>
    <w:next w:val="58"/>
    <w:qFormat/>
    <w:uiPriority w:val="0"/>
    <w:pPr>
      <w:numPr>
        <w:ilvl w:val="1"/>
        <w:numId w:val="8"/>
      </w:numPr>
      <w:spacing w:before="50" w:beforeLines="50" w:after="50" w:afterLines="50"/>
      <w:ind w:firstLineChars="0"/>
    </w:pPr>
    <w:rPr>
      <w:rFonts w:ascii="黑体" w:eastAsia="黑体"/>
    </w:rPr>
  </w:style>
  <w:style w:type="paragraph" w:customStyle="1" w:styleId="203">
    <w:name w:val="标准文件_引言二级条标题"/>
    <w:basedOn w:val="58"/>
    <w:next w:val="58"/>
    <w:qFormat/>
    <w:uiPriority w:val="0"/>
    <w:pPr>
      <w:numPr>
        <w:ilvl w:val="2"/>
        <w:numId w:val="8"/>
      </w:numPr>
      <w:spacing w:before="50" w:beforeLines="50" w:after="50" w:afterLines="50"/>
      <w:ind w:firstLineChars="0"/>
    </w:pPr>
    <w:rPr>
      <w:rFonts w:ascii="黑体" w:eastAsia="黑体"/>
    </w:rPr>
  </w:style>
  <w:style w:type="paragraph" w:customStyle="1" w:styleId="204">
    <w:name w:val="标准文件_引言三级条标题"/>
    <w:basedOn w:val="58"/>
    <w:next w:val="58"/>
    <w:qFormat/>
    <w:uiPriority w:val="0"/>
    <w:pPr>
      <w:numPr>
        <w:ilvl w:val="3"/>
        <w:numId w:val="8"/>
      </w:numPr>
      <w:spacing w:before="50" w:beforeLines="50" w:after="50" w:afterLines="50"/>
      <w:ind w:firstLineChars="0"/>
    </w:pPr>
    <w:rPr>
      <w:rFonts w:ascii="黑体" w:eastAsia="黑体"/>
    </w:rPr>
  </w:style>
  <w:style w:type="paragraph" w:customStyle="1" w:styleId="205">
    <w:name w:val="标准文件_引言四级条标题"/>
    <w:basedOn w:val="58"/>
    <w:next w:val="58"/>
    <w:qFormat/>
    <w:uiPriority w:val="0"/>
    <w:pPr>
      <w:numPr>
        <w:ilvl w:val="4"/>
        <w:numId w:val="8"/>
      </w:numPr>
      <w:spacing w:before="50" w:beforeLines="50" w:after="50" w:afterLines="50"/>
      <w:ind w:firstLineChars="0"/>
    </w:pPr>
    <w:rPr>
      <w:rFonts w:ascii="黑体" w:eastAsia="黑体"/>
    </w:rPr>
  </w:style>
  <w:style w:type="paragraph" w:customStyle="1" w:styleId="206">
    <w:name w:val="标准文件_引言五级条标题"/>
    <w:basedOn w:val="58"/>
    <w:next w:val="58"/>
    <w:qFormat/>
    <w:uiPriority w:val="0"/>
    <w:pPr>
      <w:numPr>
        <w:ilvl w:val="5"/>
        <w:numId w:val="8"/>
      </w:numPr>
      <w:spacing w:before="50" w:beforeLines="50" w:after="50" w:afterLines="50"/>
      <w:ind w:firstLineChars="0"/>
    </w:pPr>
    <w:rPr>
      <w:rFonts w:ascii="黑体" w:eastAsia="黑体"/>
    </w:rPr>
  </w:style>
  <w:style w:type="paragraph" w:customStyle="1" w:styleId="207">
    <w:name w:val="标准文件_注后"/>
    <w:basedOn w:val="58"/>
    <w:qFormat/>
    <w:uiPriority w:val="0"/>
    <w:pPr>
      <w:ind w:left="811" w:firstLine="0" w:firstLineChars="0"/>
    </w:pPr>
    <w:rPr>
      <w:sz w:val="18"/>
    </w:rPr>
  </w:style>
  <w:style w:type="paragraph" w:customStyle="1" w:styleId="208">
    <w:name w:val="标准文件_注X后"/>
    <w:basedOn w:val="58"/>
    <w:qFormat/>
    <w:uiPriority w:val="0"/>
    <w:pPr>
      <w:ind w:left="811" w:firstLine="0" w:firstLineChars="0"/>
    </w:pPr>
    <w:rPr>
      <w:sz w:val="18"/>
    </w:rPr>
  </w:style>
  <w:style w:type="paragraph" w:customStyle="1" w:styleId="209">
    <w:name w:val="标准文件_示例后"/>
    <w:basedOn w:val="58"/>
    <w:qFormat/>
    <w:uiPriority w:val="0"/>
    <w:pPr>
      <w:ind w:left="964" w:firstLine="0" w:firstLineChars="0"/>
    </w:pPr>
    <w:rPr>
      <w:sz w:val="18"/>
    </w:rPr>
  </w:style>
  <w:style w:type="paragraph" w:customStyle="1" w:styleId="210">
    <w:name w:val="标准文件_示例X后"/>
    <w:basedOn w:val="58"/>
    <w:link w:val="211"/>
    <w:qFormat/>
    <w:uiPriority w:val="0"/>
    <w:pPr>
      <w:ind w:left="1049" w:firstLine="0" w:firstLineChars="0"/>
    </w:pPr>
    <w:rPr>
      <w:sz w:val="18"/>
    </w:rPr>
  </w:style>
  <w:style w:type="character" w:customStyle="1" w:styleId="211">
    <w:name w:val="标准文件_示例X后 字符"/>
    <w:basedOn w:val="186"/>
    <w:link w:val="210"/>
    <w:uiPriority w:val="0"/>
    <w:rPr>
      <w:rFonts w:ascii="宋体" w:hAnsi="Times New Roman"/>
      <w:sz w:val="18"/>
    </w:rPr>
  </w:style>
  <w:style w:type="paragraph" w:customStyle="1" w:styleId="212">
    <w:name w:val="标准文件_索引项"/>
    <w:basedOn w:val="58"/>
    <w:next w:val="58"/>
    <w:qFormat/>
    <w:uiPriority w:val="0"/>
    <w:pPr>
      <w:tabs>
        <w:tab w:val="right" w:leader="dot" w:pos="9356"/>
      </w:tabs>
      <w:ind w:left="210" w:hanging="210" w:firstLineChars="0"/>
      <w:jc w:val="left"/>
    </w:pPr>
  </w:style>
  <w:style w:type="paragraph" w:customStyle="1" w:styleId="213">
    <w:name w:val="标准文件_附录一级无标题"/>
    <w:basedOn w:val="80"/>
    <w:qFormat/>
    <w:uiPriority w:val="0"/>
    <w:pPr>
      <w:spacing w:before="0" w:beforeLines="0" w:after="0" w:afterLines="0" w:line="276" w:lineRule="auto"/>
      <w:outlineLvl w:val="9"/>
    </w:pPr>
    <w:rPr>
      <w:rFonts w:ascii="宋体" w:eastAsia="宋体"/>
    </w:rPr>
  </w:style>
  <w:style w:type="paragraph" w:customStyle="1" w:styleId="214">
    <w:name w:val="标准文件_附录二级无标题"/>
    <w:basedOn w:val="81"/>
    <w:uiPriority w:val="0"/>
    <w:pPr>
      <w:spacing w:before="0" w:beforeLines="0" w:after="0" w:afterLines="0" w:line="276" w:lineRule="auto"/>
      <w:outlineLvl w:val="9"/>
    </w:pPr>
    <w:rPr>
      <w:rFonts w:ascii="宋体" w:eastAsia="宋体"/>
    </w:rPr>
  </w:style>
  <w:style w:type="paragraph" w:customStyle="1" w:styleId="215">
    <w:name w:val="标准文件_附录三级无标题"/>
    <w:basedOn w:val="83"/>
    <w:qFormat/>
    <w:uiPriority w:val="0"/>
    <w:pPr>
      <w:spacing w:before="0" w:beforeLines="0" w:after="0" w:afterLines="0" w:line="276" w:lineRule="auto"/>
      <w:outlineLvl w:val="9"/>
    </w:pPr>
    <w:rPr>
      <w:rFonts w:ascii="宋体" w:eastAsia="宋体"/>
    </w:rPr>
  </w:style>
  <w:style w:type="paragraph" w:customStyle="1" w:styleId="216">
    <w:name w:val="标准文件_附录四级无标题"/>
    <w:basedOn w:val="84"/>
    <w:qFormat/>
    <w:uiPriority w:val="0"/>
    <w:pPr>
      <w:spacing w:before="0" w:beforeLines="0" w:after="0" w:afterLines="0" w:line="276" w:lineRule="auto"/>
      <w:outlineLvl w:val="9"/>
    </w:pPr>
    <w:rPr>
      <w:rFonts w:ascii="宋体" w:eastAsia="宋体"/>
    </w:rPr>
  </w:style>
  <w:style w:type="paragraph" w:customStyle="1" w:styleId="217">
    <w:name w:val="标准文件_附录五级无标题"/>
    <w:basedOn w:val="86"/>
    <w:qFormat/>
    <w:uiPriority w:val="0"/>
    <w:pPr>
      <w:spacing w:before="0" w:beforeLines="0" w:after="0" w:afterLines="0" w:line="276" w:lineRule="auto"/>
      <w:outlineLvl w:val="9"/>
    </w:pPr>
    <w:rPr>
      <w:rFonts w:ascii="宋体" w:eastAsia="宋体"/>
    </w:rPr>
  </w:style>
  <w:style w:type="paragraph" w:customStyle="1" w:styleId="218">
    <w:name w:val="标准文件_引言一级无标题"/>
    <w:basedOn w:val="202"/>
    <w:next w:val="58"/>
    <w:qFormat/>
    <w:uiPriority w:val="0"/>
    <w:pPr>
      <w:spacing w:before="0" w:beforeLines="0" w:after="0" w:afterLines="0" w:line="276" w:lineRule="auto"/>
    </w:pPr>
    <w:rPr>
      <w:rFonts w:ascii="宋体" w:eastAsia="宋体"/>
    </w:rPr>
  </w:style>
  <w:style w:type="paragraph" w:customStyle="1" w:styleId="219">
    <w:name w:val="标准文件_引言二级无标题"/>
    <w:basedOn w:val="203"/>
    <w:next w:val="58"/>
    <w:qFormat/>
    <w:uiPriority w:val="0"/>
    <w:pPr>
      <w:spacing w:before="0" w:beforeLines="0" w:after="0" w:afterLines="0" w:line="276" w:lineRule="auto"/>
    </w:pPr>
    <w:rPr>
      <w:rFonts w:ascii="宋体" w:eastAsia="宋体"/>
    </w:rPr>
  </w:style>
  <w:style w:type="paragraph" w:customStyle="1" w:styleId="220">
    <w:name w:val="标准文件_引言三级无标题"/>
    <w:basedOn w:val="204"/>
    <w:next w:val="58"/>
    <w:qFormat/>
    <w:uiPriority w:val="0"/>
    <w:pPr>
      <w:spacing w:before="0" w:beforeLines="0" w:after="0" w:afterLines="0" w:line="276" w:lineRule="auto"/>
    </w:pPr>
    <w:rPr>
      <w:rFonts w:ascii="宋体" w:eastAsia="宋体"/>
    </w:rPr>
  </w:style>
  <w:style w:type="paragraph" w:customStyle="1" w:styleId="221">
    <w:name w:val="标准文件_引言四级无标题"/>
    <w:basedOn w:val="205"/>
    <w:next w:val="58"/>
    <w:qFormat/>
    <w:uiPriority w:val="0"/>
    <w:pPr>
      <w:spacing w:before="0" w:beforeLines="0" w:after="0" w:afterLines="0" w:line="276" w:lineRule="auto"/>
    </w:pPr>
    <w:rPr>
      <w:rFonts w:ascii="宋体" w:eastAsia="宋体"/>
    </w:rPr>
  </w:style>
  <w:style w:type="paragraph" w:customStyle="1" w:styleId="222">
    <w:name w:val="标准文件_引言五级无标题"/>
    <w:basedOn w:val="206"/>
    <w:next w:val="58"/>
    <w:qFormat/>
    <w:uiPriority w:val="0"/>
    <w:pPr>
      <w:spacing w:before="0" w:beforeLines="0" w:after="0" w:afterLines="0" w:line="276" w:lineRule="auto"/>
    </w:pPr>
    <w:rPr>
      <w:rFonts w:ascii="宋体" w:eastAsia="宋体"/>
    </w:rPr>
  </w:style>
  <w:style w:type="paragraph" w:customStyle="1" w:styleId="223">
    <w:name w:val="标准文件_索引标题"/>
    <w:basedOn w:val="65"/>
    <w:next w:val="58"/>
    <w:qFormat/>
    <w:uiPriority w:val="0"/>
    <w:rPr>
      <w:rFonts w:hAnsi="黑体"/>
    </w:rPr>
  </w:style>
  <w:style w:type="paragraph" w:customStyle="1" w:styleId="224">
    <w:name w:val="标准文件_脚注内容"/>
    <w:basedOn w:val="58"/>
    <w:qFormat/>
    <w:uiPriority w:val="0"/>
    <w:pPr>
      <w:ind w:left="400" w:leftChars="200" w:hanging="200" w:hangingChars="200"/>
    </w:pPr>
    <w:rPr>
      <w:sz w:val="15"/>
    </w:rPr>
  </w:style>
  <w:style w:type="paragraph" w:customStyle="1" w:styleId="225">
    <w:name w:val="标准文件_术语条一"/>
    <w:basedOn w:val="164"/>
    <w:next w:val="58"/>
    <w:qFormat/>
    <w:uiPriority w:val="0"/>
  </w:style>
  <w:style w:type="paragraph" w:customStyle="1" w:styleId="226">
    <w:name w:val="标准文件_术语条二"/>
    <w:basedOn w:val="167"/>
    <w:next w:val="58"/>
    <w:qFormat/>
    <w:uiPriority w:val="0"/>
  </w:style>
  <w:style w:type="paragraph" w:customStyle="1" w:styleId="227">
    <w:name w:val="标准文件_术语条三"/>
    <w:basedOn w:val="166"/>
    <w:next w:val="58"/>
    <w:qFormat/>
    <w:uiPriority w:val="0"/>
  </w:style>
  <w:style w:type="paragraph" w:customStyle="1" w:styleId="228">
    <w:name w:val="标准文件_术语条四"/>
    <w:basedOn w:val="169"/>
    <w:next w:val="58"/>
    <w:qFormat/>
    <w:uiPriority w:val="0"/>
  </w:style>
  <w:style w:type="paragraph" w:customStyle="1" w:styleId="229">
    <w:name w:val="标准文件_术语条五"/>
    <w:basedOn w:val="165"/>
    <w:next w:val="58"/>
    <w:qFormat/>
    <w:uiPriority w:val="0"/>
  </w:style>
  <w:style w:type="paragraph" w:customStyle="1" w:styleId="230">
    <w:name w:val="Defaul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1">
    <w:name w:val="发布"/>
    <w:basedOn w:val="29"/>
    <w:uiPriority w:val="0"/>
    <w:rPr>
      <w:rFonts w:ascii="黑体" w:eastAsia="黑体"/>
      <w:spacing w:val="85"/>
      <w:w w:val="100"/>
      <w:position w:val="3"/>
      <w:sz w:val="28"/>
      <w:szCs w:val="28"/>
    </w:rPr>
  </w:style>
  <w:style w:type="character" w:customStyle="1" w:styleId="232">
    <w:name w:val="批注文字 字符"/>
    <w:basedOn w:val="29"/>
    <w:link w:val="13"/>
    <w:qFormat/>
    <w:uiPriority w:val="99"/>
    <w:rPr>
      <w:rFonts w:asciiTheme="minorHAnsi" w:hAnsiTheme="minorHAnsi" w:eastAsiaTheme="minorEastAsia"/>
      <w:kern w:val="2"/>
      <w:sz w:val="21"/>
      <w:szCs w:val="22"/>
    </w:rPr>
  </w:style>
  <w:style w:type="paragraph" w:customStyle="1" w:styleId="233">
    <w:name w:val="列出段落1"/>
    <w:basedOn w:val="1"/>
    <w:qFormat/>
    <w:uiPriority w:val="0"/>
    <w:pPr>
      <w:widowControl/>
      <w:adjustRightInd/>
      <w:spacing w:line="240" w:lineRule="auto"/>
      <w:ind w:firstLine="420" w:firstLineChars="200"/>
      <w:jc w:val="left"/>
    </w:pPr>
    <w:rPr>
      <w:kern w:val="0"/>
      <w:sz w:val="24"/>
      <w:szCs w:val="24"/>
    </w:rPr>
  </w:style>
  <w:style w:type="paragraph" w:customStyle="1" w:styleId="234">
    <w:name w:val="锟叫憋拷锟斤拷锟?"/>
    <w:basedOn w:val="1"/>
    <w:qFormat/>
    <w:uiPriority w:val="34"/>
    <w:pPr>
      <w:adjustRightInd/>
      <w:spacing w:line="240" w:lineRule="auto"/>
      <w:ind w:firstLine="420" w:firstLineChars="200"/>
    </w:pPr>
    <w:rPr>
      <w:rFonts w:asciiTheme="minorHAnsi" w:hAnsiTheme="minorHAnsi" w:eastAsiaTheme="minorEastAsia"/>
      <w:szCs w:val="22"/>
    </w:rPr>
  </w:style>
  <w:style w:type="character" w:customStyle="1" w:styleId="235">
    <w:name w:val="锟斤拷准锟斤拷锟斤拷 Char"/>
    <w:link w:val="236"/>
    <w:qFormat/>
    <w:locked/>
    <w:uiPriority w:val="0"/>
    <w:rPr>
      <w:rFonts w:ascii="宋体"/>
      <w:color w:val="000000"/>
    </w:rPr>
  </w:style>
  <w:style w:type="paragraph" w:customStyle="1" w:styleId="236">
    <w:name w:val="锟斤拷准锟斤拷锟斤拷"/>
    <w:basedOn w:val="1"/>
    <w:link w:val="235"/>
    <w:qFormat/>
    <w:uiPriority w:val="0"/>
    <w:pPr>
      <w:adjustRightInd/>
      <w:snapToGrid w:val="0"/>
      <w:spacing w:line="288" w:lineRule="auto"/>
    </w:pPr>
    <w:rPr>
      <w:rFonts w:ascii="宋体"/>
      <w:color w:val="000000"/>
      <w:kern w:val="0"/>
      <w:sz w:val="20"/>
      <w:szCs w:val="20"/>
    </w:rPr>
  </w:style>
  <w:style w:type="paragraph" w:customStyle="1" w:styleId="237">
    <w:name w:val="Table Paragraph"/>
    <w:basedOn w:val="1"/>
    <w:qFormat/>
    <w:uiPriority w:val="1"/>
    <w:pPr>
      <w:autoSpaceDE w:val="0"/>
      <w:autoSpaceDN w:val="0"/>
      <w:adjustRightInd/>
      <w:spacing w:line="240" w:lineRule="auto"/>
      <w:jc w:val="center"/>
    </w:pPr>
    <w:rPr>
      <w:rFonts w:ascii="宋体" w:hAnsi="宋体" w:cs="宋体"/>
      <w:kern w:val="0"/>
      <w:sz w:val="22"/>
      <w:szCs w:val="22"/>
      <w:lang w:eastAsia="en-US"/>
    </w:rPr>
  </w:style>
  <w:style w:type="character" w:customStyle="1" w:styleId="238">
    <w:name w:val="16"/>
    <w:uiPriority w:val="0"/>
    <w:rPr>
      <w:rFonts w:ascii="黑体" w:hAnsi="宋体" w:eastAsia="黑体"/>
      <w:b/>
      <w:color w:val="000000"/>
      <w:kern w:val="2"/>
      <w:sz w:val="21"/>
    </w:rPr>
  </w:style>
  <w:style w:type="table" w:customStyle="1" w:styleId="239">
    <w:name w:val="网格型1"/>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40">
    <w:name w:val="List Paragraph"/>
    <w:basedOn w:val="1"/>
    <w:qFormat/>
    <w:uiPriority w:val="99"/>
    <w:pPr>
      <w:ind w:firstLine="420" w:firstLineChars="200"/>
    </w:pPr>
  </w:style>
  <w:style w:type="paragraph" w:customStyle="1" w:styleId="241">
    <w:name w:val="样式1"/>
    <w:basedOn w:val="1"/>
    <w:qFormat/>
    <w:uiPriority w:val="0"/>
    <w:pPr>
      <w:widowControl/>
      <w:adjustRightInd/>
      <w:spacing w:line="240" w:lineRule="auto"/>
      <w:jc w:val="left"/>
    </w:pPr>
    <w:rPr>
      <w:kern w:val="0"/>
      <w:sz w:val="24"/>
      <w:szCs w:val="20"/>
    </w:rPr>
  </w:style>
  <w:style w:type="paragraph" w:customStyle="1" w:styleId="242">
    <w:name w:val="Revision"/>
    <w:hidden/>
    <w:semiHidden/>
    <w:uiPriority w:val="99"/>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5.bin"/><Relationship Id="rId98" Type="http://schemas.openxmlformats.org/officeDocument/2006/relationships/oleObject" Target="embeddings/oleObject34.bin"/><Relationship Id="rId97" Type="http://schemas.openxmlformats.org/officeDocument/2006/relationships/image" Target="media/image39.wmf"/><Relationship Id="rId96" Type="http://schemas.openxmlformats.org/officeDocument/2006/relationships/oleObject" Target="embeddings/oleObject33.bin"/><Relationship Id="rId95" Type="http://schemas.openxmlformats.org/officeDocument/2006/relationships/oleObject" Target="embeddings/oleObject32.bin"/><Relationship Id="rId94" Type="http://schemas.openxmlformats.org/officeDocument/2006/relationships/oleObject" Target="embeddings/oleObject31.bin"/><Relationship Id="rId93" Type="http://schemas.openxmlformats.org/officeDocument/2006/relationships/image" Target="media/image38.wmf"/><Relationship Id="rId92" Type="http://schemas.openxmlformats.org/officeDocument/2006/relationships/oleObject" Target="embeddings/oleObject30.bin"/><Relationship Id="rId91" Type="http://schemas.openxmlformats.org/officeDocument/2006/relationships/image" Target="media/image37.wmf"/><Relationship Id="rId90" Type="http://schemas.openxmlformats.org/officeDocument/2006/relationships/oleObject" Target="embeddings/oleObject29.bin"/><Relationship Id="rId9" Type="http://schemas.openxmlformats.org/officeDocument/2006/relationships/header" Target="header3.xml"/><Relationship Id="rId89" Type="http://schemas.openxmlformats.org/officeDocument/2006/relationships/oleObject" Target="embeddings/oleObject28.bin"/><Relationship Id="rId88" Type="http://schemas.openxmlformats.org/officeDocument/2006/relationships/image" Target="media/image36.wmf"/><Relationship Id="rId87" Type="http://schemas.openxmlformats.org/officeDocument/2006/relationships/oleObject" Target="embeddings/oleObject27.bin"/><Relationship Id="rId86" Type="http://schemas.openxmlformats.org/officeDocument/2006/relationships/oleObject" Target="embeddings/oleObject26.bin"/><Relationship Id="rId85" Type="http://schemas.openxmlformats.org/officeDocument/2006/relationships/image" Target="media/image35.wmf"/><Relationship Id="rId84" Type="http://schemas.openxmlformats.org/officeDocument/2006/relationships/oleObject" Target="embeddings/oleObject25.bin"/><Relationship Id="rId83" Type="http://schemas.openxmlformats.org/officeDocument/2006/relationships/image" Target="media/image34.wmf"/><Relationship Id="rId82" Type="http://schemas.openxmlformats.org/officeDocument/2006/relationships/oleObject" Target="embeddings/oleObject24.bin"/><Relationship Id="rId81" Type="http://schemas.openxmlformats.org/officeDocument/2006/relationships/image" Target="media/image33.wmf"/><Relationship Id="rId80" Type="http://schemas.openxmlformats.org/officeDocument/2006/relationships/oleObject" Target="embeddings/oleObject23.bin"/><Relationship Id="rId8" Type="http://schemas.openxmlformats.org/officeDocument/2006/relationships/footer" Target="footer2.xml"/><Relationship Id="rId79" Type="http://schemas.openxmlformats.org/officeDocument/2006/relationships/oleObject" Target="embeddings/oleObject22.bin"/><Relationship Id="rId78" Type="http://schemas.openxmlformats.org/officeDocument/2006/relationships/image" Target="media/image32.wmf"/><Relationship Id="rId77" Type="http://schemas.openxmlformats.org/officeDocument/2006/relationships/oleObject" Target="embeddings/oleObject21.bin"/><Relationship Id="rId76" Type="http://schemas.openxmlformats.org/officeDocument/2006/relationships/image" Target="media/image31.wmf"/><Relationship Id="rId75" Type="http://schemas.openxmlformats.org/officeDocument/2006/relationships/oleObject" Target="embeddings/oleObject20.bin"/><Relationship Id="rId74" Type="http://schemas.openxmlformats.org/officeDocument/2006/relationships/image" Target="media/image30.wmf"/><Relationship Id="rId73" Type="http://schemas.openxmlformats.org/officeDocument/2006/relationships/oleObject" Target="embeddings/oleObject19.bin"/><Relationship Id="rId72" Type="http://schemas.openxmlformats.org/officeDocument/2006/relationships/image" Target="media/image29.wmf"/><Relationship Id="rId71" Type="http://schemas.openxmlformats.org/officeDocument/2006/relationships/oleObject" Target="embeddings/oleObject18.bin"/><Relationship Id="rId70" Type="http://schemas.openxmlformats.org/officeDocument/2006/relationships/image" Target="media/image28.wmf"/><Relationship Id="rId7" Type="http://schemas.openxmlformats.org/officeDocument/2006/relationships/footer" Target="footer1.xml"/><Relationship Id="rId69" Type="http://schemas.openxmlformats.org/officeDocument/2006/relationships/oleObject" Target="embeddings/oleObject17.bin"/><Relationship Id="rId68" Type="http://schemas.openxmlformats.org/officeDocument/2006/relationships/oleObject" Target="embeddings/oleObject16.bin"/><Relationship Id="rId67" Type="http://schemas.openxmlformats.org/officeDocument/2006/relationships/oleObject" Target="embeddings/oleObject15.bin"/><Relationship Id="rId66" Type="http://schemas.openxmlformats.org/officeDocument/2006/relationships/oleObject" Target="embeddings/oleObject14.bin"/><Relationship Id="rId65" Type="http://schemas.openxmlformats.org/officeDocument/2006/relationships/oleObject" Target="embeddings/oleObject13.bin"/><Relationship Id="rId64" Type="http://schemas.openxmlformats.org/officeDocument/2006/relationships/oleObject" Target="embeddings/oleObject12.bin"/><Relationship Id="rId63" Type="http://schemas.openxmlformats.org/officeDocument/2006/relationships/image" Target="media/image27.png"/><Relationship Id="rId62" Type="http://schemas.openxmlformats.org/officeDocument/2006/relationships/oleObject" Target="embeddings/oleObject11.bin"/><Relationship Id="rId61" Type="http://schemas.openxmlformats.org/officeDocument/2006/relationships/image" Target="media/image26.wmf"/><Relationship Id="rId60" Type="http://schemas.openxmlformats.org/officeDocument/2006/relationships/oleObject" Target="embeddings/oleObject10.bin"/><Relationship Id="rId6" Type="http://schemas.openxmlformats.org/officeDocument/2006/relationships/header" Target="header2.xml"/><Relationship Id="rId59" Type="http://schemas.openxmlformats.org/officeDocument/2006/relationships/image" Target="media/image25.wmf"/><Relationship Id="rId58" Type="http://schemas.openxmlformats.org/officeDocument/2006/relationships/oleObject" Target="embeddings/oleObject9.bin"/><Relationship Id="rId57" Type="http://schemas.openxmlformats.org/officeDocument/2006/relationships/image" Target="media/image24.wmf"/><Relationship Id="rId56" Type="http://schemas.openxmlformats.org/officeDocument/2006/relationships/oleObject" Target="embeddings/oleObject8.bin"/><Relationship Id="rId55" Type="http://schemas.openxmlformats.org/officeDocument/2006/relationships/image" Target="media/image23.wmf"/><Relationship Id="rId547" Type="http://schemas.openxmlformats.org/officeDocument/2006/relationships/glossaryDocument" Target="glossary/document.xml"/><Relationship Id="rId546" Type="http://schemas.openxmlformats.org/officeDocument/2006/relationships/fontTable" Target="fontTable.xml"/><Relationship Id="rId545" Type="http://schemas.openxmlformats.org/officeDocument/2006/relationships/customXml" Target="../customXml/item2.xml"/><Relationship Id="rId544" Type="http://schemas.openxmlformats.org/officeDocument/2006/relationships/numbering" Target="numbering.xml"/><Relationship Id="rId543" Type="http://schemas.openxmlformats.org/officeDocument/2006/relationships/customXml" Target="../customXml/item1.xml"/><Relationship Id="rId542" Type="http://schemas.openxmlformats.org/officeDocument/2006/relationships/image" Target="media/image265.png"/><Relationship Id="rId541" Type="http://schemas.openxmlformats.org/officeDocument/2006/relationships/image" Target="media/image264.png"/><Relationship Id="rId540" Type="http://schemas.openxmlformats.org/officeDocument/2006/relationships/image" Target="media/image263.png"/><Relationship Id="rId54" Type="http://schemas.openxmlformats.org/officeDocument/2006/relationships/oleObject" Target="embeddings/oleObject7.bin"/><Relationship Id="rId539" Type="http://schemas.openxmlformats.org/officeDocument/2006/relationships/image" Target="media/image262.png"/><Relationship Id="rId538" Type="http://schemas.openxmlformats.org/officeDocument/2006/relationships/image" Target="media/image261.png"/><Relationship Id="rId537" Type="http://schemas.openxmlformats.org/officeDocument/2006/relationships/image" Target="media/image260.wmf"/><Relationship Id="rId536" Type="http://schemas.openxmlformats.org/officeDocument/2006/relationships/oleObject" Target="embeddings/oleObject252.bin"/><Relationship Id="rId535" Type="http://schemas.openxmlformats.org/officeDocument/2006/relationships/image" Target="media/image259.wmf"/><Relationship Id="rId534" Type="http://schemas.openxmlformats.org/officeDocument/2006/relationships/oleObject" Target="embeddings/oleObject251.bin"/><Relationship Id="rId533" Type="http://schemas.openxmlformats.org/officeDocument/2006/relationships/image" Target="media/image258.wmf"/><Relationship Id="rId532" Type="http://schemas.openxmlformats.org/officeDocument/2006/relationships/oleObject" Target="embeddings/oleObject250.bin"/><Relationship Id="rId531" Type="http://schemas.openxmlformats.org/officeDocument/2006/relationships/image" Target="media/image257.wmf"/><Relationship Id="rId530" Type="http://schemas.openxmlformats.org/officeDocument/2006/relationships/oleObject" Target="embeddings/oleObject249.bin"/><Relationship Id="rId53" Type="http://schemas.openxmlformats.org/officeDocument/2006/relationships/image" Target="media/image22.png"/><Relationship Id="rId529" Type="http://schemas.openxmlformats.org/officeDocument/2006/relationships/image" Target="media/image256.wmf"/><Relationship Id="rId528" Type="http://schemas.openxmlformats.org/officeDocument/2006/relationships/oleObject" Target="embeddings/oleObject248.bin"/><Relationship Id="rId527" Type="http://schemas.openxmlformats.org/officeDocument/2006/relationships/image" Target="media/image255.wmf"/><Relationship Id="rId526" Type="http://schemas.openxmlformats.org/officeDocument/2006/relationships/oleObject" Target="embeddings/oleObject247.bin"/><Relationship Id="rId525" Type="http://schemas.openxmlformats.org/officeDocument/2006/relationships/image" Target="media/image254.wmf"/><Relationship Id="rId524" Type="http://schemas.openxmlformats.org/officeDocument/2006/relationships/oleObject" Target="embeddings/oleObject246.bin"/><Relationship Id="rId523" Type="http://schemas.openxmlformats.org/officeDocument/2006/relationships/image" Target="media/image253.png"/><Relationship Id="rId522" Type="http://schemas.openxmlformats.org/officeDocument/2006/relationships/image" Target="media/image252.png"/><Relationship Id="rId521" Type="http://schemas.openxmlformats.org/officeDocument/2006/relationships/image" Target="media/image251.png"/><Relationship Id="rId520" Type="http://schemas.openxmlformats.org/officeDocument/2006/relationships/image" Target="media/image250.png"/><Relationship Id="rId52" Type="http://schemas.openxmlformats.org/officeDocument/2006/relationships/image" Target="media/image21.wmf"/><Relationship Id="rId519" Type="http://schemas.openxmlformats.org/officeDocument/2006/relationships/image" Target="media/image249.png"/><Relationship Id="rId518" Type="http://schemas.openxmlformats.org/officeDocument/2006/relationships/image" Target="media/image248.png"/><Relationship Id="rId517" Type="http://schemas.openxmlformats.org/officeDocument/2006/relationships/image" Target="media/image247.wmf"/><Relationship Id="rId516" Type="http://schemas.openxmlformats.org/officeDocument/2006/relationships/oleObject" Target="embeddings/oleObject245.bin"/><Relationship Id="rId515" Type="http://schemas.openxmlformats.org/officeDocument/2006/relationships/image" Target="media/image246.wmf"/><Relationship Id="rId514" Type="http://schemas.openxmlformats.org/officeDocument/2006/relationships/oleObject" Target="embeddings/oleObject244.bin"/><Relationship Id="rId513" Type="http://schemas.openxmlformats.org/officeDocument/2006/relationships/image" Target="media/image245.wmf"/><Relationship Id="rId512" Type="http://schemas.openxmlformats.org/officeDocument/2006/relationships/image" Target="media/image244.wmf"/><Relationship Id="rId511" Type="http://schemas.openxmlformats.org/officeDocument/2006/relationships/image" Target="media/image243.wmf"/><Relationship Id="rId510" Type="http://schemas.openxmlformats.org/officeDocument/2006/relationships/image" Target="media/image242.wmf"/><Relationship Id="rId51" Type="http://schemas.openxmlformats.org/officeDocument/2006/relationships/oleObject" Target="embeddings/oleObject6.bin"/><Relationship Id="rId509" Type="http://schemas.openxmlformats.org/officeDocument/2006/relationships/image" Target="media/image241.wmf"/><Relationship Id="rId508" Type="http://schemas.openxmlformats.org/officeDocument/2006/relationships/image" Target="media/image240.wmf"/><Relationship Id="rId507" Type="http://schemas.openxmlformats.org/officeDocument/2006/relationships/image" Target="media/image239.wmf"/><Relationship Id="rId506" Type="http://schemas.openxmlformats.org/officeDocument/2006/relationships/image" Target="media/image238.wmf"/><Relationship Id="rId505" Type="http://schemas.openxmlformats.org/officeDocument/2006/relationships/image" Target="media/image237.wmf"/><Relationship Id="rId504" Type="http://schemas.openxmlformats.org/officeDocument/2006/relationships/image" Target="media/image236.wmf"/><Relationship Id="rId503" Type="http://schemas.openxmlformats.org/officeDocument/2006/relationships/image" Target="media/image235.wmf"/><Relationship Id="rId502" Type="http://schemas.openxmlformats.org/officeDocument/2006/relationships/image" Target="media/image234.wmf"/><Relationship Id="rId501" Type="http://schemas.openxmlformats.org/officeDocument/2006/relationships/oleObject" Target="embeddings/oleObject243.bin"/><Relationship Id="rId500" Type="http://schemas.openxmlformats.org/officeDocument/2006/relationships/image" Target="media/image233.wmf"/><Relationship Id="rId50" Type="http://schemas.openxmlformats.org/officeDocument/2006/relationships/image" Target="media/image20.wmf"/><Relationship Id="rId5" Type="http://schemas.openxmlformats.org/officeDocument/2006/relationships/header" Target="header1.xml"/><Relationship Id="rId499" Type="http://schemas.openxmlformats.org/officeDocument/2006/relationships/oleObject" Target="embeddings/oleObject242.bin"/><Relationship Id="rId498" Type="http://schemas.openxmlformats.org/officeDocument/2006/relationships/image" Target="media/image232.wmf"/><Relationship Id="rId497" Type="http://schemas.openxmlformats.org/officeDocument/2006/relationships/oleObject" Target="embeddings/oleObject241.bin"/><Relationship Id="rId496" Type="http://schemas.openxmlformats.org/officeDocument/2006/relationships/image" Target="media/image231.wmf"/><Relationship Id="rId495" Type="http://schemas.openxmlformats.org/officeDocument/2006/relationships/oleObject" Target="embeddings/oleObject240.bin"/><Relationship Id="rId494" Type="http://schemas.openxmlformats.org/officeDocument/2006/relationships/image" Target="media/image230.wmf"/><Relationship Id="rId493" Type="http://schemas.openxmlformats.org/officeDocument/2006/relationships/oleObject" Target="embeddings/oleObject239.bin"/><Relationship Id="rId492" Type="http://schemas.openxmlformats.org/officeDocument/2006/relationships/image" Target="media/image229.wmf"/><Relationship Id="rId491" Type="http://schemas.openxmlformats.org/officeDocument/2006/relationships/oleObject" Target="embeddings/oleObject238.bin"/><Relationship Id="rId490" Type="http://schemas.openxmlformats.org/officeDocument/2006/relationships/image" Target="media/image228.wmf"/><Relationship Id="rId49" Type="http://schemas.openxmlformats.org/officeDocument/2006/relationships/oleObject" Target="embeddings/oleObject5.bin"/><Relationship Id="rId489" Type="http://schemas.openxmlformats.org/officeDocument/2006/relationships/oleObject" Target="embeddings/oleObject237.bin"/><Relationship Id="rId488" Type="http://schemas.openxmlformats.org/officeDocument/2006/relationships/image" Target="media/image227.wmf"/><Relationship Id="rId487" Type="http://schemas.openxmlformats.org/officeDocument/2006/relationships/oleObject" Target="embeddings/oleObject236.bin"/><Relationship Id="rId486" Type="http://schemas.openxmlformats.org/officeDocument/2006/relationships/image" Target="media/image226.wmf"/><Relationship Id="rId485" Type="http://schemas.openxmlformats.org/officeDocument/2006/relationships/oleObject" Target="embeddings/oleObject235.bin"/><Relationship Id="rId484" Type="http://schemas.openxmlformats.org/officeDocument/2006/relationships/image" Target="media/image225.wmf"/><Relationship Id="rId483" Type="http://schemas.openxmlformats.org/officeDocument/2006/relationships/oleObject" Target="embeddings/oleObject234.bin"/><Relationship Id="rId482" Type="http://schemas.openxmlformats.org/officeDocument/2006/relationships/image" Target="media/image224.wmf"/><Relationship Id="rId481" Type="http://schemas.openxmlformats.org/officeDocument/2006/relationships/oleObject" Target="embeddings/oleObject233.bin"/><Relationship Id="rId480" Type="http://schemas.openxmlformats.org/officeDocument/2006/relationships/image" Target="media/image223.wmf"/><Relationship Id="rId48" Type="http://schemas.openxmlformats.org/officeDocument/2006/relationships/image" Target="media/image19.wmf"/><Relationship Id="rId479" Type="http://schemas.openxmlformats.org/officeDocument/2006/relationships/oleObject" Target="embeddings/oleObject232.bin"/><Relationship Id="rId478" Type="http://schemas.openxmlformats.org/officeDocument/2006/relationships/image" Target="media/image222.wmf"/><Relationship Id="rId477" Type="http://schemas.openxmlformats.org/officeDocument/2006/relationships/oleObject" Target="embeddings/oleObject231.bin"/><Relationship Id="rId476" Type="http://schemas.openxmlformats.org/officeDocument/2006/relationships/image" Target="media/image221.wmf"/><Relationship Id="rId475" Type="http://schemas.openxmlformats.org/officeDocument/2006/relationships/oleObject" Target="embeddings/oleObject230.bin"/><Relationship Id="rId474" Type="http://schemas.openxmlformats.org/officeDocument/2006/relationships/image" Target="media/image220.wmf"/><Relationship Id="rId473" Type="http://schemas.openxmlformats.org/officeDocument/2006/relationships/oleObject" Target="embeddings/oleObject229.bin"/><Relationship Id="rId472" Type="http://schemas.openxmlformats.org/officeDocument/2006/relationships/image" Target="media/image219.wmf"/><Relationship Id="rId471" Type="http://schemas.openxmlformats.org/officeDocument/2006/relationships/oleObject" Target="embeddings/oleObject228.bin"/><Relationship Id="rId470" Type="http://schemas.openxmlformats.org/officeDocument/2006/relationships/image" Target="media/image218.wmf"/><Relationship Id="rId47" Type="http://schemas.openxmlformats.org/officeDocument/2006/relationships/oleObject" Target="embeddings/oleObject4.bin"/><Relationship Id="rId469" Type="http://schemas.openxmlformats.org/officeDocument/2006/relationships/image" Target="media/image217.wmf"/><Relationship Id="rId468" Type="http://schemas.openxmlformats.org/officeDocument/2006/relationships/oleObject" Target="embeddings/oleObject227.bin"/><Relationship Id="rId467" Type="http://schemas.openxmlformats.org/officeDocument/2006/relationships/image" Target="media/image216.wmf"/><Relationship Id="rId466" Type="http://schemas.openxmlformats.org/officeDocument/2006/relationships/oleObject" Target="embeddings/oleObject226.bin"/><Relationship Id="rId465" Type="http://schemas.openxmlformats.org/officeDocument/2006/relationships/image" Target="media/image215.wmf"/><Relationship Id="rId464" Type="http://schemas.openxmlformats.org/officeDocument/2006/relationships/oleObject" Target="embeddings/oleObject225.bin"/><Relationship Id="rId463" Type="http://schemas.openxmlformats.org/officeDocument/2006/relationships/image" Target="media/image214.wmf"/><Relationship Id="rId462" Type="http://schemas.openxmlformats.org/officeDocument/2006/relationships/oleObject" Target="embeddings/oleObject224.bin"/><Relationship Id="rId461" Type="http://schemas.openxmlformats.org/officeDocument/2006/relationships/image" Target="media/image213.wmf"/><Relationship Id="rId460" Type="http://schemas.openxmlformats.org/officeDocument/2006/relationships/oleObject" Target="embeddings/oleObject223.bin"/><Relationship Id="rId46" Type="http://schemas.openxmlformats.org/officeDocument/2006/relationships/image" Target="media/image18.wmf"/><Relationship Id="rId459" Type="http://schemas.openxmlformats.org/officeDocument/2006/relationships/image" Target="media/image212.wmf"/><Relationship Id="rId458" Type="http://schemas.openxmlformats.org/officeDocument/2006/relationships/oleObject" Target="embeddings/oleObject222.bin"/><Relationship Id="rId457" Type="http://schemas.openxmlformats.org/officeDocument/2006/relationships/image" Target="media/image211.wmf"/><Relationship Id="rId456" Type="http://schemas.openxmlformats.org/officeDocument/2006/relationships/oleObject" Target="embeddings/oleObject221.bin"/><Relationship Id="rId455" Type="http://schemas.openxmlformats.org/officeDocument/2006/relationships/image" Target="media/image210.wmf"/><Relationship Id="rId454" Type="http://schemas.openxmlformats.org/officeDocument/2006/relationships/oleObject" Target="embeddings/oleObject220.bin"/><Relationship Id="rId453" Type="http://schemas.openxmlformats.org/officeDocument/2006/relationships/image" Target="media/image209.wmf"/><Relationship Id="rId452" Type="http://schemas.openxmlformats.org/officeDocument/2006/relationships/image" Target="media/image208.wmf"/><Relationship Id="rId451" Type="http://schemas.openxmlformats.org/officeDocument/2006/relationships/image" Target="media/image207.wmf"/><Relationship Id="rId450" Type="http://schemas.openxmlformats.org/officeDocument/2006/relationships/image" Target="media/image206.wmf"/><Relationship Id="rId45" Type="http://schemas.openxmlformats.org/officeDocument/2006/relationships/oleObject" Target="embeddings/oleObject3.bin"/><Relationship Id="rId449" Type="http://schemas.openxmlformats.org/officeDocument/2006/relationships/image" Target="media/image205.emf"/><Relationship Id="rId448" Type="http://schemas.openxmlformats.org/officeDocument/2006/relationships/image" Target="media/image204.emf"/><Relationship Id="rId447" Type="http://schemas.openxmlformats.org/officeDocument/2006/relationships/image" Target="media/image203.wmf"/><Relationship Id="rId446" Type="http://schemas.openxmlformats.org/officeDocument/2006/relationships/image" Target="media/image202.wmf"/><Relationship Id="rId445" Type="http://schemas.openxmlformats.org/officeDocument/2006/relationships/image" Target="media/image201.wmf"/><Relationship Id="rId444" Type="http://schemas.openxmlformats.org/officeDocument/2006/relationships/oleObject" Target="embeddings/oleObject219.bin"/><Relationship Id="rId443" Type="http://schemas.openxmlformats.org/officeDocument/2006/relationships/oleObject" Target="embeddings/oleObject218.bin"/><Relationship Id="rId442" Type="http://schemas.openxmlformats.org/officeDocument/2006/relationships/image" Target="media/image200.wmf"/><Relationship Id="rId441" Type="http://schemas.openxmlformats.org/officeDocument/2006/relationships/oleObject" Target="embeddings/oleObject217.bin"/><Relationship Id="rId440" Type="http://schemas.openxmlformats.org/officeDocument/2006/relationships/image" Target="media/image199.wmf"/><Relationship Id="rId44" Type="http://schemas.openxmlformats.org/officeDocument/2006/relationships/image" Target="media/image17.wmf"/><Relationship Id="rId439" Type="http://schemas.openxmlformats.org/officeDocument/2006/relationships/oleObject" Target="embeddings/oleObject216.bin"/><Relationship Id="rId438" Type="http://schemas.openxmlformats.org/officeDocument/2006/relationships/oleObject" Target="embeddings/oleObject215.bin"/><Relationship Id="rId437" Type="http://schemas.openxmlformats.org/officeDocument/2006/relationships/image" Target="media/image198.wmf"/><Relationship Id="rId436" Type="http://schemas.openxmlformats.org/officeDocument/2006/relationships/oleObject" Target="embeddings/oleObject214.bin"/><Relationship Id="rId435" Type="http://schemas.openxmlformats.org/officeDocument/2006/relationships/oleObject" Target="embeddings/oleObject213.bin"/><Relationship Id="rId434" Type="http://schemas.openxmlformats.org/officeDocument/2006/relationships/oleObject" Target="embeddings/oleObject212.bin"/><Relationship Id="rId433" Type="http://schemas.openxmlformats.org/officeDocument/2006/relationships/oleObject" Target="embeddings/oleObject211.bin"/><Relationship Id="rId432" Type="http://schemas.openxmlformats.org/officeDocument/2006/relationships/image" Target="media/image197.wmf"/><Relationship Id="rId431" Type="http://schemas.openxmlformats.org/officeDocument/2006/relationships/oleObject" Target="embeddings/oleObject210.bin"/><Relationship Id="rId430" Type="http://schemas.openxmlformats.org/officeDocument/2006/relationships/image" Target="media/image196.wmf"/><Relationship Id="rId43" Type="http://schemas.openxmlformats.org/officeDocument/2006/relationships/oleObject" Target="embeddings/oleObject2.bin"/><Relationship Id="rId429" Type="http://schemas.openxmlformats.org/officeDocument/2006/relationships/oleObject" Target="embeddings/oleObject209.bin"/><Relationship Id="rId428" Type="http://schemas.openxmlformats.org/officeDocument/2006/relationships/image" Target="media/image195.emf"/><Relationship Id="rId427" Type="http://schemas.openxmlformats.org/officeDocument/2006/relationships/image" Target="media/image194.emf"/><Relationship Id="rId426" Type="http://schemas.openxmlformats.org/officeDocument/2006/relationships/image" Target="media/image193.wmf"/><Relationship Id="rId425" Type="http://schemas.openxmlformats.org/officeDocument/2006/relationships/image" Target="media/image192.wmf"/><Relationship Id="rId424" Type="http://schemas.openxmlformats.org/officeDocument/2006/relationships/image" Target="media/image191.wmf"/><Relationship Id="rId423" Type="http://schemas.openxmlformats.org/officeDocument/2006/relationships/image" Target="media/image190.wmf"/><Relationship Id="rId422" Type="http://schemas.openxmlformats.org/officeDocument/2006/relationships/image" Target="media/image189.wmf"/><Relationship Id="rId421" Type="http://schemas.openxmlformats.org/officeDocument/2006/relationships/image" Target="media/image188.wmf"/><Relationship Id="rId420" Type="http://schemas.openxmlformats.org/officeDocument/2006/relationships/image" Target="media/image187.wmf"/><Relationship Id="rId42" Type="http://schemas.openxmlformats.org/officeDocument/2006/relationships/image" Target="media/image16.wmf"/><Relationship Id="rId419" Type="http://schemas.openxmlformats.org/officeDocument/2006/relationships/oleObject" Target="embeddings/oleObject208.bin"/><Relationship Id="rId418" Type="http://schemas.openxmlformats.org/officeDocument/2006/relationships/image" Target="media/image186.wmf"/><Relationship Id="rId417" Type="http://schemas.openxmlformats.org/officeDocument/2006/relationships/oleObject" Target="embeddings/oleObject207.bin"/><Relationship Id="rId416" Type="http://schemas.openxmlformats.org/officeDocument/2006/relationships/image" Target="media/image185.wmf"/><Relationship Id="rId415" Type="http://schemas.openxmlformats.org/officeDocument/2006/relationships/oleObject" Target="embeddings/oleObject206.bin"/><Relationship Id="rId414" Type="http://schemas.openxmlformats.org/officeDocument/2006/relationships/image" Target="media/image184.emf"/><Relationship Id="rId413" Type="http://schemas.openxmlformats.org/officeDocument/2006/relationships/image" Target="media/image183.png"/><Relationship Id="rId412" Type="http://schemas.openxmlformats.org/officeDocument/2006/relationships/image" Target="media/image182.png"/><Relationship Id="rId411" Type="http://schemas.openxmlformats.org/officeDocument/2006/relationships/image" Target="media/image181.png"/><Relationship Id="rId410" Type="http://schemas.openxmlformats.org/officeDocument/2006/relationships/image" Target="media/image180.png"/><Relationship Id="rId41" Type="http://schemas.openxmlformats.org/officeDocument/2006/relationships/image" Target="media/image15.wmf"/><Relationship Id="rId409" Type="http://schemas.openxmlformats.org/officeDocument/2006/relationships/image" Target="media/image179.png"/><Relationship Id="rId408" Type="http://schemas.openxmlformats.org/officeDocument/2006/relationships/image" Target="media/image178.png"/><Relationship Id="rId407" Type="http://schemas.openxmlformats.org/officeDocument/2006/relationships/image" Target="media/image177.png"/><Relationship Id="rId406" Type="http://schemas.openxmlformats.org/officeDocument/2006/relationships/oleObject" Target="embeddings/oleObject205.bin"/><Relationship Id="rId405" Type="http://schemas.openxmlformats.org/officeDocument/2006/relationships/oleObject" Target="embeddings/oleObject204.bin"/><Relationship Id="rId404" Type="http://schemas.openxmlformats.org/officeDocument/2006/relationships/oleObject" Target="embeddings/oleObject203.bin"/><Relationship Id="rId403" Type="http://schemas.openxmlformats.org/officeDocument/2006/relationships/image" Target="media/image176.wmf"/><Relationship Id="rId402" Type="http://schemas.openxmlformats.org/officeDocument/2006/relationships/oleObject" Target="embeddings/oleObject202.bin"/><Relationship Id="rId401" Type="http://schemas.openxmlformats.org/officeDocument/2006/relationships/image" Target="media/image175.wmf"/><Relationship Id="rId400" Type="http://schemas.openxmlformats.org/officeDocument/2006/relationships/oleObject" Target="embeddings/oleObject201.bin"/><Relationship Id="rId40" Type="http://schemas.openxmlformats.org/officeDocument/2006/relationships/image" Target="media/image14.wmf"/><Relationship Id="rId4" Type="http://schemas.openxmlformats.org/officeDocument/2006/relationships/endnotes" Target="endnotes.xml"/><Relationship Id="rId399" Type="http://schemas.openxmlformats.org/officeDocument/2006/relationships/image" Target="media/image174.wmf"/><Relationship Id="rId398" Type="http://schemas.openxmlformats.org/officeDocument/2006/relationships/oleObject" Target="embeddings/oleObject200.bin"/><Relationship Id="rId397" Type="http://schemas.openxmlformats.org/officeDocument/2006/relationships/image" Target="media/image173.wmf"/><Relationship Id="rId396" Type="http://schemas.openxmlformats.org/officeDocument/2006/relationships/oleObject" Target="embeddings/oleObject199.bin"/><Relationship Id="rId395" Type="http://schemas.openxmlformats.org/officeDocument/2006/relationships/image" Target="media/image172.wmf"/><Relationship Id="rId394" Type="http://schemas.openxmlformats.org/officeDocument/2006/relationships/oleObject" Target="embeddings/oleObject198.bin"/><Relationship Id="rId393" Type="http://schemas.openxmlformats.org/officeDocument/2006/relationships/image" Target="media/image171.wmf"/><Relationship Id="rId392" Type="http://schemas.openxmlformats.org/officeDocument/2006/relationships/oleObject" Target="embeddings/oleObject197.bin"/><Relationship Id="rId391" Type="http://schemas.openxmlformats.org/officeDocument/2006/relationships/image" Target="media/image170.wmf"/><Relationship Id="rId390" Type="http://schemas.openxmlformats.org/officeDocument/2006/relationships/oleObject" Target="embeddings/oleObject196.bin"/><Relationship Id="rId39" Type="http://schemas.openxmlformats.org/officeDocument/2006/relationships/image" Target="media/image13.wmf"/><Relationship Id="rId389" Type="http://schemas.openxmlformats.org/officeDocument/2006/relationships/image" Target="media/image169.wmf"/><Relationship Id="rId388" Type="http://schemas.openxmlformats.org/officeDocument/2006/relationships/oleObject" Target="embeddings/oleObject195.bin"/><Relationship Id="rId387" Type="http://schemas.openxmlformats.org/officeDocument/2006/relationships/image" Target="media/image168.wmf"/><Relationship Id="rId386" Type="http://schemas.openxmlformats.org/officeDocument/2006/relationships/oleObject" Target="embeddings/oleObject194.bin"/><Relationship Id="rId385" Type="http://schemas.openxmlformats.org/officeDocument/2006/relationships/image" Target="media/image167.wmf"/><Relationship Id="rId384" Type="http://schemas.openxmlformats.org/officeDocument/2006/relationships/oleObject" Target="embeddings/oleObject193.bin"/><Relationship Id="rId383" Type="http://schemas.openxmlformats.org/officeDocument/2006/relationships/image" Target="media/image166.wmf"/><Relationship Id="rId382" Type="http://schemas.openxmlformats.org/officeDocument/2006/relationships/oleObject" Target="embeddings/oleObject192.bin"/><Relationship Id="rId381" Type="http://schemas.openxmlformats.org/officeDocument/2006/relationships/image" Target="media/image165.wmf"/><Relationship Id="rId380" Type="http://schemas.openxmlformats.org/officeDocument/2006/relationships/oleObject" Target="embeddings/oleObject191.bin"/><Relationship Id="rId38" Type="http://schemas.openxmlformats.org/officeDocument/2006/relationships/image" Target="media/image12.wmf"/><Relationship Id="rId379" Type="http://schemas.openxmlformats.org/officeDocument/2006/relationships/image" Target="media/image164.wmf"/><Relationship Id="rId378" Type="http://schemas.openxmlformats.org/officeDocument/2006/relationships/oleObject" Target="embeddings/oleObject190.bin"/><Relationship Id="rId377" Type="http://schemas.openxmlformats.org/officeDocument/2006/relationships/image" Target="media/image163.wmf"/><Relationship Id="rId376" Type="http://schemas.openxmlformats.org/officeDocument/2006/relationships/oleObject" Target="embeddings/oleObject189.bin"/><Relationship Id="rId375" Type="http://schemas.openxmlformats.org/officeDocument/2006/relationships/image" Target="media/image162.wmf"/><Relationship Id="rId374" Type="http://schemas.openxmlformats.org/officeDocument/2006/relationships/oleObject" Target="embeddings/oleObject188.bin"/><Relationship Id="rId373" Type="http://schemas.openxmlformats.org/officeDocument/2006/relationships/image" Target="media/image161.wmf"/><Relationship Id="rId372" Type="http://schemas.openxmlformats.org/officeDocument/2006/relationships/oleObject" Target="embeddings/oleObject187.bin"/><Relationship Id="rId371" Type="http://schemas.openxmlformats.org/officeDocument/2006/relationships/image" Target="media/image160.wmf"/><Relationship Id="rId370" Type="http://schemas.openxmlformats.org/officeDocument/2006/relationships/oleObject" Target="embeddings/oleObject186.bin"/><Relationship Id="rId37" Type="http://schemas.openxmlformats.org/officeDocument/2006/relationships/image" Target="media/image11.wmf"/><Relationship Id="rId369" Type="http://schemas.openxmlformats.org/officeDocument/2006/relationships/image" Target="media/image159.wmf"/><Relationship Id="rId368" Type="http://schemas.openxmlformats.org/officeDocument/2006/relationships/oleObject" Target="embeddings/oleObject185.bin"/><Relationship Id="rId367" Type="http://schemas.openxmlformats.org/officeDocument/2006/relationships/image" Target="media/image158.wmf"/><Relationship Id="rId366" Type="http://schemas.openxmlformats.org/officeDocument/2006/relationships/oleObject" Target="embeddings/oleObject184.bin"/><Relationship Id="rId365" Type="http://schemas.openxmlformats.org/officeDocument/2006/relationships/oleObject" Target="embeddings/oleObject183.bin"/><Relationship Id="rId364" Type="http://schemas.openxmlformats.org/officeDocument/2006/relationships/image" Target="media/image157.wmf"/><Relationship Id="rId363" Type="http://schemas.openxmlformats.org/officeDocument/2006/relationships/oleObject" Target="embeddings/oleObject182.bin"/><Relationship Id="rId362" Type="http://schemas.openxmlformats.org/officeDocument/2006/relationships/image" Target="media/image156.wmf"/><Relationship Id="rId361" Type="http://schemas.openxmlformats.org/officeDocument/2006/relationships/oleObject" Target="embeddings/oleObject181.bin"/><Relationship Id="rId360" Type="http://schemas.openxmlformats.org/officeDocument/2006/relationships/oleObject" Target="embeddings/oleObject180.bin"/><Relationship Id="rId36" Type="http://schemas.openxmlformats.org/officeDocument/2006/relationships/image" Target="media/image10.wmf"/><Relationship Id="rId359" Type="http://schemas.openxmlformats.org/officeDocument/2006/relationships/image" Target="media/image155.wmf"/><Relationship Id="rId358" Type="http://schemas.openxmlformats.org/officeDocument/2006/relationships/oleObject" Target="embeddings/oleObject179.bin"/><Relationship Id="rId357" Type="http://schemas.openxmlformats.org/officeDocument/2006/relationships/image" Target="media/image154.wmf"/><Relationship Id="rId356" Type="http://schemas.openxmlformats.org/officeDocument/2006/relationships/oleObject" Target="embeddings/oleObject178.bin"/><Relationship Id="rId355" Type="http://schemas.openxmlformats.org/officeDocument/2006/relationships/image" Target="media/image153.wmf"/><Relationship Id="rId354" Type="http://schemas.openxmlformats.org/officeDocument/2006/relationships/oleObject" Target="embeddings/oleObject177.bin"/><Relationship Id="rId353" Type="http://schemas.openxmlformats.org/officeDocument/2006/relationships/image" Target="media/image152.wmf"/><Relationship Id="rId352" Type="http://schemas.openxmlformats.org/officeDocument/2006/relationships/oleObject" Target="embeddings/oleObject176.bin"/><Relationship Id="rId351" Type="http://schemas.openxmlformats.org/officeDocument/2006/relationships/image" Target="media/image151.wmf"/><Relationship Id="rId350" Type="http://schemas.openxmlformats.org/officeDocument/2006/relationships/oleObject" Target="embeddings/oleObject175.bin"/><Relationship Id="rId35" Type="http://schemas.openxmlformats.org/officeDocument/2006/relationships/oleObject" Target="embeddings/oleObject1.bin"/><Relationship Id="rId349" Type="http://schemas.openxmlformats.org/officeDocument/2006/relationships/image" Target="media/image150.wmf"/><Relationship Id="rId348" Type="http://schemas.openxmlformats.org/officeDocument/2006/relationships/oleObject" Target="embeddings/oleObject174.bin"/><Relationship Id="rId347" Type="http://schemas.openxmlformats.org/officeDocument/2006/relationships/image" Target="media/image149.wmf"/><Relationship Id="rId346" Type="http://schemas.openxmlformats.org/officeDocument/2006/relationships/oleObject" Target="embeddings/oleObject173.bin"/><Relationship Id="rId345" Type="http://schemas.openxmlformats.org/officeDocument/2006/relationships/image" Target="media/image148.wmf"/><Relationship Id="rId344" Type="http://schemas.openxmlformats.org/officeDocument/2006/relationships/oleObject" Target="embeddings/oleObject172.bin"/><Relationship Id="rId343" Type="http://schemas.openxmlformats.org/officeDocument/2006/relationships/image" Target="media/image147.wmf"/><Relationship Id="rId342" Type="http://schemas.openxmlformats.org/officeDocument/2006/relationships/oleObject" Target="embeddings/oleObject171.bin"/><Relationship Id="rId341" Type="http://schemas.openxmlformats.org/officeDocument/2006/relationships/image" Target="media/image146.wmf"/><Relationship Id="rId340" Type="http://schemas.openxmlformats.org/officeDocument/2006/relationships/oleObject" Target="embeddings/oleObject170.bin"/><Relationship Id="rId34" Type="http://schemas.openxmlformats.org/officeDocument/2006/relationships/image" Target="media/image9.wmf"/><Relationship Id="rId339" Type="http://schemas.openxmlformats.org/officeDocument/2006/relationships/image" Target="media/image145.wmf"/><Relationship Id="rId338" Type="http://schemas.openxmlformats.org/officeDocument/2006/relationships/oleObject" Target="embeddings/oleObject169.bin"/><Relationship Id="rId337" Type="http://schemas.openxmlformats.org/officeDocument/2006/relationships/image" Target="media/image144.wmf"/><Relationship Id="rId336" Type="http://schemas.openxmlformats.org/officeDocument/2006/relationships/oleObject" Target="embeddings/oleObject168.bin"/><Relationship Id="rId335" Type="http://schemas.openxmlformats.org/officeDocument/2006/relationships/image" Target="media/image143.wmf"/><Relationship Id="rId334" Type="http://schemas.openxmlformats.org/officeDocument/2006/relationships/oleObject" Target="embeddings/oleObject167.bin"/><Relationship Id="rId333" Type="http://schemas.openxmlformats.org/officeDocument/2006/relationships/image" Target="media/image142.wmf"/><Relationship Id="rId332" Type="http://schemas.openxmlformats.org/officeDocument/2006/relationships/oleObject" Target="embeddings/oleObject166.bin"/><Relationship Id="rId331" Type="http://schemas.openxmlformats.org/officeDocument/2006/relationships/image" Target="media/image141.wmf"/><Relationship Id="rId330" Type="http://schemas.openxmlformats.org/officeDocument/2006/relationships/oleObject" Target="embeddings/oleObject165.bin"/><Relationship Id="rId33" Type="http://schemas.openxmlformats.org/officeDocument/2006/relationships/image" Target="media/image8.wmf"/><Relationship Id="rId329" Type="http://schemas.openxmlformats.org/officeDocument/2006/relationships/image" Target="media/image140.wmf"/><Relationship Id="rId328" Type="http://schemas.openxmlformats.org/officeDocument/2006/relationships/oleObject" Target="embeddings/oleObject164.bin"/><Relationship Id="rId327" Type="http://schemas.openxmlformats.org/officeDocument/2006/relationships/image" Target="media/image139.wmf"/><Relationship Id="rId326" Type="http://schemas.openxmlformats.org/officeDocument/2006/relationships/oleObject" Target="embeddings/oleObject163.bin"/><Relationship Id="rId325" Type="http://schemas.openxmlformats.org/officeDocument/2006/relationships/image" Target="media/image138.wmf"/><Relationship Id="rId324" Type="http://schemas.openxmlformats.org/officeDocument/2006/relationships/oleObject" Target="embeddings/oleObject162.bin"/><Relationship Id="rId323" Type="http://schemas.openxmlformats.org/officeDocument/2006/relationships/image" Target="media/image137.wmf"/><Relationship Id="rId322" Type="http://schemas.openxmlformats.org/officeDocument/2006/relationships/oleObject" Target="embeddings/oleObject161.bin"/><Relationship Id="rId321" Type="http://schemas.openxmlformats.org/officeDocument/2006/relationships/image" Target="media/image136.wmf"/><Relationship Id="rId320" Type="http://schemas.openxmlformats.org/officeDocument/2006/relationships/image" Target="media/image135.wmf"/><Relationship Id="rId32" Type="http://schemas.openxmlformats.org/officeDocument/2006/relationships/image" Target="media/image7.wmf"/><Relationship Id="rId319" Type="http://schemas.openxmlformats.org/officeDocument/2006/relationships/oleObject" Target="embeddings/oleObject160.bin"/><Relationship Id="rId318" Type="http://schemas.openxmlformats.org/officeDocument/2006/relationships/image" Target="media/image134.wmf"/><Relationship Id="rId317" Type="http://schemas.openxmlformats.org/officeDocument/2006/relationships/oleObject" Target="embeddings/oleObject159.bin"/><Relationship Id="rId316" Type="http://schemas.openxmlformats.org/officeDocument/2006/relationships/oleObject" Target="embeddings/oleObject158.bin"/><Relationship Id="rId315" Type="http://schemas.openxmlformats.org/officeDocument/2006/relationships/image" Target="media/image133.wmf"/><Relationship Id="rId314" Type="http://schemas.openxmlformats.org/officeDocument/2006/relationships/oleObject" Target="embeddings/oleObject157.bin"/><Relationship Id="rId313" Type="http://schemas.openxmlformats.org/officeDocument/2006/relationships/image" Target="media/image132.wmf"/><Relationship Id="rId312" Type="http://schemas.openxmlformats.org/officeDocument/2006/relationships/oleObject" Target="embeddings/oleObject156.bin"/><Relationship Id="rId311" Type="http://schemas.openxmlformats.org/officeDocument/2006/relationships/image" Target="media/image131.wmf"/><Relationship Id="rId310" Type="http://schemas.openxmlformats.org/officeDocument/2006/relationships/oleObject" Target="embeddings/oleObject155.bin"/><Relationship Id="rId31" Type="http://schemas.openxmlformats.org/officeDocument/2006/relationships/image" Target="media/image6.wmf"/><Relationship Id="rId309" Type="http://schemas.openxmlformats.org/officeDocument/2006/relationships/image" Target="media/image130.wmf"/><Relationship Id="rId308" Type="http://schemas.openxmlformats.org/officeDocument/2006/relationships/oleObject" Target="embeddings/oleObject154.bin"/><Relationship Id="rId307" Type="http://schemas.openxmlformats.org/officeDocument/2006/relationships/image" Target="media/image129.wmf"/><Relationship Id="rId306" Type="http://schemas.openxmlformats.org/officeDocument/2006/relationships/oleObject" Target="embeddings/oleObject153.bin"/><Relationship Id="rId305" Type="http://schemas.openxmlformats.org/officeDocument/2006/relationships/image" Target="media/image128.wmf"/><Relationship Id="rId304" Type="http://schemas.openxmlformats.org/officeDocument/2006/relationships/oleObject" Target="embeddings/oleObject152.bin"/><Relationship Id="rId303" Type="http://schemas.openxmlformats.org/officeDocument/2006/relationships/image" Target="media/image127.wmf"/><Relationship Id="rId302" Type="http://schemas.openxmlformats.org/officeDocument/2006/relationships/oleObject" Target="embeddings/oleObject151.bin"/><Relationship Id="rId301" Type="http://schemas.openxmlformats.org/officeDocument/2006/relationships/image" Target="media/image126.wmf"/><Relationship Id="rId300" Type="http://schemas.openxmlformats.org/officeDocument/2006/relationships/oleObject" Target="embeddings/oleObject150.bin"/><Relationship Id="rId30" Type="http://schemas.openxmlformats.org/officeDocument/2006/relationships/image" Target="media/image5.wmf"/><Relationship Id="rId3" Type="http://schemas.openxmlformats.org/officeDocument/2006/relationships/footnotes" Target="footnotes.xml"/><Relationship Id="rId299" Type="http://schemas.openxmlformats.org/officeDocument/2006/relationships/image" Target="media/image125.wmf"/><Relationship Id="rId298" Type="http://schemas.openxmlformats.org/officeDocument/2006/relationships/oleObject" Target="embeddings/oleObject149.bin"/><Relationship Id="rId297" Type="http://schemas.openxmlformats.org/officeDocument/2006/relationships/image" Target="media/image124.wmf"/><Relationship Id="rId296" Type="http://schemas.openxmlformats.org/officeDocument/2006/relationships/oleObject" Target="embeddings/oleObject148.bin"/><Relationship Id="rId295" Type="http://schemas.openxmlformats.org/officeDocument/2006/relationships/image" Target="media/image123.png"/><Relationship Id="rId294" Type="http://schemas.openxmlformats.org/officeDocument/2006/relationships/image" Target="media/image122.png"/><Relationship Id="rId293" Type="http://schemas.openxmlformats.org/officeDocument/2006/relationships/image" Target="media/image121.wmf"/><Relationship Id="rId292" Type="http://schemas.openxmlformats.org/officeDocument/2006/relationships/oleObject" Target="embeddings/oleObject147.bin"/><Relationship Id="rId291" Type="http://schemas.openxmlformats.org/officeDocument/2006/relationships/image" Target="media/image120.png"/><Relationship Id="rId290" Type="http://schemas.openxmlformats.org/officeDocument/2006/relationships/image" Target="media/image119.png"/><Relationship Id="rId29" Type="http://schemas.openxmlformats.org/officeDocument/2006/relationships/image" Target="media/image4.wmf"/><Relationship Id="rId289" Type="http://schemas.openxmlformats.org/officeDocument/2006/relationships/image" Target="media/image118.png"/><Relationship Id="rId288" Type="http://schemas.openxmlformats.org/officeDocument/2006/relationships/image" Target="media/image117.png"/><Relationship Id="rId287" Type="http://schemas.openxmlformats.org/officeDocument/2006/relationships/oleObject" Target="embeddings/oleObject146.bin"/><Relationship Id="rId286" Type="http://schemas.openxmlformats.org/officeDocument/2006/relationships/image" Target="media/image116.wmf"/><Relationship Id="rId285" Type="http://schemas.openxmlformats.org/officeDocument/2006/relationships/oleObject" Target="embeddings/oleObject145.bin"/><Relationship Id="rId284" Type="http://schemas.openxmlformats.org/officeDocument/2006/relationships/image" Target="media/image115.wmf"/><Relationship Id="rId283" Type="http://schemas.openxmlformats.org/officeDocument/2006/relationships/oleObject" Target="embeddings/oleObject144.bin"/><Relationship Id="rId282" Type="http://schemas.openxmlformats.org/officeDocument/2006/relationships/image" Target="media/image114.wmf"/><Relationship Id="rId281" Type="http://schemas.openxmlformats.org/officeDocument/2006/relationships/oleObject" Target="embeddings/oleObject143.bin"/><Relationship Id="rId280" Type="http://schemas.openxmlformats.org/officeDocument/2006/relationships/image" Target="media/image113.wmf"/><Relationship Id="rId28" Type="http://schemas.openxmlformats.org/officeDocument/2006/relationships/image" Target="media/image3.wmf"/><Relationship Id="rId279" Type="http://schemas.openxmlformats.org/officeDocument/2006/relationships/oleObject" Target="embeddings/oleObject142.bin"/><Relationship Id="rId278" Type="http://schemas.openxmlformats.org/officeDocument/2006/relationships/image" Target="media/image112.wmf"/><Relationship Id="rId277" Type="http://schemas.openxmlformats.org/officeDocument/2006/relationships/oleObject" Target="embeddings/oleObject141.bin"/><Relationship Id="rId276" Type="http://schemas.openxmlformats.org/officeDocument/2006/relationships/image" Target="media/image111.wmf"/><Relationship Id="rId275" Type="http://schemas.openxmlformats.org/officeDocument/2006/relationships/oleObject" Target="embeddings/oleObject140.bin"/><Relationship Id="rId274" Type="http://schemas.openxmlformats.org/officeDocument/2006/relationships/image" Target="media/image110.wmf"/><Relationship Id="rId273" Type="http://schemas.openxmlformats.org/officeDocument/2006/relationships/oleObject" Target="embeddings/oleObject139.bin"/><Relationship Id="rId272" Type="http://schemas.openxmlformats.org/officeDocument/2006/relationships/image" Target="media/image109.wmf"/><Relationship Id="rId271" Type="http://schemas.openxmlformats.org/officeDocument/2006/relationships/oleObject" Target="embeddings/oleObject138.bin"/><Relationship Id="rId270" Type="http://schemas.openxmlformats.org/officeDocument/2006/relationships/image" Target="media/image108.wmf"/><Relationship Id="rId27" Type="http://schemas.openxmlformats.org/officeDocument/2006/relationships/image" Target="media/image2.emf"/><Relationship Id="rId269" Type="http://schemas.openxmlformats.org/officeDocument/2006/relationships/oleObject" Target="embeddings/oleObject137.bin"/><Relationship Id="rId268" Type="http://schemas.openxmlformats.org/officeDocument/2006/relationships/image" Target="media/image107.wmf"/><Relationship Id="rId267" Type="http://schemas.openxmlformats.org/officeDocument/2006/relationships/oleObject" Target="embeddings/oleObject136.bin"/><Relationship Id="rId266" Type="http://schemas.openxmlformats.org/officeDocument/2006/relationships/image" Target="media/image106.wmf"/><Relationship Id="rId265" Type="http://schemas.openxmlformats.org/officeDocument/2006/relationships/oleObject" Target="embeddings/oleObject135.bin"/><Relationship Id="rId264" Type="http://schemas.openxmlformats.org/officeDocument/2006/relationships/image" Target="media/image105.wmf"/><Relationship Id="rId263" Type="http://schemas.openxmlformats.org/officeDocument/2006/relationships/oleObject" Target="embeddings/oleObject134.bin"/><Relationship Id="rId262" Type="http://schemas.openxmlformats.org/officeDocument/2006/relationships/image" Target="media/image104.wmf"/><Relationship Id="rId261" Type="http://schemas.openxmlformats.org/officeDocument/2006/relationships/oleObject" Target="embeddings/oleObject133.bin"/><Relationship Id="rId260" Type="http://schemas.openxmlformats.org/officeDocument/2006/relationships/image" Target="media/image103.wmf"/><Relationship Id="rId26" Type="http://schemas.openxmlformats.org/officeDocument/2006/relationships/image" Target="media/image1.png"/><Relationship Id="rId259" Type="http://schemas.openxmlformats.org/officeDocument/2006/relationships/oleObject" Target="embeddings/oleObject132.bin"/><Relationship Id="rId258" Type="http://schemas.openxmlformats.org/officeDocument/2006/relationships/image" Target="media/image102.wmf"/><Relationship Id="rId257" Type="http://schemas.openxmlformats.org/officeDocument/2006/relationships/image" Target="media/image101.wmf"/><Relationship Id="rId256" Type="http://schemas.openxmlformats.org/officeDocument/2006/relationships/oleObject" Target="embeddings/oleObject131.bin"/><Relationship Id="rId255" Type="http://schemas.openxmlformats.org/officeDocument/2006/relationships/image" Target="media/image100.wmf"/><Relationship Id="rId254" Type="http://schemas.openxmlformats.org/officeDocument/2006/relationships/image" Target="media/image99.wmf"/><Relationship Id="rId253" Type="http://schemas.openxmlformats.org/officeDocument/2006/relationships/oleObject" Target="embeddings/oleObject130.bin"/><Relationship Id="rId252" Type="http://schemas.openxmlformats.org/officeDocument/2006/relationships/image" Target="media/image98.wmf"/><Relationship Id="rId251" Type="http://schemas.openxmlformats.org/officeDocument/2006/relationships/oleObject" Target="embeddings/oleObject129.bin"/><Relationship Id="rId250" Type="http://schemas.openxmlformats.org/officeDocument/2006/relationships/image" Target="media/image97.wmf"/><Relationship Id="rId25" Type="http://schemas.openxmlformats.org/officeDocument/2006/relationships/image" Target="media/image1.tiff"/><Relationship Id="rId249" Type="http://schemas.openxmlformats.org/officeDocument/2006/relationships/oleObject" Target="embeddings/oleObject128.bin"/><Relationship Id="rId248" Type="http://schemas.openxmlformats.org/officeDocument/2006/relationships/image" Target="media/image96.wmf"/><Relationship Id="rId247" Type="http://schemas.openxmlformats.org/officeDocument/2006/relationships/oleObject" Target="embeddings/oleObject127.bin"/><Relationship Id="rId246" Type="http://schemas.openxmlformats.org/officeDocument/2006/relationships/image" Target="media/image95.wmf"/><Relationship Id="rId245" Type="http://schemas.openxmlformats.org/officeDocument/2006/relationships/oleObject" Target="embeddings/oleObject126.bin"/><Relationship Id="rId244" Type="http://schemas.openxmlformats.org/officeDocument/2006/relationships/image" Target="media/image94.wmf"/><Relationship Id="rId243" Type="http://schemas.openxmlformats.org/officeDocument/2006/relationships/oleObject" Target="embeddings/oleObject125.bin"/><Relationship Id="rId242" Type="http://schemas.openxmlformats.org/officeDocument/2006/relationships/image" Target="media/image93.wmf"/><Relationship Id="rId241" Type="http://schemas.openxmlformats.org/officeDocument/2006/relationships/oleObject" Target="embeddings/oleObject124.bin"/><Relationship Id="rId240" Type="http://schemas.openxmlformats.org/officeDocument/2006/relationships/image" Target="media/image92.wmf"/><Relationship Id="rId24" Type="http://schemas.openxmlformats.org/officeDocument/2006/relationships/theme" Target="theme/theme1.xml"/><Relationship Id="rId239" Type="http://schemas.openxmlformats.org/officeDocument/2006/relationships/oleObject" Target="embeddings/oleObject123.bin"/><Relationship Id="rId238" Type="http://schemas.openxmlformats.org/officeDocument/2006/relationships/image" Target="media/image91.wmf"/><Relationship Id="rId237" Type="http://schemas.openxmlformats.org/officeDocument/2006/relationships/oleObject" Target="embeddings/oleObject122.bin"/><Relationship Id="rId236" Type="http://schemas.openxmlformats.org/officeDocument/2006/relationships/image" Target="media/image90.wmf"/><Relationship Id="rId235" Type="http://schemas.openxmlformats.org/officeDocument/2006/relationships/oleObject" Target="embeddings/oleObject121.bin"/><Relationship Id="rId234" Type="http://schemas.openxmlformats.org/officeDocument/2006/relationships/image" Target="media/image89.wmf"/><Relationship Id="rId233" Type="http://schemas.openxmlformats.org/officeDocument/2006/relationships/oleObject" Target="embeddings/oleObject120.bin"/><Relationship Id="rId232" Type="http://schemas.openxmlformats.org/officeDocument/2006/relationships/image" Target="media/image88.wmf"/><Relationship Id="rId231" Type="http://schemas.openxmlformats.org/officeDocument/2006/relationships/oleObject" Target="embeddings/oleObject119.bin"/><Relationship Id="rId230" Type="http://schemas.openxmlformats.org/officeDocument/2006/relationships/image" Target="media/image87.wmf"/><Relationship Id="rId23" Type="http://schemas.openxmlformats.org/officeDocument/2006/relationships/footer" Target="footer9.xml"/><Relationship Id="rId229" Type="http://schemas.openxmlformats.org/officeDocument/2006/relationships/oleObject" Target="embeddings/oleObject118.bin"/><Relationship Id="rId228" Type="http://schemas.openxmlformats.org/officeDocument/2006/relationships/image" Target="media/image86.wmf"/><Relationship Id="rId227" Type="http://schemas.openxmlformats.org/officeDocument/2006/relationships/oleObject" Target="embeddings/oleObject117.bin"/><Relationship Id="rId226" Type="http://schemas.openxmlformats.org/officeDocument/2006/relationships/image" Target="media/image85.wmf"/><Relationship Id="rId225" Type="http://schemas.openxmlformats.org/officeDocument/2006/relationships/oleObject" Target="embeddings/oleObject116.bin"/><Relationship Id="rId224" Type="http://schemas.openxmlformats.org/officeDocument/2006/relationships/image" Target="media/image84.wmf"/><Relationship Id="rId223" Type="http://schemas.openxmlformats.org/officeDocument/2006/relationships/oleObject" Target="embeddings/oleObject115.bin"/><Relationship Id="rId222" Type="http://schemas.openxmlformats.org/officeDocument/2006/relationships/image" Target="media/image83.wmf"/><Relationship Id="rId221" Type="http://schemas.openxmlformats.org/officeDocument/2006/relationships/oleObject" Target="embeddings/oleObject114.bin"/><Relationship Id="rId220" Type="http://schemas.openxmlformats.org/officeDocument/2006/relationships/image" Target="media/image82.wmf"/><Relationship Id="rId22" Type="http://schemas.openxmlformats.org/officeDocument/2006/relationships/footer" Target="footer8.xml"/><Relationship Id="rId219" Type="http://schemas.openxmlformats.org/officeDocument/2006/relationships/oleObject" Target="embeddings/oleObject113.bin"/><Relationship Id="rId218" Type="http://schemas.openxmlformats.org/officeDocument/2006/relationships/image" Target="media/image81.wmf"/><Relationship Id="rId217" Type="http://schemas.openxmlformats.org/officeDocument/2006/relationships/oleObject" Target="embeddings/oleObject112.bin"/><Relationship Id="rId216" Type="http://schemas.openxmlformats.org/officeDocument/2006/relationships/image" Target="media/image80.wmf"/><Relationship Id="rId215" Type="http://schemas.openxmlformats.org/officeDocument/2006/relationships/oleObject" Target="embeddings/oleObject111.bin"/><Relationship Id="rId214" Type="http://schemas.openxmlformats.org/officeDocument/2006/relationships/image" Target="media/image79.wmf"/><Relationship Id="rId213" Type="http://schemas.openxmlformats.org/officeDocument/2006/relationships/oleObject" Target="embeddings/oleObject110.bin"/><Relationship Id="rId212" Type="http://schemas.openxmlformats.org/officeDocument/2006/relationships/image" Target="media/image78.wmf"/><Relationship Id="rId211" Type="http://schemas.openxmlformats.org/officeDocument/2006/relationships/image" Target="media/image77.wmf"/><Relationship Id="rId210" Type="http://schemas.openxmlformats.org/officeDocument/2006/relationships/image" Target="media/image76.wmf"/><Relationship Id="rId21" Type="http://schemas.openxmlformats.org/officeDocument/2006/relationships/header" Target="header10.xml"/><Relationship Id="rId209" Type="http://schemas.openxmlformats.org/officeDocument/2006/relationships/image" Target="media/image75.wmf"/><Relationship Id="rId208" Type="http://schemas.openxmlformats.org/officeDocument/2006/relationships/image" Target="media/image74.wmf"/><Relationship Id="rId207" Type="http://schemas.openxmlformats.org/officeDocument/2006/relationships/image" Target="media/image73.wmf"/><Relationship Id="rId206" Type="http://schemas.openxmlformats.org/officeDocument/2006/relationships/oleObject" Target="embeddings/oleObject109.bin"/><Relationship Id="rId205" Type="http://schemas.openxmlformats.org/officeDocument/2006/relationships/image" Target="media/image72.wmf"/><Relationship Id="rId204" Type="http://schemas.openxmlformats.org/officeDocument/2006/relationships/oleObject" Target="embeddings/oleObject108.bin"/><Relationship Id="rId203" Type="http://schemas.openxmlformats.org/officeDocument/2006/relationships/image" Target="media/image71.wmf"/><Relationship Id="rId202" Type="http://schemas.openxmlformats.org/officeDocument/2006/relationships/oleObject" Target="embeddings/oleObject107.bin"/><Relationship Id="rId201" Type="http://schemas.openxmlformats.org/officeDocument/2006/relationships/oleObject" Target="embeddings/oleObject106.bin"/><Relationship Id="rId200" Type="http://schemas.openxmlformats.org/officeDocument/2006/relationships/image" Target="media/image70.wmf"/><Relationship Id="rId20" Type="http://schemas.openxmlformats.org/officeDocument/2006/relationships/header" Target="header9.xml"/><Relationship Id="rId2" Type="http://schemas.openxmlformats.org/officeDocument/2006/relationships/settings" Target="settings.xml"/><Relationship Id="rId199" Type="http://schemas.openxmlformats.org/officeDocument/2006/relationships/oleObject" Target="embeddings/oleObject105.bin"/><Relationship Id="rId198" Type="http://schemas.openxmlformats.org/officeDocument/2006/relationships/image" Target="media/image69.wmf"/><Relationship Id="rId197" Type="http://schemas.openxmlformats.org/officeDocument/2006/relationships/oleObject" Target="embeddings/oleObject104.bin"/><Relationship Id="rId196" Type="http://schemas.openxmlformats.org/officeDocument/2006/relationships/oleObject" Target="embeddings/oleObject103.bin"/><Relationship Id="rId195" Type="http://schemas.openxmlformats.org/officeDocument/2006/relationships/oleObject" Target="embeddings/oleObject102.bin"/><Relationship Id="rId194" Type="http://schemas.openxmlformats.org/officeDocument/2006/relationships/image" Target="media/image68.wmf"/><Relationship Id="rId193" Type="http://schemas.openxmlformats.org/officeDocument/2006/relationships/oleObject" Target="embeddings/oleObject101.bin"/><Relationship Id="rId192" Type="http://schemas.openxmlformats.org/officeDocument/2006/relationships/image" Target="media/image67.wmf"/><Relationship Id="rId191" Type="http://schemas.openxmlformats.org/officeDocument/2006/relationships/oleObject" Target="embeddings/oleObject100.bin"/><Relationship Id="rId190" Type="http://schemas.openxmlformats.org/officeDocument/2006/relationships/image" Target="media/image66.wmf"/><Relationship Id="rId19" Type="http://schemas.openxmlformats.org/officeDocument/2006/relationships/footer" Target="footer7.xml"/><Relationship Id="rId189" Type="http://schemas.openxmlformats.org/officeDocument/2006/relationships/oleObject" Target="embeddings/oleObject99.bin"/><Relationship Id="rId188" Type="http://schemas.openxmlformats.org/officeDocument/2006/relationships/image" Target="media/image65.wmf"/><Relationship Id="rId187" Type="http://schemas.openxmlformats.org/officeDocument/2006/relationships/oleObject" Target="embeddings/oleObject98.bin"/><Relationship Id="rId186" Type="http://schemas.openxmlformats.org/officeDocument/2006/relationships/oleObject" Target="embeddings/oleObject97.bin"/><Relationship Id="rId185" Type="http://schemas.openxmlformats.org/officeDocument/2006/relationships/oleObject" Target="embeddings/oleObject96.bin"/><Relationship Id="rId184" Type="http://schemas.openxmlformats.org/officeDocument/2006/relationships/image" Target="media/image64.wmf"/><Relationship Id="rId183" Type="http://schemas.openxmlformats.org/officeDocument/2006/relationships/oleObject" Target="embeddings/oleObject95.bin"/><Relationship Id="rId182" Type="http://schemas.openxmlformats.org/officeDocument/2006/relationships/oleObject" Target="embeddings/oleObject94.bin"/><Relationship Id="rId181" Type="http://schemas.openxmlformats.org/officeDocument/2006/relationships/oleObject" Target="embeddings/oleObject93.bin"/><Relationship Id="rId180" Type="http://schemas.openxmlformats.org/officeDocument/2006/relationships/image" Target="media/image63.wmf"/><Relationship Id="rId18" Type="http://schemas.openxmlformats.org/officeDocument/2006/relationships/footer" Target="footer6.xml"/><Relationship Id="rId179" Type="http://schemas.openxmlformats.org/officeDocument/2006/relationships/oleObject" Target="embeddings/oleObject92.bin"/><Relationship Id="rId178" Type="http://schemas.openxmlformats.org/officeDocument/2006/relationships/oleObject" Target="embeddings/oleObject91.bin"/><Relationship Id="rId177" Type="http://schemas.openxmlformats.org/officeDocument/2006/relationships/oleObject" Target="embeddings/oleObject90.bin"/><Relationship Id="rId176" Type="http://schemas.openxmlformats.org/officeDocument/2006/relationships/image" Target="media/image62.wmf"/><Relationship Id="rId175" Type="http://schemas.openxmlformats.org/officeDocument/2006/relationships/oleObject" Target="embeddings/oleObject89.bin"/><Relationship Id="rId174" Type="http://schemas.openxmlformats.org/officeDocument/2006/relationships/image" Target="media/image61.wmf"/><Relationship Id="rId173" Type="http://schemas.openxmlformats.org/officeDocument/2006/relationships/oleObject" Target="embeddings/oleObject88.bin"/><Relationship Id="rId172" Type="http://schemas.openxmlformats.org/officeDocument/2006/relationships/oleObject" Target="embeddings/oleObject87.bin"/><Relationship Id="rId171" Type="http://schemas.openxmlformats.org/officeDocument/2006/relationships/image" Target="media/image60.wmf"/><Relationship Id="rId170" Type="http://schemas.openxmlformats.org/officeDocument/2006/relationships/oleObject" Target="embeddings/oleObject86.bin"/><Relationship Id="rId17" Type="http://schemas.openxmlformats.org/officeDocument/2006/relationships/header" Target="header8.xml"/><Relationship Id="rId169" Type="http://schemas.openxmlformats.org/officeDocument/2006/relationships/oleObject" Target="embeddings/oleObject85.bin"/><Relationship Id="rId168" Type="http://schemas.openxmlformats.org/officeDocument/2006/relationships/image" Target="media/image59.png"/><Relationship Id="rId167" Type="http://schemas.openxmlformats.org/officeDocument/2006/relationships/image" Target="media/image58.wmf"/><Relationship Id="rId166" Type="http://schemas.openxmlformats.org/officeDocument/2006/relationships/oleObject" Target="embeddings/oleObject84.bin"/><Relationship Id="rId165" Type="http://schemas.openxmlformats.org/officeDocument/2006/relationships/oleObject" Target="embeddings/oleObject83.bin"/><Relationship Id="rId164" Type="http://schemas.openxmlformats.org/officeDocument/2006/relationships/image" Target="media/image57.wmf"/><Relationship Id="rId163" Type="http://schemas.openxmlformats.org/officeDocument/2006/relationships/oleObject" Target="embeddings/oleObject82.bin"/><Relationship Id="rId162" Type="http://schemas.openxmlformats.org/officeDocument/2006/relationships/oleObject" Target="embeddings/oleObject81.bin"/><Relationship Id="rId161" Type="http://schemas.openxmlformats.org/officeDocument/2006/relationships/oleObject" Target="embeddings/oleObject80.bin"/><Relationship Id="rId160" Type="http://schemas.openxmlformats.org/officeDocument/2006/relationships/image" Target="media/image56.wmf"/><Relationship Id="rId16" Type="http://schemas.openxmlformats.org/officeDocument/2006/relationships/header" Target="header7.xml"/><Relationship Id="rId159" Type="http://schemas.openxmlformats.org/officeDocument/2006/relationships/oleObject" Target="embeddings/oleObject79.bin"/><Relationship Id="rId158" Type="http://schemas.openxmlformats.org/officeDocument/2006/relationships/oleObject" Target="embeddings/oleObject78.bin"/><Relationship Id="rId157" Type="http://schemas.openxmlformats.org/officeDocument/2006/relationships/oleObject" Target="embeddings/oleObject77.bin"/><Relationship Id="rId156" Type="http://schemas.openxmlformats.org/officeDocument/2006/relationships/image" Target="media/image55.wmf"/><Relationship Id="rId155" Type="http://schemas.openxmlformats.org/officeDocument/2006/relationships/oleObject" Target="embeddings/oleObject76.bin"/><Relationship Id="rId154" Type="http://schemas.openxmlformats.org/officeDocument/2006/relationships/oleObject" Target="embeddings/oleObject75.bin"/><Relationship Id="rId153" Type="http://schemas.openxmlformats.org/officeDocument/2006/relationships/oleObject" Target="embeddings/oleObject74.bin"/><Relationship Id="rId152" Type="http://schemas.openxmlformats.org/officeDocument/2006/relationships/oleObject" Target="embeddings/oleObject73.bin"/><Relationship Id="rId151" Type="http://schemas.openxmlformats.org/officeDocument/2006/relationships/oleObject" Target="embeddings/oleObject72.bin"/><Relationship Id="rId150" Type="http://schemas.openxmlformats.org/officeDocument/2006/relationships/image" Target="media/image54.wmf"/><Relationship Id="rId15" Type="http://schemas.openxmlformats.org/officeDocument/2006/relationships/footer" Target="footer5.xml"/><Relationship Id="rId149" Type="http://schemas.openxmlformats.org/officeDocument/2006/relationships/oleObject" Target="embeddings/oleObject71.bin"/><Relationship Id="rId148" Type="http://schemas.openxmlformats.org/officeDocument/2006/relationships/image" Target="media/image53.wmf"/><Relationship Id="rId147" Type="http://schemas.openxmlformats.org/officeDocument/2006/relationships/oleObject" Target="embeddings/oleObject70.bin"/><Relationship Id="rId146" Type="http://schemas.openxmlformats.org/officeDocument/2006/relationships/oleObject" Target="embeddings/oleObject69.bin"/><Relationship Id="rId145" Type="http://schemas.openxmlformats.org/officeDocument/2006/relationships/oleObject" Target="embeddings/oleObject68.bin"/><Relationship Id="rId144" Type="http://schemas.openxmlformats.org/officeDocument/2006/relationships/image" Target="media/image52.wmf"/><Relationship Id="rId143" Type="http://schemas.openxmlformats.org/officeDocument/2006/relationships/oleObject" Target="embeddings/oleObject67.bin"/><Relationship Id="rId142" Type="http://schemas.openxmlformats.org/officeDocument/2006/relationships/image" Target="media/image51.wmf"/><Relationship Id="rId141" Type="http://schemas.openxmlformats.org/officeDocument/2006/relationships/oleObject" Target="embeddings/oleObject66.bin"/><Relationship Id="rId140" Type="http://schemas.openxmlformats.org/officeDocument/2006/relationships/image" Target="media/image50.wmf"/><Relationship Id="rId14" Type="http://schemas.openxmlformats.org/officeDocument/2006/relationships/footer" Target="footer4.xml"/><Relationship Id="rId139" Type="http://schemas.openxmlformats.org/officeDocument/2006/relationships/oleObject" Target="embeddings/oleObject65.bin"/><Relationship Id="rId138" Type="http://schemas.openxmlformats.org/officeDocument/2006/relationships/oleObject" Target="embeddings/oleObject64.bin"/><Relationship Id="rId137" Type="http://schemas.openxmlformats.org/officeDocument/2006/relationships/oleObject" Target="embeddings/oleObject63.bin"/><Relationship Id="rId136" Type="http://schemas.openxmlformats.org/officeDocument/2006/relationships/image" Target="media/image49.wmf"/><Relationship Id="rId135" Type="http://schemas.openxmlformats.org/officeDocument/2006/relationships/oleObject" Target="embeddings/oleObject62.bin"/><Relationship Id="rId134" Type="http://schemas.openxmlformats.org/officeDocument/2006/relationships/image" Target="media/image48.wmf"/><Relationship Id="rId133" Type="http://schemas.openxmlformats.org/officeDocument/2006/relationships/oleObject" Target="embeddings/oleObject61.bin"/><Relationship Id="rId132" Type="http://schemas.openxmlformats.org/officeDocument/2006/relationships/oleObject" Target="embeddings/oleObject60.bin"/><Relationship Id="rId131" Type="http://schemas.openxmlformats.org/officeDocument/2006/relationships/oleObject" Target="embeddings/oleObject59.bin"/><Relationship Id="rId130" Type="http://schemas.openxmlformats.org/officeDocument/2006/relationships/oleObject" Target="embeddings/oleObject58.bin"/><Relationship Id="rId13" Type="http://schemas.openxmlformats.org/officeDocument/2006/relationships/header" Target="header6.xml"/><Relationship Id="rId129" Type="http://schemas.openxmlformats.org/officeDocument/2006/relationships/oleObject" Target="embeddings/oleObject57.bin"/><Relationship Id="rId128" Type="http://schemas.openxmlformats.org/officeDocument/2006/relationships/image" Target="media/image47.wmf"/><Relationship Id="rId127" Type="http://schemas.openxmlformats.org/officeDocument/2006/relationships/oleObject" Target="embeddings/oleObject56.bin"/><Relationship Id="rId126" Type="http://schemas.openxmlformats.org/officeDocument/2006/relationships/oleObject" Target="embeddings/oleObject55.bin"/><Relationship Id="rId125" Type="http://schemas.openxmlformats.org/officeDocument/2006/relationships/oleObject" Target="embeddings/oleObject54.bin"/><Relationship Id="rId124" Type="http://schemas.openxmlformats.org/officeDocument/2006/relationships/oleObject" Target="embeddings/oleObject53.bin"/><Relationship Id="rId123" Type="http://schemas.openxmlformats.org/officeDocument/2006/relationships/oleObject" Target="embeddings/oleObject52.bin"/><Relationship Id="rId122" Type="http://schemas.openxmlformats.org/officeDocument/2006/relationships/image" Target="media/image46.wmf"/><Relationship Id="rId121" Type="http://schemas.openxmlformats.org/officeDocument/2006/relationships/oleObject" Target="embeddings/oleObject51.bin"/><Relationship Id="rId120" Type="http://schemas.openxmlformats.org/officeDocument/2006/relationships/oleObject" Target="embeddings/oleObject50.bin"/><Relationship Id="rId12" Type="http://schemas.openxmlformats.org/officeDocument/2006/relationships/header" Target="header5.xml"/><Relationship Id="rId119" Type="http://schemas.openxmlformats.org/officeDocument/2006/relationships/oleObject" Target="embeddings/oleObject49.bin"/><Relationship Id="rId118" Type="http://schemas.openxmlformats.org/officeDocument/2006/relationships/oleObject" Target="embeddings/oleObject48.bin"/><Relationship Id="rId117" Type="http://schemas.openxmlformats.org/officeDocument/2006/relationships/oleObject" Target="embeddings/oleObject47.bin"/><Relationship Id="rId116" Type="http://schemas.openxmlformats.org/officeDocument/2006/relationships/image" Target="media/image45.wmf"/><Relationship Id="rId115" Type="http://schemas.openxmlformats.org/officeDocument/2006/relationships/oleObject" Target="embeddings/oleObject46.bin"/><Relationship Id="rId114" Type="http://schemas.openxmlformats.org/officeDocument/2006/relationships/oleObject" Target="embeddings/oleObject45.bin"/><Relationship Id="rId113" Type="http://schemas.openxmlformats.org/officeDocument/2006/relationships/oleObject" Target="embeddings/oleObject44.bin"/><Relationship Id="rId112" Type="http://schemas.openxmlformats.org/officeDocument/2006/relationships/oleObject" Target="embeddings/oleObject43.bin"/><Relationship Id="rId111" Type="http://schemas.openxmlformats.org/officeDocument/2006/relationships/image" Target="media/image44.wmf"/><Relationship Id="rId110" Type="http://schemas.openxmlformats.org/officeDocument/2006/relationships/oleObject" Target="embeddings/oleObject42.bin"/><Relationship Id="rId11" Type="http://schemas.openxmlformats.org/officeDocument/2006/relationships/footer" Target="footer3.xml"/><Relationship Id="rId109" Type="http://schemas.openxmlformats.org/officeDocument/2006/relationships/image" Target="media/image43.wmf"/><Relationship Id="rId108" Type="http://schemas.openxmlformats.org/officeDocument/2006/relationships/oleObject" Target="embeddings/oleObject41.bin"/><Relationship Id="rId107" Type="http://schemas.openxmlformats.org/officeDocument/2006/relationships/image" Target="media/image42.wmf"/><Relationship Id="rId106" Type="http://schemas.openxmlformats.org/officeDocument/2006/relationships/oleObject" Target="embeddings/oleObject40.bin"/><Relationship Id="rId105" Type="http://schemas.openxmlformats.org/officeDocument/2006/relationships/oleObject" Target="embeddings/oleObject39.bin"/><Relationship Id="rId104" Type="http://schemas.openxmlformats.org/officeDocument/2006/relationships/image" Target="media/image41.wmf"/><Relationship Id="rId103" Type="http://schemas.openxmlformats.org/officeDocument/2006/relationships/oleObject" Target="embeddings/oleObject38.bin"/><Relationship Id="rId102" Type="http://schemas.openxmlformats.org/officeDocument/2006/relationships/oleObject" Target="embeddings/oleObject37.bin"/><Relationship Id="rId101" Type="http://schemas.openxmlformats.org/officeDocument/2006/relationships/oleObject" Target="embeddings/oleObject36.bin"/><Relationship Id="rId100" Type="http://schemas.openxmlformats.org/officeDocument/2006/relationships/image" Target="media/image40.wmf"/><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F20EACB96F274A18BE2098B429240732"/>
        <w:style w:val=""/>
        <w:category>
          <w:name w:val="常规"/>
          <w:gallery w:val="placeholder"/>
        </w:category>
        <w:types>
          <w:type w:val="bbPlcHdr"/>
        </w:types>
        <w:behaviors>
          <w:behavior w:val="content"/>
        </w:behaviors>
        <w:description w:val=""/>
        <w:guid w:val="{3EBB111E-7E9E-403C-8CE0-9769C9E2CF77}"/>
      </w:docPartPr>
      <w:docPartBody>
        <w:p>
          <w:pPr>
            <w:pStyle w:val="5"/>
          </w:pPr>
          <w:r>
            <w:rPr>
              <w:rStyle w:val="4"/>
              <w:rFonts w:hint="eastAsia"/>
            </w:rPr>
            <w:t>单击或点击此处输入文字。</w:t>
          </w:r>
        </w:p>
      </w:docPartBody>
    </w:docPart>
    <w:docPart>
      <w:docPartPr>
        <w:name w:val="0E7A2ABF0DD3437DA340BB2AAF96B48F"/>
        <w:style w:val=""/>
        <w:category>
          <w:name w:val="常规"/>
          <w:gallery w:val="placeholder"/>
        </w:category>
        <w:types>
          <w:type w:val="bbPlcHdr"/>
        </w:types>
        <w:behaviors>
          <w:behavior w:val="content"/>
        </w:behaviors>
        <w:description w:val=""/>
        <w:guid w:val="{144A1ADC-0C9C-431A-B6C8-1DE340C3DCDB}"/>
      </w:docPartPr>
      <w:docPartBody>
        <w:p>
          <w:pPr>
            <w:pStyle w:val="6"/>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6A1"/>
    <w:rsid w:val="000202DD"/>
    <w:rsid w:val="00130BF7"/>
    <w:rsid w:val="001C2CB2"/>
    <w:rsid w:val="002106ED"/>
    <w:rsid w:val="002F1F36"/>
    <w:rsid w:val="00402ECD"/>
    <w:rsid w:val="00404CD6"/>
    <w:rsid w:val="004F1251"/>
    <w:rsid w:val="00557EE2"/>
    <w:rsid w:val="005B7758"/>
    <w:rsid w:val="005D4B3B"/>
    <w:rsid w:val="006108E6"/>
    <w:rsid w:val="006579DA"/>
    <w:rsid w:val="00693505"/>
    <w:rsid w:val="006A29C5"/>
    <w:rsid w:val="00861E7C"/>
    <w:rsid w:val="008A46A1"/>
    <w:rsid w:val="008B49DD"/>
    <w:rsid w:val="008D31B0"/>
    <w:rsid w:val="0092416C"/>
    <w:rsid w:val="00A659AE"/>
    <w:rsid w:val="00C928D7"/>
    <w:rsid w:val="00F42791"/>
    <w:rsid w:val="00F91B7B"/>
    <w:rsid w:val="00FA5ADF"/>
    <w:rsid w:val="00FB1620"/>
    <w:rsid w:val="00FF77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F20EACB96F274A18BE2098B4292407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0E7A2ABF0DD3437DA340BB2AAF96B48F"/>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1EF73D-4A18-4DC4-92AD-9A8E6783CED4}">
  <ds:schemaRefs/>
</ds:datastoreItem>
</file>

<file path=docProps/app.xml><?xml version="1.0" encoding="utf-8"?>
<Properties xmlns="http://schemas.openxmlformats.org/officeDocument/2006/extended-properties" xmlns:vt="http://schemas.openxmlformats.org/officeDocument/2006/docPropsVTypes">
  <Template>地方标准</Template>
  <Company>PCMI</Company>
  <Pages>104</Pages>
  <Words>14621</Words>
  <Characters>83345</Characters>
  <Lines>694</Lines>
  <Paragraphs>195</Paragraphs>
  <TotalTime>6152</TotalTime>
  <ScaleCrop>false</ScaleCrop>
  <LinksUpToDate>false</LinksUpToDate>
  <CharactersWithSpaces>97771</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2021-12-09T02:03:00Z</dcterms:created>
  <dc:creator>Node47</dc:creator>
  <dc:description>&lt;config cover="true" show_menu="true" version="1.0.0" doctype="SDKXY"&gt;_x000d_
&lt;/config&gt;</dc:description>
  <cp:lastModifiedBy>粗糙</cp:lastModifiedBy>
  <cp:lastPrinted>2020-08-30T10:00:00Z</cp:lastPrinted>
  <dcterms:modified xsi:type="dcterms:W3CDTF">2022-01-07T01:46:15Z</dcterms:modified>
  <dc:title>地方标准</dc:title>
  <cp:revision>817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2052-11.1.0.11194</vt:lpwstr>
  </property>
  <property fmtid="{D5CDD505-2E9C-101B-9397-08002B2CF9AE}" pid="15" name="ICV">
    <vt:lpwstr>0F69449173434F62ABB74A54CD1B9164</vt:lpwstr>
  </property>
</Properties>
</file>