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D8F" w:rsidRDefault="006176C6">
      <w:pPr>
        <w:pStyle w:val="a6"/>
        <w:widowControl/>
        <w:spacing w:before="0" w:beforeAutospacing="0" w:after="0" w:afterAutospacing="0" w:line="500" w:lineRule="exact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>
        <w:rPr>
          <w:rFonts w:ascii="黑体" w:eastAsia="黑体" w:hAnsi="黑体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1</w:t>
      </w:r>
    </w:p>
    <w:p w:rsidR="00995D8F" w:rsidRDefault="006176C6">
      <w:pPr>
        <w:pStyle w:val="a6"/>
        <w:widowControl/>
        <w:spacing w:before="0" w:beforeAutospacing="0" w:after="0" w:afterAutospacing="0" w:line="500" w:lineRule="exact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建筑工程项目施工现场一般技术工人配备标准</w:t>
      </w:r>
    </w:p>
    <w:p w:rsidR="00995D8F" w:rsidRDefault="00995D8F">
      <w:pPr>
        <w:pStyle w:val="a6"/>
        <w:widowControl/>
        <w:spacing w:before="0" w:beforeAutospacing="0" w:after="0" w:afterAutospacing="0" w:line="500" w:lineRule="exact"/>
        <w:jc w:val="center"/>
        <w:rPr>
          <w:rFonts w:ascii="方正小标宋简体" w:eastAsia="方正小标宋简体" w:hAnsi="Times New Roman"/>
          <w:sz w:val="19"/>
          <w:szCs w:val="19"/>
        </w:rPr>
      </w:pPr>
    </w:p>
    <w:tbl>
      <w:tblPr>
        <w:tblW w:w="14784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0"/>
        <w:gridCol w:w="1080"/>
        <w:gridCol w:w="5805"/>
        <w:gridCol w:w="921"/>
        <w:gridCol w:w="915"/>
        <w:gridCol w:w="915"/>
        <w:gridCol w:w="968"/>
        <w:gridCol w:w="901"/>
        <w:gridCol w:w="863"/>
        <w:gridCol w:w="912"/>
        <w:gridCol w:w="864"/>
      </w:tblGrid>
      <w:tr w:rsidR="00995D8F">
        <w:trPr>
          <w:trHeight w:val="571"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序号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Style w:val="a7"/>
                <w:rFonts w:ascii="Times New Roman" w:eastAsia="仿宋" w:hAnsi="Times New Roman"/>
              </w:rPr>
            </w:pPr>
            <w:r>
              <w:rPr>
                <w:rStyle w:val="a7"/>
                <w:rFonts w:ascii="Times New Roman" w:eastAsia="仿宋" w:hAnsi="Times New Roman"/>
              </w:rPr>
              <w:t>工程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规模</w:t>
            </w:r>
          </w:p>
        </w:tc>
        <w:tc>
          <w:tcPr>
            <w:tcW w:w="5805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项目实施阶段</w:t>
            </w: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hAnsi="Times New Roman"/>
              </w:rPr>
              <w:t>2022</w:t>
            </w:r>
            <w:r>
              <w:rPr>
                <w:rStyle w:val="a7"/>
                <w:rFonts w:ascii="Times New Roman" w:eastAsia="仿宋" w:hAnsi="Times New Roman"/>
              </w:rPr>
              <w:t>年度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hAnsi="Times New Roman"/>
              </w:rPr>
              <w:t>2023</w:t>
            </w:r>
            <w:r>
              <w:rPr>
                <w:rStyle w:val="a7"/>
                <w:rFonts w:ascii="Times New Roman" w:eastAsia="仿宋" w:hAnsi="Times New Roman"/>
              </w:rPr>
              <w:t>年度</w:t>
            </w:r>
          </w:p>
        </w:tc>
        <w:tc>
          <w:tcPr>
            <w:tcW w:w="1764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hAnsi="Times New Roman"/>
              </w:rPr>
              <w:t>2024</w:t>
            </w:r>
            <w:r>
              <w:rPr>
                <w:rStyle w:val="a7"/>
                <w:rFonts w:ascii="Times New Roman" w:eastAsia="仿宋" w:hAnsi="Times New Roman"/>
              </w:rPr>
              <w:t>年度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hAnsi="Times New Roman"/>
              </w:rPr>
              <w:t>2025</w:t>
            </w:r>
            <w:r>
              <w:rPr>
                <w:rStyle w:val="a7"/>
                <w:rFonts w:ascii="Times New Roman" w:eastAsia="仿宋" w:hAnsi="Times New Roman"/>
              </w:rPr>
              <w:t>年度</w:t>
            </w:r>
          </w:p>
        </w:tc>
      </w:tr>
      <w:tr w:rsidR="00995D8F">
        <w:trPr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580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中级工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高级工</w:t>
            </w:r>
            <w:r>
              <w:rPr>
                <w:rStyle w:val="a7"/>
                <w:rFonts w:ascii="Times New Roman" w:eastAsia="仿宋" w:hAnsi="Times New Roman" w:hint="eastAsia"/>
              </w:rPr>
              <w:t>及以上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中级工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高级工</w:t>
            </w:r>
            <w:r>
              <w:rPr>
                <w:rStyle w:val="a7"/>
                <w:rFonts w:ascii="Times New Roman" w:eastAsia="仿宋" w:hAnsi="Times New Roman" w:hint="eastAsia"/>
              </w:rPr>
              <w:t>及以上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中级工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高级工</w:t>
            </w:r>
            <w:r>
              <w:rPr>
                <w:rStyle w:val="a7"/>
                <w:rFonts w:ascii="Times New Roman" w:eastAsia="仿宋" w:hAnsi="Times New Roman" w:hint="eastAsia"/>
              </w:rPr>
              <w:t>及以上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中级工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高级工</w:t>
            </w:r>
            <w:r>
              <w:rPr>
                <w:rStyle w:val="a7"/>
                <w:rFonts w:ascii="Times New Roman" w:eastAsia="仿宋" w:hAnsi="Times New Roman" w:hint="eastAsia"/>
              </w:rPr>
              <w:t>及以上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</w:tr>
      <w:tr w:rsidR="00995D8F">
        <w:trPr>
          <w:trHeight w:val="537"/>
          <w:jc w:val="center"/>
        </w:trPr>
        <w:tc>
          <w:tcPr>
            <w:tcW w:w="64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大型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项目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地基与基础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trHeight w:val="477"/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主体结构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建筑装饰装修、给排水，采暖、电气、智能化、通风空调、电梯、建筑节能等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trHeight w:val="432"/>
          <w:jc w:val="center"/>
        </w:trPr>
        <w:tc>
          <w:tcPr>
            <w:tcW w:w="64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中型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项目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地基与基础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trHeight w:val="417"/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主体结构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建筑装饰装修、给排水、采暖、电气、智能化、通风空调、电梯、建筑节能等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trHeight w:val="462"/>
          <w:jc w:val="center"/>
        </w:trPr>
        <w:tc>
          <w:tcPr>
            <w:tcW w:w="640" w:type="dxa"/>
            <w:vMerge w:val="restar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0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</w:rPr>
            </w:pPr>
            <w:r>
              <w:rPr>
                <w:rFonts w:ascii="Times New Roman" w:eastAsia="仿宋" w:hAnsi="Times New Roman"/>
              </w:rPr>
              <w:t>小型</w:t>
            </w:r>
          </w:p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项目</w:t>
            </w: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地基与基础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trHeight w:val="522"/>
          <w:jc w:val="center"/>
        </w:trPr>
        <w:tc>
          <w:tcPr>
            <w:tcW w:w="640" w:type="dxa"/>
            <w:vMerge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主体结构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12%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trHeight w:val="570"/>
          <w:jc w:val="center"/>
        </w:trPr>
        <w:tc>
          <w:tcPr>
            <w:tcW w:w="64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1080" w:type="dxa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58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建筑装饰装修、给排水、采暖、电气、智能化、通风空调、电梯、建筑节能等</w:t>
            </w:r>
          </w:p>
        </w:tc>
        <w:tc>
          <w:tcPr>
            <w:tcW w:w="92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1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86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6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</w:tbl>
    <w:p w:rsidR="00995D8F" w:rsidRDefault="006176C6">
      <w:pPr>
        <w:pStyle w:val="a6"/>
        <w:widowControl/>
        <w:spacing w:before="0" w:beforeAutospacing="0" w:after="0" w:afterAutospacing="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/>
          <w:sz w:val="32"/>
          <w:szCs w:val="32"/>
        </w:rPr>
        <w:t>2</w:t>
      </w:r>
    </w:p>
    <w:p w:rsidR="00995D8F" w:rsidRDefault="006176C6">
      <w:pPr>
        <w:pStyle w:val="a6"/>
        <w:widowControl/>
        <w:spacing w:before="0" w:beforeAutospacing="0" w:after="0" w:afterAutospacing="0" w:line="50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 w:hint="eastAsia"/>
          <w:sz w:val="44"/>
          <w:szCs w:val="44"/>
        </w:rPr>
        <w:t>市政公用工程施工现场</w:t>
      </w:r>
      <w:r>
        <w:rPr>
          <w:rFonts w:ascii="方正小标宋简体" w:eastAsia="方正小标宋简体" w:hAnsi="Times New Roman" w:hint="eastAsia"/>
          <w:sz w:val="44"/>
          <w:szCs w:val="44"/>
        </w:rPr>
        <w:t>一般技术</w:t>
      </w:r>
      <w:r>
        <w:rPr>
          <w:rFonts w:ascii="方正小标宋简体" w:eastAsia="方正小标宋简体" w:hAnsi="黑体" w:hint="eastAsia"/>
          <w:sz w:val="44"/>
          <w:szCs w:val="44"/>
        </w:rPr>
        <w:t>工人配备标准</w:t>
      </w:r>
    </w:p>
    <w:tbl>
      <w:tblPr>
        <w:tblW w:w="15436" w:type="dxa"/>
        <w:jc w:val="center"/>
        <w:tblBorders>
          <w:top w:val="single" w:sz="6" w:space="0" w:color="333333"/>
          <w:left w:val="single" w:sz="6" w:space="0" w:color="333333"/>
          <w:bottom w:val="single" w:sz="6" w:space="0" w:color="333333"/>
          <w:right w:val="single" w:sz="6" w:space="0" w:color="333333"/>
          <w:insideH w:val="outset" w:sz="6" w:space="0" w:color="auto"/>
          <w:insideV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8"/>
        <w:gridCol w:w="720"/>
        <w:gridCol w:w="6981"/>
        <w:gridCol w:w="913"/>
        <w:gridCol w:w="913"/>
        <w:gridCol w:w="934"/>
        <w:gridCol w:w="916"/>
        <w:gridCol w:w="861"/>
        <w:gridCol w:w="939"/>
        <w:gridCol w:w="881"/>
        <w:gridCol w:w="870"/>
      </w:tblGrid>
      <w:tr w:rsidR="00995D8F">
        <w:trPr>
          <w:trHeight w:val="455"/>
          <w:jc w:val="center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序号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工程规模</w:t>
            </w:r>
          </w:p>
        </w:tc>
        <w:tc>
          <w:tcPr>
            <w:tcW w:w="698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项目实施阶段</w:t>
            </w:r>
          </w:p>
        </w:tc>
        <w:tc>
          <w:tcPr>
            <w:tcW w:w="1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hAnsi="Times New Roman"/>
              </w:rPr>
              <w:t>2022</w:t>
            </w:r>
            <w:r>
              <w:rPr>
                <w:rStyle w:val="a7"/>
                <w:rFonts w:ascii="Times New Roman" w:eastAsia="仿宋" w:hAnsi="Times New Roman"/>
              </w:rPr>
              <w:t>年度</w:t>
            </w:r>
          </w:p>
        </w:tc>
        <w:tc>
          <w:tcPr>
            <w:tcW w:w="1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hAnsi="Times New Roman"/>
              </w:rPr>
              <w:t>2023</w:t>
            </w:r>
            <w:r>
              <w:rPr>
                <w:rStyle w:val="a7"/>
                <w:rFonts w:ascii="Times New Roman" w:eastAsia="仿宋" w:hAnsi="Times New Roman"/>
              </w:rPr>
              <w:t>年度</w:t>
            </w:r>
          </w:p>
        </w:tc>
        <w:tc>
          <w:tcPr>
            <w:tcW w:w="18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hAnsi="Times New Roman"/>
              </w:rPr>
              <w:t>2024</w:t>
            </w:r>
            <w:r>
              <w:rPr>
                <w:rStyle w:val="a7"/>
                <w:rFonts w:ascii="Times New Roman" w:eastAsia="仿宋" w:hAnsi="Times New Roman"/>
              </w:rPr>
              <w:t>年度</w:t>
            </w:r>
          </w:p>
        </w:tc>
        <w:tc>
          <w:tcPr>
            <w:tcW w:w="175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hAnsi="Times New Roman"/>
              </w:rPr>
              <w:t>2025</w:t>
            </w:r>
            <w:r>
              <w:rPr>
                <w:rStyle w:val="a7"/>
                <w:rFonts w:ascii="Times New Roman" w:eastAsia="仿宋" w:hAnsi="Times New Roman"/>
              </w:rPr>
              <w:t>年度</w:t>
            </w:r>
          </w:p>
        </w:tc>
      </w:tr>
      <w:tr w:rsidR="00995D8F">
        <w:trPr>
          <w:jc w:val="center"/>
        </w:trPr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698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中级工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高级工</w:t>
            </w:r>
            <w:r>
              <w:rPr>
                <w:rStyle w:val="a7"/>
                <w:rFonts w:ascii="Times New Roman" w:eastAsia="仿宋" w:hAnsi="Times New Roman" w:hint="eastAsia"/>
              </w:rPr>
              <w:t>及以上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中级工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高级工</w:t>
            </w:r>
            <w:r>
              <w:rPr>
                <w:rStyle w:val="a7"/>
                <w:rFonts w:ascii="Times New Roman" w:eastAsia="仿宋" w:hAnsi="Times New Roman" w:hint="eastAsia"/>
              </w:rPr>
              <w:t>及以上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中级工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高级工</w:t>
            </w:r>
            <w:r>
              <w:rPr>
                <w:rStyle w:val="a7"/>
                <w:rFonts w:ascii="Times New Roman" w:eastAsia="仿宋" w:hAnsi="Times New Roman" w:hint="eastAsia"/>
              </w:rPr>
              <w:t>及以上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中级工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wordWrap w:val="0"/>
              <w:spacing w:before="0" w:beforeAutospacing="0" w:after="0" w:afterAutospacing="0"/>
              <w:jc w:val="center"/>
              <w:rPr>
                <w:rFonts w:ascii="Times New Roman" w:eastAsia="仿宋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高级工</w:t>
            </w:r>
            <w:r>
              <w:rPr>
                <w:rStyle w:val="a7"/>
                <w:rFonts w:ascii="Times New Roman" w:eastAsia="仿宋" w:hAnsi="Times New Roman" w:hint="eastAsia"/>
              </w:rPr>
              <w:t>及以上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Style w:val="a7"/>
                <w:rFonts w:ascii="Times New Roman" w:eastAsia="仿宋" w:hAnsi="Times New Roman"/>
              </w:rPr>
              <w:t>占比</w:t>
            </w:r>
          </w:p>
        </w:tc>
      </w:tr>
      <w:tr w:rsidR="00995D8F">
        <w:trPr>
          <w:jc w:val="center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大型项目</w:t>
            </w: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前期实施阶段（如：道路基础施工阶段、桥跨下部结构施工阶段、基坑围护开挖阶段、土方地形整理施工）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jc w:val="center"/>
        </w:trPr>
        <w:tc>
          <w:tcPr>
            <w:tcW w:w="508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中期实施阶段（如：道路面层施工阶段、桥跨主体结构施工阶段、主体结构施工阶段、绿化施工）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trHeight w:val="645"/>
          <w:jc w:val="center"/>
        </w:trPr>
        <w:tc>
          <w:tcPr>
            <w:tcW w:w="508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720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后期实施阶段（如：配套附属工程施工阶段、桥面构造施工阶段、水电装修等附属工程施工阶段、铺装及附属施工）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 w:hint="eastAsia"/>
              </w:rPr>
              <w:t>3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jc w:val="center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中型项目</w:t>
            </w: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前期实施阶段（如：道路基础施工阶段、桥跨下部结构施工阶段、基坑围护开挖阶段、土方地形整理施工）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jc w:val="center"/>
        </w:trPr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中期实施阶段（如：道路面层施工阶段、桥跨主体结构施工阶段、主体结构施工阶段、绿化施工）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jc w:val="center"/>
        </w:trPr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后期实施阶段（如：配套附属工程施工阶段、桥面构造施工阶段、水电装修等附属工程施工阶段、铺装及附属施工）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8%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jc w:val="center"/>
        </w:trPr>
        <w:tc>
          <w:tcPr>
            <w:tcW w:w="5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小型项目</w:t>
            </w: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前期实施阶段（如：道路基础施工阶段、桥跨下部结构施工阶段、基坑围护开挖阶段、土方地形整理施工）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jc w:val="center"/>
        </w:trPr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中期实施阶段（如：道路面层施工阶段、桥跨主体结构施工阶段、主体结构施工阶段、绿化施工）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10%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995D8F">
        <w:trPr>
          <w:jc w:val="center"/>
        </w:trPr>
        <w:tc>
          <w:tcPr>
            <w:tcW w:w="5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72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995D8F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eastAsia="仿宋" w:hAnsi="Times New Roman"/>
              </w:rPr>
              <w:t>后期实施阶段（如：配套附属工程施工阶段、桥面构造施工阶段、水电装修等附属工程施工阶段、铺装及附属施工）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2%</w:t>
            </w:r>
          </w:p>
        </w:tc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6%</w:t>
            </w:r>
          </w:p>
        </w:tc>
        <w:tc>
          <w:tcPr>
            <w:tcW w:w="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3%</w:t>
            </w:r>
          </w:p>
        </w:tc>
        <w:tc>
          <w:tcPr>
            <w:tcW w:w="8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15%</w:t>
            </w:r>
          </w:p>
        </w:tc>
        <w:tc>
          <w:tcPr>
            <w:tcW w:w="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4%</w:t>
            </w:r>
          </w:p>
        </w:tc>
        <w:tc>
          <w:tcPr>
            <w:tcW w:w="88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20%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left w:w="108" w:type="dxa"/>
            </w:tcMar>
            <w:vAlign w:val="center"/>
          </w:tcPr>
          <w:p w:rsidR="00995D8F" w:rsidRDefault="006176C6">
            <w:pPr>
              <w:pStyle w:val="a6"/>
              <w:widowControl/>
              <w:spacing w:before="0" w:beforeAutospacing="0" w:after="0" w:afterAutospacing="0"/>
              <w:jc w:val="center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</w:tbl>
    <w:p w:rsidR="00995D8F" w:rsidRDefault="006176C6">
      <w:pPr>
        <w:pStyle w:val="a6"/>
        <w:widowControl/>
        <w:spacing w:before="0" w:beforeAutospacing="0" w:after="0" w:afterAutospacing="0" w:line="50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995D8F" w:rsidRDefault="006176C6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hint="eastAsia"/>
          <w:kern w:val="0"/>
          <w:sz w:val="44"/>
          <w:szCs w:val="44"/>
        </w:rPr>
        <w:t>施工现场特种作业操作工人岗位配备标准</w:t>
      </w:r>
    </w:p>
    <w:tbl>
      <w:tblPr>
        <w:tblW w:w="14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6"/>
        <w:gridCol w:w="1417"/>
        <w:gridCol w:w="1417"/>
        <w:gridCol w:w="1417"/>
        <w:gridCol w:w="1417"/>
        <w:gridCol w:w="1417"/>
        <w:gridCol w:w="1417"/>
        <w:gridCol w:w="1414"/>
        <w:gridCol w:w="1410"/>
        <w:gridCol w:w="1405"/>
      </w:tblGrid>
      <w:tr w:rsidR="00995D8F">
        <w:tc>
          <w:tcPr>
            <w:tcW w:w="1416" w:type="dxa"/>
            <w:vMerge w:val="restart"/>
          </w:tcPr>
          <w:p w:rsidR="00995D8F" w:rsidRDefault="00995D8F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17" w:type="dxa"/>
            <w:vMerge w:val="restart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塔吊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司机</w:t>
            </w:r>
          </w:p>
        </w:tc>
        <w:tc>
          <w:tcPr>
            <w:tcW w:w="1417" w:type="dxa"/>
            <w:vMerge w:val="restart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信号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司索工</w:t>
            </w:r>
          </w:p>
        </w:tc>
        <w:tc>
          <w:tcPr>
            <w:tcW w:w="1417" w:type="dxa"/>
            <w:vMerge w:val="restart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施工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升降机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司机</w:t>
            </w:r>
          </w:p>
        </w:tc>
        <w:tc>
          <w:tcPr>
            <w:tcW w:w="1417" w:type="dxa"/>
            <w:vMerge w:val="restart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建筑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电工</w:t>
            </w:r>
          </w:p>
        </w:tc>
        <w:tc>
          <w:tcPr>
            <w:tcW w:w="1417" w:type="dxa"/>
            <w:vMerge w:val="restart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塔吊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安拆工</w:t>
            </w:r>
          </w:p>
        </w:tc>
        <w:tc>
          <w:tcPr>
            <w:tcW w:w="1417" w:type="dxa"/>
            <w:vMerge w:val="restart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施工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升降机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安拆工</w:t>
            </w:r>
          </w:p>
        </w:tc>
        <w:tc>
          <w:tcPr>
            <w:tcW w:w="1414" w:type="dxa"/>
            <w:vMerge w:val="restart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吊篮</w:t>
            </w:r>
          </w:p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安拆工</w:t>
            </w:r>
          </w:p>
        </w:tc>
        <w:tc>
          <w:tcPr>
            <w:tcW w:w="2815" w:type="dxa"/>
            <w:gridSpan w:val="2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架子工</w:t>
            </w:r>
          </w:p>
        </w:tc>
      </w:tr>
      <w:tr w:rsidR="00995D8F">
        <w:trPr>
          <w:trHeight w:val="570"/>
        </w:trPr>
        <w:tc>
          <w:tcPr>
            <w:tcW w:w="1416" w:type="dxa"/>
            <w:vMerge/>
          </w:tcPr>
          <w:p w:rsidR="00995D8F" w:rsidRDefault="00995D8F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995D8F" w:rsidRDefault="00995D8F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995D8F" w:rsidRDefault="00995D8F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995D8F" w:rsidRDefault="00995D8F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995D8F" w:rsidRDefault="00995D8F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995D8F" w:rsidRDefault="00995D8F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17" w:type="dxa"/>
            <w:vMerge/>
          </w:tcPr>
          <w:p w:rsidR="00995D8F" w:rsidRDefault="00995D8F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14" w:type="dxa"/>
            <w:vMerge/>
          </w:tcPr>
          <w:p w:rsidR="00995D8F" w:rsidRDefault="00995D8F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方正小标宋简体" w:eastAsia="方正小标宋简体" w:hAnsi="黑体"/>
                <w:sz w:val="44"/>
                <w:szCs w:val="44"/>
              </w:rPr>
            </w:pPr>
          </w:p>
        </w:tc>
        <w:tc>
          <w:tcPr>
            <w:tcW w:w="1410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普通钢管架体</w:t>
            </w:r>
          </w:p>
        </w:tc>
        <w:tc>
          <w:tcPr>
            <w:tcW w:w="1405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附着架</w:t>
            </w:r>
          </w:p>
        </w:tc>
      </w:tr>
      <w:tr w:rsidR="00995D8F">
        <w:tc>
          <w:tcPr>
            <w:tcW w:w="1416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人员配置</w:t>
            </w:r>
          </w:p>
        </w:tc>
        <w:tc>
          <w:tcPr>
            <w:tcW w:w="1417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台班</w:t>
            </w:r>
          </w:p>
        </w:tc>
        <w:tc>
          <w:tcPr>
            <w:tcW w:w="1417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台班</w:t>
            </w:r>
          </w:p>
        </w:tc>
        <w:tc>
          <w:tcPr>
            <w:tcW w:w="1417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台班</w:t>
            </w:r>
          </w:p>
        </w:tc>
        <w:tc>
          <w:tcPr>
            <w:tcW w:w="1417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最低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2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项目</w:t>
            </w:r>
          </w:p>
        </w:tc>
        <w:tc>
          <w:tcPr>
            <w:tcW w:w="1417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班组</w:t>
            </w:r>
          </w:p>
        </w:tc>
        <w:tc>
          <w:tcPr>
            <w:tcW w:w="1417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班组</w:t>
            </w:r>
          </w:p>
        </w:tc>
        <w:tc>
          <w:tcPr>
            <w:tcW w:w="1414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3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班组</w:t>
            </w:r>
          </w:p>
        </w:tc>
        <w:tc>
          <w:tcPr>
            <w:tcW w:w="1410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5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班组</w:t>
            </w:r>
          </w:p>
        </w:tc>
        <w:tc>
          <w:tcPr>
            <w:tcW w:w="1405" w:type="dxa"/>
          </w:tcPr>
          <w:p w:rsidR="00995D8F" w:rsidRDefault="006176C6">
            <w:pPr>
              <w:pStyle w:val="a6"/>
              <w:widowControl/>
              <w:spacing w:before="0" w:beforeAutospacing="0" w:after="0" w:afterAutospacing="0" w:line="500" w:lineRule="exact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6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人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/</w:t>
            </w:r>
            <w:r>
              <w:rPr>
                <w:rFonts w:ascii="仿宋" w:eastAsia="仿宋" w:hAnsi="仿宋" w:cs="仿宋" w:hint="eastAsia"/>
                <w:sz w:val="28"/>
                <w:szCs w:val="28"/>
              </w:rPr>
              <w:t>班组</w:t>
            </w:r>
          </w:p>
        </w:tc>
      </w:tr>
    </w:tbl>
    <w:p w:rsidR="00995D8F" w:rsidRDefault="006176C6">
      <w:pPr>
        <w:pStyle w:val="a6"/>
        <w:widowControl/>
        <w:spacing w:before="0" w:beforeAutospacing="0" w:after="0" w:afterAutospacing="0" w:line="500" w:lineRule="exact"/>
        <w:jc w:val="both"/>
        <w:rPr>
          <w:rFonts w:ascii="仿宋" w:eastAsia="仿宋" w:hAnsi="仿宋" w:cs="仿宋"/>
          <w:sz w:val="28"/>
          <w:szCs w:val="28"/>
        </w:rPr>
        <w:sectPr w:rsidR="00995D8F">
          <w:footerReference w:type="default" r:id="rId7"/>
          <w:pgSz w:w="16838" w:h="11906" w:orient="landscape"/>
          <w:pgMar w:top="1800" w:right="1440" w:bottom="1800" w:left="1440" w:header="851" w:footer="992" w:gutter="0"/>
          <w:pgNumType w:start="1"/>
          <w:cols w:space="720"/>
          <w:docGrid w:type="lines" w:linePitch="312"/>
        </w:sectPr>
      </w:pPr>
      <w:r>
        <w:rPr>
          <w:rFonts w:ascii="仿宋" w:eastAsia="仿宋" w:hAnsi="仿宋" w:cs="仿宋" w:hint="eastAsia"/>
          <w:sz w:val="28"/>
          <w:szCs w:val="28"/>
        </w:rPr>
        <w:t>备注：根据施工现场设施、设备使用数量配备设备类技能人员数量，未使用的设备可不配备相应人员。</w:t>
      </w:r>
    </w:p>
    <w:p w:rsidR="00995D8F" w:rsidRDefault="006176C6">
      <w:pPr>
        <w:pStyle w:val="a6"/>
        <w:widowControl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4</w:t>
      </w:r>
    </w:p>
    <w:p w:rsidR="00995D8F" w:rsidRDefault="006176C6">
      <w:pPr>
        <w:pStyle w:val="a6"/>
        <w:widowControl/>
        <w:spacing w:before="0" w:beforeAutospacing="0" w:after="0" w:afterAutospacing="0" w:line="50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>
        <w:rPr>
          <w:rFonts w:ascii="Times New Roman" w:eastAsia="方正小标宋简体" w:hAnsi="Times New Roman"/>
          <w:sz w:val="44"/>
          <w:szCs w:val="44"/>
        </w:rPr>
        <w:t>房屋建筑工程项目</w:t>
      </w:r>
      <w:r>
        <w:rPr>
          <w:rFonts w:ascii="Times New Roman" w:eastAsia="方正小标宋简体" w:hAnsi="Times New Roman" w:hint="eastAsia"/>
          <w:sz w:val="44"/>
          <w:szCs w:val="44"/>
        </w:rPr>
        <w:t>建设</w:t>
      </w:r>
      <w:r>
        <w:rPr>
          <w:rFonts w:ascii="Times New Roman" w:eastAsia="方正小标宋简体" w:hAnsi="Times New Roman"/>
          <w:sz w:val="44"/>
          <w:szCs w:val="44"/>
        </w:rPr>
        <w:t>规模标准</w:t>
      </w:r>
    </w:p>
    <w:tbl>
      <w:tblPr>
        <w:tblW w:w="14816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2010"/>
        <w:gridCol w:w="2985"/>
        <w:gridCol w:w="1166"/>
        <w:gridCol w:w="1965"/>
        <w:gridCol w:w="1965"/>
        <w:gridCol w:w="1965"/>
        <w:gridCol w:w="2115"/>
      </w:tblGrid>
      <w:tr w:rsidR="00995D8F">
        <w:trPr>
          <w:trHeight w:val="445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工程类别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11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单位</w:t>
            </w:r>
          </w:p>
        </w:tc>
        <w:tc>
          <w:tcPr>
            <w:tcW w:w="58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规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 xml:space="preserve">     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>模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备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>注</w:t>
            </w:r>
          </w:p>
        </w:tc>
      </w:tr>
      <w:tr w:rsidR="00995D8F">
        <w:trPr>
          <w:trHeight w:val="445"/>
          <w:tblHeader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1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大型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中型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小型</w:t>
            </w: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一般房屋建筑工程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工业、民用与公共建筑工程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建筑物层数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建筑物高度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单跨跨度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单体建筑面积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住宅小区或建筑群体工程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建筑群建筑面积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其他一般房屋建筑工程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高耸构筑物工程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冷却塔及附属工程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&gt;3500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3500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淋水面积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高耸构筑物工程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构筑物高度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其他高耸构筑物工程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地基与基础工程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房屋建筑地基与基础工程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建筑物层数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构筑物地基与基础工程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构筑物高度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基坑围护工程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基坑深度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软弱地基处理工程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&lt;4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地基处理深度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其他地基与基础工程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&lt;100 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995D8F">
        <w:trPr>
          <w:trHeight w:val="333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土石方工程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挖方或填方工程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万立方米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土石方量</w:t>
            </w:r>
          </w:p>
        </w:tc>
      </w:tr>
      <w:tr w:rsidR="00995D8F">
        <w:trPr>
          <w:trHeight w:val="297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其它挖方或填方工程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51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园林古建筑工程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仿古建筑工程、园林建筑工程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≥800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单体建筑面积</w:t>
            </w:r>
          </w:p>
        </w:tc>
      </w:tr>
      <w:tr w:rsidR="00995D8F">
        <w:trPr>
          <w:trHeight w:val="48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国家级重点文物保护单位的古建筑修缮工程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无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修缮建筑面积</w:t>
            </w:r>
          </w:p>
        </w:tc>
      </w:tr>
      <w:tr w:rsidR="00995D8F">
        <w:trPr>
          <w:trHeight w:val="48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省级重点文物保护单位的古建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筑修缮工程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lastRenderedPageBreak/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修缮建筑面积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其它园林古建筑工程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钢结构工程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钢结构建筑物或构筑物工程（包括轻钢结构工程）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钢结构跨度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总重量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≥20000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单体建筑面积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网架结构的制作安装工程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≥70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网架工程边长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总重量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≥6000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6000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单体建筑面积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其他钢结构工程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建筑防水工程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各类房屋建筑防水工程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防腐保温工程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各类防腐保温工程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766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</w:t>
            </w:r>
          </w:p>
        </w:tc>
        <w:tc>
          <w:tcPr>
            <w:tcW w:w="2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附着升降脚手架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各类附着升降脚手架设计、制作、安装工程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≥80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金属门窗工程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铝合金、塑钢等金属门窗工程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层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建筑物层数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≥80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15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建筑物高度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≥8000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单体建筑面积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11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预应力工程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各类房屋建筑预应力工程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跨度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≥800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12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爆破与拆除工程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大爆破工程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≥C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D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C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&lt;D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爆破等级</w:t>
            </w:r>
          </w:p>
        </w:tc>
      </w:tr>
      <w:tr w:rsidR="00995D8F">
        <w:trPr>
          <w:trHeight w:val="72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复杂环境深孔爆破、拆除爆破及城市控制爆破及其他爆破与拆除工程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级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≥B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D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B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&lt;D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爆破等级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机械和人工拆除工程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13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体育场地设施工程</w:t>
            </w: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高尔夫球场、室内外迷你高尔夫球场和练习场工程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公顷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55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单项工程占地面积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洞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9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18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&lt;9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洞数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体育场田径场地设施工程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&lt;0.5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容纳人数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5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体育馆（包括游泳馆、冬季项目馆）设施工程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人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&lt;300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容纳人数</w:t>
            </w:r>
          </w:p>
        </w:tc>
      </w:tr>
      <w:tr w:rsidR="00995D8F">
        <w:trPr>
          <w:trHeight w:val="54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合成面层网球、篮球、排球场地设施工程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平方米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≥7000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7000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&lt;2000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建筑面积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其他体育场地设施工程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≥800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28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14</w:t>
            </w:r>
          </w:p>
        </w:tc>
        <w:tc>
          <w:tcPr>
            <w:tcW w:w="2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特种专业工程</w:t>
            </w: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建筑物纠偏和平移等工程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&lt;100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  <w:tr w:rsidR="00995D8F">
        <w:trPr>
          <w:trHeight w:val="55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995D8F">
            <w:pPr>
              <w:jc w:val="lef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结构补强、特殊设备的起重吊装、特种防雷技术等工程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</w:p>
        </w:tc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&lt;50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</w:p>
        </w:tc>
      </w:tr>
    </w:tbl>
    <w:p w:rsidR="00995D8F" w:rsidRDefault="00995D8F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995D8F" w:rsidRDefault="00995D8F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995D8F" w:rsidRDefault="00995D8F">
      <w:pPr>
        <w:spacing w:line="560" w:lineRule="exact"/>
        <w:ind w:firstLine="640"/>
        <w:rPr>
          <w:rFonts w:eastAsia="仿宋_GB2312"/>
          <w:sz w:val="32"/>
          <w:szCs w:val="32"/>
        </w:rPr>
      </w:pPr>
    </w:p>
    <w:p w:rsidR="00995D8F" w:rsidRDefault="00995D8F">
      <w:pPr>
        <w:pStyle w:val="2"/>
      </w:pPr>
    </w:p>
    <w:p w:rsidR="00995D8F" w:rsidRDefault="00995D8F">
      <w:pPr>
        <w:pStyle w:val="2"/>
        <w:ind w:firstLine="0"/>
      </w:pPr>
    </w:p>
    <w:p w:rsidR="00995D8F" w:rsidRDefault="00995D8F">
      <w:pPr>
        <w:pStyle w:val="a6"/>
        <w:widowControl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</w:p>
    <w:p w:rsidR="00995D8F" w:rsidRDefault="00995D8F">
      <w:pPr>
        <w:pStyle w:val="a6"/>
        <w:widowControl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  <w:sectPr w:rsidR="00995D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/>
          <w:pgMar w:top="1474" w:right="1418" w:bottom="1588" w:left="1418" w:header="851" w:footer="851" w:gutter="0"/>
          <w:cols w:space="720"/>
          <w:docGrid w:type="lines" w:linePitch="312"/>
        </w:sectPr>
      </w:pPr>
    </w:p>
    <w:p w:rsidR="00995D8F" w:rsidRDefault="006176C6">
      <w:pPr>
        <w:pStyle w:val="a6"/>
        <w:widowControl/>
        <w:spacing w:before="0" w:beforeAutospacing="0" w:after="0" w:afterAutospacing="0" w:line="500" w:lineRule="exact"/>
        <w:jc w:val="both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</w:t>
      </w:r>
      <w:r>
        <w:rPr>
          <w:rFonts w:ascii="黑体" w:eastAsia="黑体" w:hAnsi="黑体" w:cs="黑体" w:hint="eastAsia"/>
          <w:sz w:val="32"/>
          <w:szCs w:val="32"/>
        </w:rPr>
        <w:t>5</w:t>
      </w:r>
    </w:p>
    <w:p w:rsidR="00995D8F" w:rsidRDefault="006176C6">
      <w:pPr>
        <w:spacing w:line="500" w:lineRule="exact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/>
          <w:sz w:val="44"/>
          <w:szCs w:val="44"/>
        </w:rPr>
        <w:t>市政公用工程项目</w:t>
      </w:r>
      <w:r>
        <w:rPr>
          <w:rFonts w:eastAsia="方正小标宋简体" w:hint="eastAsia"/>
          <w:sz w:val="44"/>
          <w:szCs w:val="44"/>
        </w:rPr>
        <w:t>建设</w:t>
      </w:r>
      <w:r>
        <w:rPr>
          <w:rFonts w:eastAsia="方正小标宋简体"/>
          <w:sz w:val="44"/>
          <w:szCs w:val="44"/>
        </w:rPr>
        <w:t>规模标准</w:t>
      </w:r>
    </w:p>
    <w:tbl>
      <w:tblPr>
        <w:tblW w:w="14767" w:type="dxa"/>
        <w:jc w:val="center"/>
        <w:tblLayout w:type="fixed"/>
        <w:tblLook w:val="04A0" w:firstRow="1" w:lastRow="0" w:firstColumn="1" w:lastColumn="0" w:noHBand="0" w:noVBand="1"/>
      </w:tblPr>
      <w:tblGrid>
        <w:gridCol w:w="645"/>
        <w:gridCol w:w="1416"/>
        <w:gridCol w:w="1830"/>
        <w:gridCol w:w="802"/>
        <w:gridCol w:w="2609"/>
        <w:gridCol w:w="2671"/>
        <w:gridCol w:w="2640"/>
        <w:gridCol w:w="2154"/>
      </w:tblGrid>
      <w:tr w:rsidR="00995D8F">
        <w:trPr>
          <w:trHeight w:val="315"/>
          <w:tblHeader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序号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工程类别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项目名称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单位</w:t>
            </w:r>
          </w:p>
        </w:tc>
        <w:tc>
          <w:tcPr>
            <w:tcW w:w="79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规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 xml:space="preserve">  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>模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备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 xml:space="preserve">   </w:t>
            </w:r>
            <w:r>
              <w:rPr>
                <w:rFonts w:eastAsia="仿宋_GB2312"/>
                <w:b/>
                <w:kern w:val="0"/>
                <w:sz w:val="24"/>
                <w:lang w:bidi="ar"/>
              </w:rPr>
              <w:t>注</w:t>
            </w:r>
          </w:p>
        </w:tc>
      </w:tr>
      <w:tr w:rsidR="00995D8F">
        <w:trPr>
          <w:trHeight w:val="315"/>
          <w:tblHeader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大型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中型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rFonts w:eastAsia="仿宋_GB2312"/>
                <w:b/>
                <w:sz w:val="24"/>
              </w:rPr>
            </w:pPr>
            <w:r>
              <w:rPr>
                <w:rFonts w:eastAsia="仿宋_GB2312"/>
                <w:b/>
                <w:kern w:val="0"/>
                <w:sz w:val="24"/>
                <w:lang w:bidi="ar"/>
              </w:rPr>
              <w:t>小型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b/>
                <w:sz w:val="24"/>
              </w:rPr>
            </w:pPr>
          </w:p>
        </w:tc>
      </w:tr>
      <w:tr w:rsidR="00995D8F">
        <w:trPr>
          <w:trHeight w:val="115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城市道路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路基工程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城市快速路、主干道路基工程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城市快速路、主（次）干道路基工程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城市次干道路基工程＜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千米，单项工程合同额＜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含城市快速路、城市环路，不含城际间公路</w:t>
            </w:r>
          </w:p>
        </w:tc>
      </w:tr>
      <w:tr w:rsidR="00995D8F">
        <w:trPr>
          <w:trHeight w:val="78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路面工程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高等级路面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万平方米，单项工程合同额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高等级路面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10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万平方米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次高等级路面，单项工程合同额＜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</w:p>
        </w:tc>
      </w:tr>
      <w:tr w:rsidR="00995D8F">
        <w:trPr>
          <w:trHeight w:val="705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城市公共广场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广场工程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广场面积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万平方米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广场面积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万平方米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含体育场</w:t>
            </w:r>
          </w:p>
        </w:tc>
      </w:tr>
      <w:tr w:rsidR="00995D8F">
        <w:trPr>
          <w:trHeight w:val="878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3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城市桥梁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桥梁工程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单跨跨度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≥40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;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单跨的跨度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;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单跨跨度＜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;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含过街天桥</w:t>
            </w:r>
          </w:p>
        </w:tc>
      </w:tr>
      <w:tr w:rsidR="00995D8F">
        <w:trPr>
          <w:trHeight w:val="877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4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地下交通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隧道工程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内径（宽或高）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米或单洞洞长单洞洞长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内径（宽或高）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内径（宽或高）＜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含地下过街通道；小型工程不含盾构施工</w:t>
            </w:r>
          </w:p>
        </w:tc>
      </w:tr>
      <w:tr w:rsidR="00995D8F">
        <w:trPr>
          <w:trHeight w:val="31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车站工程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小型工程不含车站工程</w:t>
            </w:r>
          </w:p>
        </w:tc>
      </w:tr>
      <w:tr w:rsidR="00995D8F">
        <w:trPr>
          <w:trHeight w:val="73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5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城市供水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供水厂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spacing w:line="260" w:lineRule="exact"/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万吨，单项工程合同额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万吨，单项工程合同额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3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万吨，单项工程合同额＜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1000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spacing w:line="260" w:lineRule="exact"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含中水工程，加压站工程</w:t>
            </w:r>
          </w:p>
        </w:tc>
      </w:tr>
      <w:tr w:rsidR="00995D8F">
        <w:trPr>
          <w:trHeight w:val="48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供水管道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管径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≥1.5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管径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0.8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1.5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管径＜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0.8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含中水工程，本表中的管径为公称直径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DN</w:t>
            </w:r>
          </w:p>
        </w:tc>
      </w:tr>
      <w:tr w:rsidR="00995D8F">
        <w:trPr>
          <w:trHeight w:val="48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lastRenderedPageBreak/>
              <w:t>6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城市排水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污水处理厂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万吨，单项工程合同额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万吨，单项工程合同额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万吨，单项工程合同额＜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含泵站</w:t>
            </w:r>
          </w:p>
        </w:tc>
      </w:tr>
      <w:tr w:rsidR="00995D8F">
        <w:trPr>
          <w:trHeight w:val="480"/>
          <w:jc w:val="center"/>
        </w:trPr>
        <w:tc>
          <w:tcPr>
            <w:tcW w:w="64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pStyle w:val="2"/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排水管道工程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管径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≥1.5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管径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0.8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1.5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管径＜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0.8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,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含小型泵站，本表中的管径为公称直径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DN</w:t>
            </w:r>
          </w:p>
        </w:tc>
      </w:tr>
      <w:tr w:rsidR="00995D8F">
        <w:trPr>
          <w:trHeight w:val="82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7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城市供气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燃气源工程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日产气量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万立方米，单项工程合同额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日产气量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万立方米，单项工程合同额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日产气量＜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万立方米，单项工程合同额＜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</w:tr>
      <w:tr w:rsidR="00995D8F">
        <w:trPr>
          <w:trHeight w:val="85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燃气管道工程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高压以上管道，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次高压管道，单项工程合同额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中压以下管道，单项工程合同额＜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</w:tr>
      <w:tr w:rsidR="00995D8F">
        <w:trPr>
          <w:trHeight w:val="57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储备厂（站）工程</w:t>
            </w:r>
          </w:p>
        </w:tc>
        <w:tc>
          <w:tcPr>
            <w:tcW w:w="8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设计压力＞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2.5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兆帕或总贮存容积＞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立方米的液化石油气或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立方米的液化天然气贮罐厂（站）或供气规模＞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万立方米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日的燃气工程，单项合同额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万元的工程</w:t>
            </w:r>
          </w:p>
        </w:tc>
        <w:tc>
          <w:tcPr>
            <w:tcW w:w="26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设计压力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2.0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2.5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兆帕或总贮存容积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立方米的液化石油气或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立方米的液化天然气贮罐厂（站）或供气规模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万立方米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日的燃气工程，单项合同额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万元的工程</w:t>
            </w:r>
          </w:p>
        </w:tc>
        <w:tc>
          <w:tcPr>
            <w:tcW w:w="26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设计压力＜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2.0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兆帕或总贮存容积＜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的立方米液化石油气或＜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立方米的液化天然气贮罐厂（站）或供气规模＜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万立方米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日的燃气工程，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万元的工程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含调压站、混气站、气化站、压缩天然气站、汽车加气站等</w:t>
            </w:r>
          </w:p>
        </w:tc>
      </w:tr>
      <w:tr w:rsidR="00995D8F">
        <w:trPr>
          <w:trHeight w:val="57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</w:tr>
      <w:tr w:rsidR="00995D8F">
        <w:trPr>
          <w:trHeight w:val="57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</w:tr>
      <w:tr w:rsidR="00995D8F">
        <w:trPr>
          <w:trHeight w:val="57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8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</w:tr>
      <w:tr w:rsidR="00995D8F">
        <w:trPr>
          <w:trHeight w:val="112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8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城市供热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热源工程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产热量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≥250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小时或供热面积＞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万平方米，单项工程合同额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产热量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250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小时或供热面积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万平方米，单项工程合同额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产热量＜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/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小时或供热面积＜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万平方米，单项工程合同额＜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</w:tr>
      <w:tr w:rsidR="00995D8F">
        <w:trPr>
          <w:trHeight w:val="705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管道工程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管径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毫米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, 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管径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毫米，单项工程合同额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管径＜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毫米，单项工程合同额＜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本表中的管径为公称直径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DN</w:t>
            </w:r>
          </w:p>
        </w:tc>
      </w:tr>
      <w:tr w:rsidR="00995D8F">
        <w:trPr>
          <w:trHeight w:val="765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lastRenderedPageBreak/>
              <w:t>9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生活垃圾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填埋场工程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≥800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800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填埋面积应折成处理量计</w:t>
            </w:r>
          </w:p>
        </w:tc>
      </w:tr>
      <w:tr w:rsidR="00995D8F">
        <w:trPr>
          <w:trHeight w:val="81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焚烧厂工程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日处理量＜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吨，单项工程合同额＜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</w:tr>
      <w:tr w:rsidR="00995D8F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10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交通安全设施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交通安全防护工程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含护栏、隔离带，防护墩</w:t>
            </w:r>
          </w:p>
        </w:tc>
      </w:tr>
      <w:tr w:rsidR="00995D8F">
        <w:trPr>
          <w:trHeight w:val="480"/>
          <w:jc w:val="center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机电系统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机电设备安装工程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 xml:space="preserve"> 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</w:tr>
      <w:tr w:rsidR="00995D8F">
        <w:trPr>
          <w:trHeight w:val="69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12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轻轨交通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路基工程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路基工程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路基工程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千米，单项工程合同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路基工程＜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千米，单项工程合同额＜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不含轨道铺设</w:t>
            </w:r>
          </w:p>
        </w:tc>
      </w:tr>
      <w:tr w:rsidR="00995D8F">
        <w:trPr>
          <w:trHeight w:val="114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桥涵工程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单跨跨度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≥40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单跨的跨度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40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单跨跨度＜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20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米，单项工程合同额＜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不含轨道铺设</w:t>
            </w:r>
          </w:p>
        </w:tc>
      </w:tr>
      <w:tr w:rsidR="00995D8F">
        <w:trPr>
          <w:trHeight w:val="480"/>
          <w:jc w:val="center"/>
        </w:trPr>
        <w:tc>
          <w:tcPr>
            <w:tcW w:w="6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center"/>
              <w:textAlignment w:val="center"/>
              <w:rPr>
                <w:sz w:val="18"/>
                <w:szCs w:val="18"/>
              </w:rPr>
            </w:pPr>
            <w:r>
              <w:rPr>
                <w:kern w:val="0"/>
                <w:sz w:val="18"/>
                <w:szCs w:val="18"/>
                <w:lang w:bidi="ar"/>
              </w:rPr>
              <w:t>13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城市园林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庭院工程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1000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含厅阁、走廊、假山、草坪、广场，绿化、景观</w:t>
            </w:r>
          </w:p>
        </w:tc>
      </w:tr>
      <w:tr w:rsidR="00995D8F">
        <w:trPr>
          <w:trHeight w:val="480"/>
          <w:jc w:val="center"/>
        </w:trPr>
        <w:tc>
          <w:tcPr>
            <w:tcW w:w="6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绿化工程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jc w:val="center"/>
              <w:rPr>
                <w:rFonts w:eastAsia="仿宋_GB2312"/>
                <w:sz w:val="20"/>
                <w:szCs w:val="20"/>
              </w:rPr>
            </w:pPr>
          </w:p>
        </w:tc>
        <w:tc>
          <w:tcPr>
            <w:tcW w:w="2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≥500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～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500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6176C6">
            <w:pPr>
              <w:widowControl/>
              <w:jc w:val="left"/>
              <w:textAlignment w:val="center"/>
              <w:rPr>
                <w:rFonts w:eastAsia="仿宋_GB2312"/>
                <w:sz w:val="20"/>
                <w:szCs w:val="20"/>
              </w:rPr>
            </w:pP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单项工程合同额＜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300</w:t>
            </w:r>
            <w:r>
              <w:rPr>
                <w:rFonts w:eastAsia="仿宋_GB2312"/>
                <w:kern w:val="0"/>
                <w:sz w:val="20"/>
                <w:szCs w:val="20"/>
                <w:lang w:bidi="ar"/>
              </w:rPr>
              <w:t>万元</w:t>
            </w:r>
          </w:p>
        </w:tc>
        <w:tc>
          <w:tcPr>
            <w:tcW w:w="21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5D8F" w:rsidRDefault="00995D8F">
            <w:pPr>
              <w:rPr>
                <w:rFonts w:eastAsia="仿宋_GB2312"/>
                <w:sz w:val="20"/>
                <w:szCs w:val="20"/>
              </w:rPr>
            </w:pPr>
          </w:p>
        </w:tc>
      </w:tr>
    </w:tbl>
    <w:p w:rsidR="00995D8F" w:rsidRDefault="00995D8F"/>
    <w:p w:rsidR="00995D8F" w:rsidRDefault="00995D8F"/>
    <w:p w:rsidR="00995D8F" w:rsidRDefault="00995D8F"/>
    <w:p w:rsidR="00995D8F" w:rsidRDefault="00995D8F"/>
    <w:sectPr w:rsidR="00995D8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76C6" w:rsidRDefault="006176C6">
      <w:r>
        <w:separator/>
      </w:r>
    </w:p>
  </w:endnote>
  <w:endnote w:type="continuationSeparator" w:id="0">
    <w:p w:rsidR="006176C6" w:rsidRDefault="00617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6176C6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D8F" w:rsidRDefault="006176C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" filled="f" stroked="f" strokeweight=".5pt">
              <v:textbox style="mso-fit-shape-to-text:t" inset="0,0,0,0">
                <w:txbxContent>
                  <w:p w:rsidR="00995D8F" w:rsidRDefault="006176C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6176C6">
    <w:pPr>
      <w:pStyle w:val="a4"/>
      <w:framePr w:wrap="around" w:vAnchor="text" w:hAnchor="margin" w:xAlign="outside" w:y="1"/>
      <w:ind w:firstLineChars="100" w:firstLine="280"/>
      <w:rPr>
        <w:rStyle w:val="a8"/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fldChar w:fldCharType="begin"/>
    </w:r>
    <w:r>
      <w:rPr>
        <w:rStyle w:val="a8"/>
        <w:rFonts w:ascii="宋体" w:hint="eastAsia"/>
        <w:sz w:val="28"/>
        <w:szCs w:val="28"/>
      </w:rPr>
      <w:instrText xml:space="preserve">PAGE  </w:instrText>
    </w:r>
    <w:r>
      <w:rPr>
        <w:rFonts w:ascii="宋体" w:hint="eastAsia"/>
        <w:sz w:val="28"/>
        <w:szCs w:val="28"/>
      </w:rPr>
      <w:fldChar w:fldCharType="separate"/>
    </w:r>
    <w:r>
      <w:rPr>
        <w:rStyle w:val="a8"/>
        <w:rFonts w:ascii="宋体"/>
        <w:sz w:val="28"/>
        <w:szCs w:val="28"/>
      </w:rPr>
      <w:t>- 6 -</w:t>
    </w:r>
    <w:r>
      <w:rPr>
        <w:rFonts w:ascii="宋体" w:hint="eastAsia"/>
        <w:sz w:val="28"/>
        <w:szCs w:val="28"/>
      </w:rPr>
      <w:fldChar w:fldCharType="end"/>
    </w:r>
  </w:p>
  <w:p w:rsidR="00995D8F" w:rsidRDefault="00995D8F">
    <w:pPr>
      <w:pStyle w:val="a4"/>
      <w:ind w:right="360"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6176C6">
    <w:pPr>
      <w:pStyle w:val="a4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D8F" w:rsidRDefault="006176C6">
                          <w:pPr>
                            <w:pStyle w:val="a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6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2in;height:2in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" filled="f" stroked="f" strokeweight=".5pt">
              <v:textbox style="mso-fit-shape-to-text:t" inset="0,0,0,0">
                <w:txbxContent>
                  <w:p w:rsidR="00995D8F" w:rsidRDefault="006176C6">
                    <w:pPr>
                      <w:pStyle w:val="a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6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995D8F">
    <w:pPr>
      <w:pStyle w:val="a4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6176C6">
    <w:pPr>
      <w:pStyle w:val="a4"/>
      <w:framePr w:wrap="around" w:vAnchor="text" w:hAnchor="margin" w:xAlign="outside" w:y="1"/>
      <w:ind w:firstLineChars="100" w:firstLine="280"/>
      <w:rPr>
        <w:rStyle w:val="a8"/>
        <w:rFonts w:ascii="宋体"/>
        <w:sz w:val="28"/>
        <w:szCs w:val="28"/>
      </w:rPr>
    </w:pPr>
    <w:r>
      <w:rPr>
        <w:rFonts w:ascii="宋体" w:hint="eastAsia"/>
        <w:sz w:val="28"/>
        <w:szCs w:val="28"/>
      </w:rPr>
      <w:fldChar w:fldCharType="begin"/>
    </w:r>
    <w:r>
      <w:rPr>
        <w:rStyle w:val="a8"/>
        <w:rFonts w:ascii="宋体" w:hint="eastAsia"/>
        <w:sz w:val="28"/>
        <w:szCs w:val="28"/>
      </w:rPr>
      <w:instrText xml:space="preserve">PAGE  </w:instrText>
    </w:r>
    <w:r>
      <w:rPr>
        <w:rFonts w:ascii="宋体" w:hint="eastAsia"/>
        <w:sz w:val="28"/>
        <w:szCs w:val="28"/>
      </w:rPr>
      <w:fldChar w:fldCharType="separate"/>
    </w:r>
    <w:r>
      <w:rPr>
        <w:rStyle w:val="a8"/>
        <w:rFonts w:ascii="宋体"/>
        <w:sz w:val="28"/>
        <w:szCs w:val="28"/>
      </w:rPr>
      <w:t>- 6 -</w:t>
    </w:r>
    <w:r>
      <w:rPr>
        <w:rFonts w:ascii="宋体" w:hint="eastAsia"/>
        <w:sz w:val="28"/>
        <w:szCs w:val="28"/>
      </w:rPr>
      <w:fldChar w:fldCharType="end"/>
    </w:r>
  </w:p>
  <w:p w:rsidR="00995D8F" w:rsidRDefault="00995D8F">
    <w:pPr>
      <w:pStyle w:val="a4"/>
      <w:ind w:right="360" w:firstLine="360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6176C6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995D8F" w:rsidRDefault="006176C6">
                          <w:pPr>
                            <w:pStyle w:val="a4"/>
                            <w:tabs>
                              <w:tab w:val="left" w:pos="720"/>
                            </w:tabs>
                            <w:ind w:rightChars="100" w:right="210"/>
                            <w:rPr>
                              <w:rStyle w:val="a8"/>
                              <w:rFonts w:ascii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a8"/>
                              <w:rFonts w:ascii="宋体" w:hint="eastAsia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a8"/>
                              <w:rFonts w:ascii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ascii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8" type="#_x0000_t202" style="position:absolute;left:0;text-align:left;margin-left:0;margin-top:0;width:2in;height:2in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" filled="f" stroked="f" strokeweight=".5pt">
              <v:textbox style="mso-fit-shape-to-text:t" inset="0,0,0,0">
                <w:txbxContent>
                  <w:p w:rsidR="00995D8F" w:rsidRDefault="006176C6">
                    <w:pPr>
                      <w:pStyle w:val="a4"/>
                      <w:tabs>
                        <w:tab w:val="left" w:pos="720"/>
                      </w:tabs>
                      <w:ind w:rightChars="100" w:right="210"/>
                      <w:rPr>
                        <w:rStyle w:val="a8"/>
                        <w:rFonts w:ascii="宋体"/>
                        <w:sz w:val="28"/>
                        <w:szCs w:val="28"/>
                      </w:rPr>
                    </w:pPr>
                    <w:r>
                      <w:rPr>
                        <w:rFonts w:ascii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a8"/>
                        <w:rFonts w:ascii="宋体" w:hint="eastAsia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a8"/>
                        <w:rFonts w:ascii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ascii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995D8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76C6" w:rsidRDefault="006176C6">
      <w:r>
        <w:separator/>
      </w:r>
    </w:p>
  </w:footnote>
  <w:footnote w:type="continuationSeparator" w:id="0">
    <w:p w:rsidR="006176C6" w:rsidRDefault="00617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995D8F">
    <w:pPr>
      <w:pStyle w:val="a5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995D8F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995D8F">
    <w:pPr>
      <w:pStyle w:val="a5"/>
      <w:pBdr>
        <w:bottom w:val="none" w:sz="0" w:space="0" w:color="auto"/>
      </w:pBdr>
      <w:ind w:right="360" w:firstLine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995D8F">
    <w:pPr>
      <w:pStyle w:val="a5"/>
      <w:pBdr>
        <w:bottom w:val="none" w:sz="0" w:space="0" w:color="auto"/>
      </w:pBd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995D8F">
    <w:pPr>
      <w:pStyle w:val="a5"/>
      <w:pBdr>
        <w:bottom w:val="none" w:sz="0" w:space="0" w:color="auto"/>
      </w:pBd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D8F" w:rsidRDefault="00995D8F">
    <w:pPr>
      <w:pStyle w:val="a5"/>
      <w:pBdr>
        <w:bottom w:val="none" w:sz="0" w:space="0" w:color="auto"/>
      </w:pBdr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7F1CB08C"/>
    <w:rsid w:val="79D93FC4"/>
    <w:rsid w:val="7F1CB08C"/>
    <w:rsid w:val="7FFEDD5F"/>
    <w:rsid w:val="EBFFE268"/>
    <w:rsid w:val="EF55BBF2"/>
    <w:rsid w:val="FFCF83DF"/>
    <w:rsid w:val="00081196"/>
    <w:rsid w:val="006176C6"/>
    <w:rsid w:val="0099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055F9EC"/>
  <w15:docId w15:val="{377248BD-08BA-4CC1-A135-319681ED2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qFormat/>
    <w:pPr>
      <w:ind w:firstLine="420"/>
    </w:pPr>
    <w:rPr>
      <w:rFonts w:ascii="仿宋_GB2312" w:eastAsia="仿宋_GB2312" w:cs="仿宋_GB2312"/>
      <w:sz w:val="32"/>
      <w:szCs w:val="32"/>
    </w:rPr>
  </w:style>
  <w:style w:type="paragraph" w:styleId="a3">
    <w:name w:val="Body Text Indent"/>
    <w:basedOn w:val="a"/>
    <w:qFormat/>
    <w:pPr>
      <w:ind w:firstLine="630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a7">
    <w:name w:val="Strong"/>
    <w:qFormat/>
    <w:rPr>
      <w:b/>
    </w:rPr>
  </w:style>
  <w:style w:type="character" w:styleId="a8">
    <w:name w:val="page number"/>
    <w:qFormat/>
  </w:style>
  <w:style w:type="paragraph" w:styleId="a9">
    <w:name w:val="Balloon Text"/>
    <w:basedOn w:val="a"/>
    <w:link w:val="aa"/>
    <w:rsid w:val="00081196"/>
    <w:rPr>
      <w:sz w:val="18"/>
      <w:szCs w:val="18"/>
    </w:rPr>
  </w:style>
  <w:style w:type="character" w:customStyle="1" w:styleId="aa">
    <w:name w:val="批注框文本 字符"/>
    <w:basedOn w:val="a0"/>
    <w:link w:val="a9"/>
    <w:rsid w:val="0008119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4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eader" Target="header3.xml"/><Relationship Id="rId17" Type="http://schemas.openxmlformats.org/officeDocument/2006/relationships/footer" Target="foot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935</Words>
  <Characters>5333</Characters>
  <Application>Microsoft Office Word</Application>
  <DocSecurity>0</DocSecurity>
  <Lines>44</Lines>
  <Paragraphs>12</Paragraphs>
  <ScaleCrop>false</ScaleCrop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山东省住房和城乡建设厅</dc:title>
  <dc:creator>user</dc:creator>
  <cp:lastModifiedBy>Lenovo</cp:lastModifiedBy>
  <cp:revision>2</cp:revision>
  <dcterms:created xsi:type="dcterms:W3CDTF">2022-06-23T19:18:00Z</dcterms:created>
  <dcterms:modified xsi:type="dcterms:W3CDTF">2022-06-27T07:58:00Z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2052-11.8.6.8556</vt:lpwstr>
  </property>
</Properties>
</file>