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outlineLvl w:val="9"/>
        <w:rPr>
          <w:rFonts w:hint="default" w:ascii="Times New Roman" w:hAnsi="Times New Roman" w:eastAsia="黑体" w:cs="Times New Roman"/>
          <w:caps w:val="0"/>
          <w:color w:val="auto"/>
          <w:sz w:val="32"/>
          <w:szCs w:val="32"/>
          <w:vertAlign w:val="baseline"/>
        </w:rPr>
      </w:pPr>
      <w:r>
        <w:rPr>
          <w:rFonts w:ascii="Times New Roman" w:hAnsi="宋体" w:eastAsia="黑体" w:cs="黑体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1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outlineLvl w:val="9"/>
        <w:rPr>
          <w:rFonts w:hint="eastAsia" w:ascii="Times New Roman" w:hAnsi="方正小标宋简体" w:eastAsia="方正小标宋简体" w:cs="方正小标宋简体"/>
          <w:caps w:val="0"/>
          <w:color w:val="auto"/>
          <w:sz w:val="44"/>
          <w:szCs w:val="44"/>
          <w:vertAlign w:val="baseline"/>
        </w:rPr>
      </w:pPr>
      <w:r>
        <w:rPr>
          <w:rFonts w:ascii="Times New Roman" w:hAnsi="方正小标宋简体" w:eastAsia="方正小标宋简体" w:cs="方正小标宋简体"/>
          <w:b w:val="0"/>
          <w:bCs w:val="0"/>
          <w:caps w:val="0"/>
          <w:color w:val="auto"/>
          <w:kern w:val="2"/>
          <w:sz w:val="44"/>
          <w:szCs w:val="44"/>
          <w:vertAlign w:val="baseline"/>
          <w:lang w:val="en-US" w:eastAsia="zh-CN" w:bidi="ar"/>
        </w:rPr>
        <w:t>黑龙江省住建系统不予行政处罚事项清单</w:t>
      </w:r>
    </w:p>
    <w:tbl>
      <w:tblPr>
        <w:tblW w:w="14827" w:type="dxa"/>
        <w:jc w:val="center"/>
        <w:tblInd w:w="-5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873"/>
        <w:gridCol w:w="2064"/>
        <w:gridCol w:w="1594"/>
        <w:gridCol w:w="5815"/>
        <w:gridCol w:w="2377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Times New Roman" w:hAnsi="宋体" w:eastAsia="黑体" w:cs="黑体"/>
                <w:caps w:val="0"/>
                <w:color w:val="auto"/>
                <w:sz w:val="22"/>
                <w:szCs w:val="22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黑体" w:cs="黑体"/>
                <w:b w:val="0"/>
                <w:bCs w:val="0"/>
                <w:caps w:val="0"/>
                <w:color w:val="auto"/>
                <w:kern w:val="2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Times New Roman" w:hAnsi="宋体" w:eastAsia="黑体" w:cs="黑体"/>
                <w:caps w:val="0"/>
                <w:color w:val="auto"/>
                <w:sz w:val="22"/>
                <w:szCs w:val="22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黑体" w:cs="黑体"/>
                <w:b w:val="0"/>
                <w:bCs w:val="0"/>
                <w:caps w:val="0"/>
                <w:color w:val="auto"/>
                <w:kern w:val="2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Times New Roman" w:hAnsi="宋体" w:eastAsia="黑体" w:cs="黑体"/>
                <w:caps w:val="0"/>
                <w:color w:val="auto"/>
                <w:sz w:val="22"/>
                <w:szCs w:val="22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黑体" w:cs="黑体"/>
                <w:b w:val="0"/>
                <w:bCs w:val="0"/>
                <w:caps w:val="0"/>
                <w:color w:val="auto"/>
                <w:kern w:val="2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领域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-105" w:leftChars="-50" w:right="-105" w:rightChars="-50" w:firstLine="0"/>
              <w:jc w:val="center"/>
              <w:outlineLvl w:val="9"/>
              <w:rPr>
                <w:rFonts w:hint="eastAsia" w:ascii="Times New Roman" w:hAnsi="宋体" w:eastAsia="黑体" w:cs="黑体"/>
                <w:caps w:val="0"/>
                <w:color w:val="auto"/>
                <w:sz w:val="22"/>
                <w:szCs w:val="22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黑体" w:cs="黑体"/>
                <w:b w:val="0"/>
                <w:bCs w:val="0"/>
                <w:caps w:val="0"/>
                <w:color w:val="auto"/>
                <w:kern w:val="2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不予行政处罚事项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Times New Roman" w:hAnsi="宋体" w:eastAsia="黑体" w:cs="黑体"/>
                <w:caps w:val="0"/>
                <w:color w:val="auto"/>
                <w:sz w:val="22"/>
                <w:szCs w:val="22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黑体" w:cs="黑体"/>
                <w:b w:val="0"/>
                <w:bCs w:val="0"/>
                <w:caps w:val="0"/>
                <w:color w:val="auto"/>
                <w:kern w:val="2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不予行政处罚的情形</w:t>
            </w:r>
          </w:p>
        </w:tc>
        <w:tc>
          <w:tcPr>
            <w:tcW w:w="5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Times New Roman" w:hAnsi="宋体" w:eastAsia="黑体" w:cs="黑体"/>
                <w:caps w:val="0"/>
                <w:color w:val="auto"/>
                <w:sz w:val="22"/>
                <w:szCs w:val="22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黑体" w:cs="黑体"/>
                <w:b w:val="0"/>
                <w:bCs w:val="0"/>
                <w:caps w:val="0"/>
                <w:color w:val="auto"/>
                <w:kern w:val="2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不予行政处罚的依据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Times New Roman" w:hAnsi="宋体" w:eastAsia="黑体" w:cs="黑体"/>
                <w:caps w:val="0"/>
                <w:color w:val="auto"/>
                <w:sz w:val="22"/>
                <w:szCs w:val="22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黑体" w:cs="黑体"/>
                <w:b w:val="0"/>
                <w:bCs w:val="0"/>
                <w:caps w:val="0"/>
                <w:color w:val="auto"/>
                <w:kern w:val="2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配套措施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Times New Roman" w:hAnsi="宋体" w:eastAsia="黑体" w:cs="黑体"/>
                <w:caps w:val="0"/>
                <w:color w:val="auto"/>
                <w:sz w:val="22"/>
                <w:szCs w:val="22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黑体" w:cs="黑体"/>
                <w:b w:val="0"/>
                <w:bCs w:val="0"/>
                <w:caps w:val="0"/>
                <w:color w:val="auto"/>
                <w:kern w:val="2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权利层级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  <w:jc w:val="center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default" w:ascii="Times New Roman" w:hAnsi="Times New Roman" w:eastAsia="宋体" w:cs="Times New Roman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住房和城乡建设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工程监理企业、注册造价工程师、注册建造师、注册建筑师、注册房地产估价师或聘用单位、建筑业企业、勘查设计企业未按照规定提供信用档案信息的处罚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限期内改正</w:t>
            </w:r>
          </w:p>
        </w:tc>
        <w:tc>
          <w:tcPr>
            <w:tcW w:w="5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1.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《建筑业企业资质管理规定》三十二条、四十条；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《建设工程勘察设计资质管理规定》第二十九条、第三十三条；《工程监理企业资质管理规定》第二十六条、第三十一条；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《注册造价工程师管理规定》第三十条、第三十七条；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《注册建造师管理规定》第三十二条、第三十八条；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《注册建筑师实施条例细则》第三十九条、第四十五条；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《注册房地产估价师管理办法》第三十二条、第三十九条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2.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《行政处罚法》第三十三条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开展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“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双随机、一公开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”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监管，依法查处违法违规行为并公开结果。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default" w:ascii="Times New Roman" w:hAnsi="Times New Roman" w:eastAsia="宋体" w:cs="Times New Roman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住房和城乡建设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省级权限内建筑业、工程监理企业未及时办理资质变更手续的处罚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限期内改正</w:t>
            </w:r>
          </w:p>
        </w:tc>
        <w:tc>
          <w:tcPr>
            <w:tcW w:w="5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1.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《建筑业企业资质管理规定》三十八条；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200" w:firstLineChars="10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《工程监理企业资质管理规定》第三十条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2.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《行政处罚法》第三十三条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开展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“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双随机、一公开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”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监管，依法查处违法违规行为并公开结果。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default" w:ascii="Times New Roman" w:hAnsi="Times New Roman" w:eastAsia="宋体" w:cs="Times New Roman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住房和城乡建设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开发企业未办理跨区备案手续的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违法行为轻微且没有危害后果，并在限期内改正</w:t>
            </w:r>
          </w:p>
        </w:tc>
        <w:tc>
          <w:tcPr>
            <w:tcW w:w="5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default" w:ascii="Times New Roman" w:hAnsi="Times New Roman" w:eastAsia="宋体" w:cs="Times New Roman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1.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《黑龙江省城市房地产开发管理条例》第三十三条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“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违反本条例第十二条规定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,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开发企业未办理跨区备案手续的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,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由开发主管部门责令限期改正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,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并处以二千元至一万元的罚款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”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2.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《行政处罚法》第三十三条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开展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“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双随机、一公开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”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监管，依法查处违法违规行为并公开结果。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市级、县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(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区）级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default" w:ascii="Times New Roman" w:hAnsi="Times New Roman" w:eastAsia="宋体" w:cs="Times New Roman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住房和城乡建设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装修人未申报登记进行住宅室内装饰装修活动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违法行为轻微且没有危害后果，并在限期内改正</w:t>
            </w:r>
          </w:p>
        </w:tc>
        <w:tc>
          <w:tcPr>
            <w:tcW w:w="5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1.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《住宅室内装饰装修管理办法》第三十五条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“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装修人未申报登记进行住宅室内装饰装修活动的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,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由城市房地产行政主管部门责令改正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,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处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 xml:space="preserve"> 5 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百元以上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 xml:space="preserve"> 1 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千元以下的罚款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”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2.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《行政处罚法》第三十三条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采用说服教育、行政约谈等方式，加强法制宣传，提高业主依法装修的意识。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市级、县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(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区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)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级、街道办事处或者乡镇政府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default" w:ascii="Times New Roman" w:hAnsi="Times New Roman" w:eastAsia="宋体" w:cs="Times New Roman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城市管理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不按规定的时间、地点倾倒垃圾、污水、粪便的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”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（不包括乱扔动物尸体的）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违法行为轻微且没有危害后果，并在限期内改正</w:t>
            </w:r>
          </w:p>
        </w:tc>
        <w:tc>
          <w:tcPr>
            <w:tcW w:w="5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default" w:ascii="Times New Roman" w:hAnsi="Times New Roman" w:eastAsia="宋体" w:cs="Times New Roman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1.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《黑龙江省城市市容和环境卫生管理条例》第四十二条第十五项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“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不按规定的时间、地点倾倒垃圾、污水、粪便，乱扔动物尸体的，责令自行清除，并处以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50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元以上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200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元以下罚款；情节严重的，处以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200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元以上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1000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元以下罚款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”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2.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《行政处罚法》第三十三条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日常巡查，依法查处违法违规行为并公开结果。采用说服教育、行政约谈等方式，加强法制宣传。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市级、县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(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区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)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级、街道办事处或者乡镇政府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134" w:right="1701" w:bottom="1701" w:left="1701" w:header="851" w:footer="992" w:gutter="0"/>
      <w:paperSrc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formProt w:val="0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102CE"/>
    <w:rsid w:val="6201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2022-06-17T05:59:00Z</dcterms:created>
  <dc:creator>gyb1</dc:creator>
  <cp:lastModifiedBy>gyb1</cp:lastModifiedBy>
  <dcterms:modified xsi:type="dcterms:W3CDTF">2022-06-17T06:00:48Z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2052-10.8.0.6220</vt:lpwstr>
  </property>
</Properties>
</file>