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F8" w:rsidRDefault="005976F8">
      <w:pPr>
        <w:adjustRightInd w:val="0"/>
        <w:snapToGrid w:val="0"/>
        <w:rPr>
          <w:rFonts w:ascii="黑体" w:eastAsia="黑体" w:hAnsi="黑体" w:cs="黑体"/>
          <w:sz w:val="32"/>
          <w:szCs w:val="32"/>
        </w:rPr>
      </w:pPr>
      <w:bookmarkStart w:id="0" w:name="_GoBack"/>
      <w:bookmarkEnd w:id="0"/>
      <w:r>
        <w:rPr>
          <w:rFonts w:ascii="黑体" w:eastAsia="黑体" w:hAnsi="黑体" w:cs="黑体" w:hint="eastAsia"/>
          <w:sz w:val="32"/>
          <w:szCs w:val="32"/>
        </w:rPr>
        <w:t>附件1：</w:t>
      </w:r>
    </w:p>
    <w:p w:rsidR="005976F8" w:rsidRDefault="005976F8">
      <w:pPr>
        <w:adjustRightInd w:val="0"/>
        <w:snapToGrid w:val="0"/>
        <w:spacing w:line="360" w:lineRule="auto"/>
        <w:rPr>
          <w:rFonts w:ascii="仿宋_GB2312" w:eastAsia="仿宋_GB2312" w:hAnsi="仿宋_GB2312" w:cs="仿宋_GB2312"/>
          <w:sz w:val="32"/>
          <w:szCs w:val="32"/>
        </w:rPr>
      </w:pPr>
    </w:p>
    <w:p w:rsidR="005976F8" w:rsidRDefault="005976F8">
      <w:pPr>
        <w:jc w:val="center"/>
        <w:rPr>
          <w:b/>
          <w:bCs/>
          <w:sz w:val="44"/>
          <w:szCs w:val="44"/>
        </w:rPr>
      </w:pPr>
      <w:r>
        <w:rPr>
          <w:rFonts w:hint="eastAsia"/>
          <w:b/>
          <w:bCs/>
          <w:sz w:val="44"/>
          <w:szCs w:val="44"/>
        </w:rPr>
        <w:t>山东省“技能兴鲁”职业技能大赛——钢结构</w:t>
      </w:r>
    </w:p>
    <w:p w:rsidR="005976F8" w:rsidRDefault="005976F8">
      <w:pPr>
        <w:jc w:val="center"/>
        <w:rPr>
          <w:b/>
          <w:bCs/>
          <w:sz w:val="36"/>
          <w:szCs w:val="32"/>
        </w:rPr>
      </w:pPr>
      <w:r>
        <w:rPr>
          <w:rFonts w:hint="eastAsia"/>
          <w:b/>
          <w:bCs/>
          <w:sz w:val="44"/>
          <w:szCs w:val="44"/>
        </w:rPr>
        <w:t>建造技能竞赛技术标准</w:t>
      </w:r>
    </w:p>
    <w:p w:rsidR="005976F8" w:rsidRDefault="005976F8">
      <w:pPr>
        <w:rPr>
          <w:rFonts w:ascii="黑体" w:eastAsia="黑体" w:hAnsi="黑体" w:cs="黑体"/>
          <w:sz w:val="32"/>
          <w:szCs w:val="32"/>
        </w:rPr>
      </w:pPr>
    </w:p>
    <w:p w:rsidR="005976F8" w:rsidRDefault="005976F8">
      <w:pPr>
        <w:ind w:firstLineChars="200" w:firstLine="640"/>
        <w:rPr>
          <w:rFonts w:ascii="黑体" w:eastAsia="黑体" w:hAnsi="黑体" w:cs="黑体"/>
          <w:sz w:val="32"/>
          <w:szCs w:val="32"/>
        </w:rPr>
      </w:pPr>
      <w:r>
        <w:rPr>
          <w:rFonts w:ascii="黑体" w:eastAsia="黑体" w:hAnsi="黑体" w:cs="黑体" w:hint="eastAsia"/>
          <w:sz w:val="32"/>
          <w:szCs w:val="32"/>
        </w:rPr>
        <w:t>一、理论竞赛内容及要求</w:t>
      </w:r>
    </w:p>
    <w:p w:rsidR="005976F8" w:rsidRDefault="005976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1.理论竞赛以闭卷方式，采用计算机无纸化考试系统进行，竞赛时间为60分钟。</w:t>
      </w:r>
    </w:p>
    <w:p w:rsidR="005976F8" w:rsidRDefault="005976F8">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2.竞赛内容：涵盖智能建造、装配式建造、焊接材料、焊接工艺、焊接器械等方面的知识，考试题库另行公布</w:t>
      </w:r>
      <w:r>
        <w:rPr>
          <w:rFonts w:ascii="仿宋_GB2312" w:eastAsia="仿宋_GB2312" w:hAnsi="仿宋_GB2312" w:cs="仿宋_GB2312" w:hint="eastAsia"/>
          <w:color w:val="FF0000"/>
          <w:sz w:val="32"/>
          <w:szCs w:val="32"/>
        </w:rPr>
        <w:t>。</w:t>
      </w:r>
    </w:p>
    <w:p w:rsidR="005976F8" w:rsidRDefault="005976F8">
      <w:pPr>
        <w:ind w:firstLineChars="200" w:firstLine="640"/>
        <w:rPr>
          <w:rFonts w:ascii="仿宋_GB2312" w:eastAsia="仿宋_GB2312" w:hAnsi="仿宋_GB2312" w:cs="仿宋_GB2312"/>
          <w:spacing w:val="-5"/>
          <w:sz w:val="32"/>
          <w:szCs w:val="32"/>
        </w:rPr>
      </w:pPr>
      <w:r>
        <w:rPr>
          <w:rFonts w:ascii="仿宋_GB2312" w:eastAsia="仿宋_GB2312" w:hAnsi="仿宋_GB2312" w:cs="仿宋_GB2312" w:hint="eastAsia"/>
          <w:sz w:val="32"/>
          <w:szCs w:val="32"/>
        </w:rPr>
        <w:t>3.考试题目类型及配分：判断题50题(每题0.8分)、单项选</w:t>
      </w:r>
      <w:r>
        <w:rPr>
          <w:rFonts w:ascii="仿宋_GB2312" w:eastAsia="仿宋_GB2312" w:hAnsi="仿宋_GB2312" w:cs="仿宋_GB2312" w:hint="eastAsia"/>
          <w:spacing w:val="-5"/>
          <w:sz w:val="32"/>
          <w:szCs w:val="32"/>
        </w:rPr>
        <w:t>择题</w:t>
      </w:r>
      <w:r>
        <w:rPr>
          <w:rFonts w:ascii="仿宋_GB2312" w:eastAsia="仿宋_GB2312" w:hAnsi="仿宋_GB2312" w:cs="仿宋_GB2312" w:hint="eastAsia"/>
          <w:sz w:val="32"/>
          <w:szCs w:val="32"/>
        </w:rPr>
        <w:t>50</w:t>
      </w:r>
      <w:r>
        <w:rPr>
          <w:rFonts w:ascii="仿宋_GB2312" w:eastAsia="仿宋_GB2312" w:hAnsi="仿宋_GB2312" w:cs="仿宋_GB2312" w:hint="eastAsia"/>
          <w:spacing w:val="-6"/>
          <w:sz w:val="32"/>
          <w:szCs w:val="32"/>
        </w:rPr>
        <w:t>题(每题</w:t>
      </w:r>
      <w:r>
        <w:rPr>
          <w:rFonts w:ascii="仿宋_GB2312" w:eastAsia="仿宋_GB2312" w:hAnsi="仿宋_GB2312" w:cs="仿宋_GB2312" w:hint="eastAsia"/>
          <w:sz w:val="32"/>
          <w:szCs w:val="32"/>
        </w:rPr>
        <w:t>0.8</w:t>
      </w:r>
      <w:r>
        <w:rPr>
          <w:rFonts w:ascii="仿宋_GB2312" w:eastAsia="仿宋_GB2312" w:hAnsi="仿宋_GB2312" w:cs="仿宋_GB2312" w:hint="eastAsia"/>
          <w:spacing w:val="-5"/>
          <w:sz w:val="32"/>
          <w:szCs w:val="32"/>
        </w:rPr>
        <w:t>分)、多项选择题</w:t>
      </w:r>
      <w:r>
        <w:rPr>
          <w:rFonts w:ascii="仿宋_GB2312" w:eastAsia="仿宋_GB2312" w:hAnsi="仿宋_GB2312" w:cs="仿宋_GB2312" w:hint="eastAsia"/>
          <w:sz w:val="32"/>
          <w:szCs w:val="32"/>
        </w:rPr>
        <w:t>20</w:t>
      </w:r>
      <w:r>
        <w:rPr>
          <w:rFonts w:ascii="仿宋_GB2312" w:eastAsia="仿宋_GB2312" w:hAnsi="仿宋_GB2312" w:cs="仿宋_GB2312" w:hint="eastAsia"/>
          <w:spacing w:val="-6"/>
          <w:sz w:val="32"/>
          <w:szCs w:val="32"/>
        </w:rPr>
        <w:t>题(每题</w:t>
      </w:r>
      <w:r>
        <w:rPr>
          <w:rFonts w:ascii="仿宋_GB2312" w:eastAsia="仿宋_GB2312" w:hAnsi="仿宋_GB2312" w:cs="仿宋_GB2312" w:hint="eastAsia"/>
          <w:sz w:val="32"/>
          <w:szCs w:val="32"/>
        </w:rPr>
        <w:t>1</w:t>
      </w:r>
      <w:r>
        <w:rPr>
          <w:rFonts w:ascii="仿宋_GB2312" w:eastAsia="仿宋_GB2312" w:hAnsi="仿宋_GB2312" w:cs="仿宋_GB2312" w:hint="eastAsia"/>
          <w:spacing w:val="-5"/>
          <w:sz w:val="32"/>
          <w:szCs w:val="32"/>
        </w:rPr>
        <w:t>分)。</w:t>
      </w:r>
    </w:p>
    <w:p w:rsidR="005976F8" w:rsidRDefault="005976F8">
      <w:pPr>
        <w:ind w:firstLineChars="200" w:firstLine="640"/>
        <w:rPr>
          <w:rFonts w:ascii="黑体" w:eastAsia="黑体" w:hAnsi="黑体" w:cs="黑体"/>
          <w:sz w:val="32"/>
          <w:szCs w:val="32"/>
        </w:rPr>
      </w:pPr>
      <w:r>
        <w:rPr>
          <w:rFonts w:ascii="黑体" w:eastAsia="黑体" w:hAnsi="黑体" w:cs="黑体" w:hint="eastAsia"/>
          <w:sz w:val="32"/>
          <w:szCs w:val="32"/>
        </w:rPr>
        <w:t>二、实际操作竞赛项目及要求</w:t>
      </w:r>
    </w:p>
    <w:p w:rsidR="005976F8" w:rsidRDefault="005976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实际操作竞赛为2个项目，如表1、图1所示。</w:t>
      </w:r>
    </w:p>
    <w:p w:rsidR="005976F8" w:rsidRDefault="005976F8">
      <w:pPr>
        <w:jc w:val="center"/>
        <w:rPr>
          <w:rFonts w:ascii="楷体" w:eastAsia="楷体" w:hAnsi="楷体" w:cs="楷体"/>
          <w:sz w:val="28"/>
          <w:szCs w:val="28"/>
        </w:rPr>
      </w:pPr>
      <w:r>
        <w:rPr>
          <w:rFonts w:ascii="楷体" w:eastAsia="楷体" w:hAnsi="楷体" w:cs="楷体" w:hint="eastAsia"/>
          <w:sz w:val="28"/>
          <w:szCs w:val="28"/>
        </w:rPr>
        <w:t>表1  实际操作竞赛项目</w:t>
      </w:r>
    </w:p>
    <w:tbl>
      <w:tblPr>
        <w:tblW w:w="5000" w:type="pct"/>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1103"/>
        <w:gridCol w:w="616"/>
        <w:gridCol w:w="958"/>
        <w:gridCol w:w="1570"/>
        <w:gridCol w:w="1111"/>
        <w:gridCol w:w="1955"/>
        <w:gridCol w:w="1479"/>
      </w:tblGrid>
      <w:tr w:rsidR="005976F8" w:rsidRPr="005976F8" w:rsidTr="005976F8">
        <w:trPr>
          <w:trHeight w:val="1035"/>
          <w:jc w:val="center"/>
        </w:trPr>
        <w:tc>
          <w:tcPr>
            <w:tcW w:w="636" w:type="pct"/>
            <w:tcBorders>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w w:val="95"/>
                <w:kern w:val="0"/>
                <w:sz w:val="24"/>
                <w:lang w:eastAsia="en-US"/>
              </w:rPr>
              <w:t>竞赛项目</w:t>
            </w:r>
          </w:p>
        </w:tc>
        <w:tc>
          <w:tcPr>
            <w:tcW w:w="359"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焊接位置</w:t>
            </w:r>
          </w:p>
        </w:tc>
        <w:tc>
          <w:tcPr>
            <w:tcW w:w="553"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材质</w:t>
            </w:r>
          </w:p>
        </w:tc>
        <w:tc>
          <w:tcPr>
            <w:tcW w:w="843"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w w:val="95"/>
                <w:kern w:val="0"/>
                <w:sz w:val="24"/>
                <w:lang w:eastAsia="en-US"/>
              </w:rPr>
              <w:t>试件规格</w:t>
            </w:r>
          </w:p>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w:t>
            </w:r>
            <w:r w:rsidRPr="005976F8">
              <w:rPr>
                <w:rFonts w:ascii="仿宋" w:hAnsi="仿宋"/>
                <w:kern w:val="0"/>
                <w:sz w:val="24"/>
                <w:lang w:eastAsia="en-US"/>
              </w:rPr>
              <w:t>mm</w:t>
            </w:r>
            <w:r w:rsidRPr="005976F8">
              <w:rPr>
                <w:rFonts w:ascii="仿宋" w:hAnsi="仿宋"/>
                <w:kern w:val="0"/>
                <w:sz w:val="24"/>
                <w:lang w:eastAsia="en-US"/>
              </w:rPr>
              <w:t>）</w:t>
            </w:r>
          </w:p>
        </w:tc>
        <w:tc>
          <w:tcPr>
            <w:tcW w:w="640"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焊接方法</w:t>
            </w:r>
          </w:p>
        </w:tc>
        <w:tc>
          <w:tcPr>
            <w:tcW w:w="1120"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rPr>
            </w:pPr>
            <w:r w:rsidRPr="005976F8">
              <w:rPr>
                <w:rFonts w:ascii="仿宋" w:hAnsi="仿宋"/>
                <w:kern w:val="0"/>
                <w:sz w:val="24"/>
              </w:rPr>
              <w:t>焊材型号及规格</w:t>
            </w:r>
          </w:p>
          <w:p w:rsidR="005976F8" w:rsidRPr="005976F8" w:rsidRDefault="005976F8" w:rsidP="005976F8">
            <w:pPr>
              <w:autoSpaceDE w:val="0"/>
              <w:autoSpaceDN w:val="0"/>
              <w:jc w:val="center"/>
              <w:rPr>
                <w:rFonts w:ascii="仿宋" w:hAnsi="仿宋"/>
                <w:kern w:val="0"/>
                <w:sz w:val="24"/>
              </w:rPr>
            </w:pPr>
            <w:r w:rsidRPr="005976F8">
              <w:rPr>
                <w:rFonts w:ascii="仿宋" w:hAnsi="仿宋"/>
                <w:kern w:val="0"/>
                <w:sz w:val="24"/>
              </w:rPr>
              <w:t>（</w:t>
            </w:r>
            <w:r w:rsidRPr="005976F8">
              <w:rPr>
                <w:rFonts w:ascii="仿宋" w:hAnsi="仿宋"/>
                <w:kern w:val="0"/>
                <w:sz w:val="24"/>
              </w:rPr>
              <w:t>mm</w:t>
            </w:r>
            <w:r w:rsidRPr="005976F8">
              <w:rPr>
                <w:rFonts w:ascii="仿宋" w:hAnsi="仿宋"/>
                <w:kern w:val="0"/>
                <w:sz w:val="24"/>
              </w:rPr>
              <w:t>）</w:t>
            </w:r>
          </w:p>
        </w:tc>
        <w:tc>
          <w:tcPr>
            <w:tcW w:w="849" w:type="pct"/>
            <w:tcBorders>
              <w:left w:val="single" w:sz="4" w:space="0" w:color="000000"/>
              <w:bottom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V</w:t>
            </w:r>
            <w:r w:rsidRPr="005976F8">
              <w:rPr>
                <w:rFonts w:ascii="仿宋" w:hAnsi="仿宋"/>
                <w:kern w:val="0"/>
                <w:sz w:val="24"/>
                <w:lang w:eastAsia="en-US"/>
              </w:rPr>
              <w:t>形坡口角度</w:t>
            </w:r>
          </w:p>
        </w:tc>
      </w:tr>
      <w:tr w:rsidR="005976F8" w:rsidRPr="005976F8" w:rsidTr="005976F8">
        <w:trPr>
          <w:trHeight w:val="1297"/>
          <w:jc w:val="center"/>
        </w:trPr>
        <w:tc>
          <w:tcPr>
            <w:tcW w:w="636" w:type="pct"/>
            <w:tcBorders>
              <w:top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w w:val="95"/>
                <w:kern w:val="0"/>
                <w:sz w:val="24"/>
                <w:lang w:eastAsia="en-US"/>
              </w:rPr>
              <w:t>板材对接</w:t>
            </w:r>
          </w:p>
        </w:tc>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2G</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Q235B</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300×125×10</w:t>
            </w:r>
          </w:p>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（一对）</w:t>
            </w:r>
          </w:p>
        </w:tc>
        <w:tc>
          <w:tcPr>
            <w:tcW w:w="6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GMAW</w:t>
            </w:r>
          </w:p>
        </w:tc>
        <w:tc>
          <w:tcPr>
            <w:tcW w:w="1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ER50-6</w:t>
            </w:r>
            <w:r w:rsidRPr="005976F8">
              <w:rPr>
                <w:rFonts w:ascii="仿宋" w:hAnsi="仿宋"/>
                <w:kern w:val="0"/>
                <w:sz w:val="24"/>
                <w:lang w:eastAsia="en-US"/>
              </w:rPr>
              <w:tab/>
              <w:t>Ф1.2</w:t>
            </w:r>
          </w:p>
        </w:tc>
        <w:tc>
          <w:tcPr>
            <w:tcW w:w="849" w:type="pct"/>
            <w:tcBorders>
              <w:top w:val="single" w:sz="4" w:space="0" w:color="000000"/>
              <w:left w:val="single" w:sz="4" w:space="0" w:color="000000"/>
              <w:bottom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单侧：</w:t>
            </w:r>
            <w:r w:rsidRPr="005976F8">
              <w:rPr>
                <w:rFonts w:ascii="仿宋" w:hAnsi="仿宋"/>
                <w:kern w:val="0"/>
                <w:sz w:val="24"/>
                <w:lang w:eastAsia="en-US"/>
              </w:rPr>
              <w:t>31±1°</w:t>
            </w:r>
          </w:p>
        </w:tc>
      </w:tr>
      <w:tr w:rsidR="005976F8" w:rsidRPr="005976F8" w:rsidTr="005976F8">
        <w:trPr>
          <w:trHeight w:val="1670"/>
          <w:jc w:val="center"/>
        </w:trPr>
        <w:tc>
          <w:tcPr>
            <w:tcW w:w="636" w:type="pct"/>
            <w:tcBorders>
              <w:top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w w:val="95"/>
                <w:kern w:val="0"/>
                <w:sz w:val="24"/>
                <w:lang w:eastAsia="en-US"/>
              </w:rPr>
              <w:lastRenderedPageBreak/>
              <w:t>管材对接</w:t>
            </w:r>
          </w:p>
        </w:tc>
        <w:tc>
          <w:tcPr>
            <w:tcW w:w="359" w:type="pc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5G</w:t>
            </w:r>
          </w:p>
        </w:tc>
        <w:tc>
          <w:tcPr>
            <w:tcW w:w="553" w:type="pc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20#</w:t>
            </w:r>
          </w:p>
        </w:tc>
        <w:tc>
          <w:tcPr>
            <w:tcW w:w="843" w:type="pc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Ф108×8×100</w:t>
            </w:r>
          </w:p>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（一对）</w:t>
            </w:r>
          </w:p>
        </w:tc>
        <w:tc>
          <w:tcPr>
            <w:tcW w:w="640" w:type="pc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SMAW</w:t>
            </w:r>
          </w:p>
        </w:tc>
        <w:tc>
          <w:tcPr>
            <w:tcW w:w="1120" w:type="pc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E4303</w:t>
            </w:r>
            <w:r w:rsidRPr="005976F8">
              <w:rPr>
                <w:rFonts w:ascii="仿宋" w:hAnsi="仿宋"/>
                <w:kern w:val="0"/>
                <w:sz w:val="24"/>
                <w:lang w:eastAsia="en-US"/>
              </w:rPr>
              <w:tab/>
              <w:t>Ф2.5</w:t>
            </w:r>
            <w:r w:rsidRPr="005976F8">
              <w:rPr>
                <w:rFonts w:ascii="仿宋" w:hAnsi="仿宋"/>
                <w:spacing w:val="-17"/>
                <w:kern w:val="0"/>
                <w:sz w:val="24"/>
                <w:lang w:eastAsia="en-US"/>
              </w:rPr>
              <w:t>、</w:t>
            </w:r>
            <w:r w:rsidRPr="005976F8">
              <w:rPr>
                <w:rFonts w:ascii="仿宋" w:hAnsi="仿宋"/>
                <w:kern w:val="0"/>
                <w:sz w:val="24"/>
                <w:lang w:eastAsia="en-US"/>
              </w:rPr>
              <w:t>Ф3.2</w:t>
            </w:r>
          </w:p>
        </w:tc>
        <w:tc>
          <w:tcPr>
            <w:tcW w:w="849" w:type="pct"/>
            <w:tcBorders>
              <w:top w:val="single" w:sz="4" w:space="0" w:color="000000"/>
              <w:lef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单侧：</w:t>
            </w:r>
            <w:r w:rsidRPr="005976F8">
              <w:rPr>
                <w:rFonts w:ascii="仿宋" w:hAnsi="仿宋"/>
                <w:kern w:val="0"/>
                <w:sz w:val="24"/>
                <w:lang w:eastAsia="en-US"/>
              </w:rPr>
              <w:t>31±1</w:t>
            </w:r>
            <w:r w:rsidRPr="005976F8">
              <w:rPr>
                <w:rFonts w:cs="Calibri"/>
                <w:kern w:val="0"/>
                <w:sz w:val="24"/>
                <w:lang w:eastAsia="en-US"/>
              </w:rPr>
              <w:t>º</w:t>
            </w:r>
          </w:p>
        </w:tc>
      </w:tr>
    </w:tbl>
    <w:p w:rsidR="005976F8" w:rsidRDefault="00960CCC">
      <w:pPr>
        <w:pStyle w:val="a3"/>
        <w:spacing w:before="14"/>
        <w:ind w:left="0"/>
        <w:jc w:val="center"/>
        <w:rPr>
          <w:rFonts w:ascii="仿宋" w:eastAsia="仿宋" w:hAnsi="仿宋"/>
          <w:b/>
          <w:sz w:val="25"/>
        </w:rPr>
      </w:pPr>
      <w:r>
        <w:rPr>
          <w:rFonts w:ascii="仿宋" w:eastAsia="仿宋" w:hAnsi="仿宋"/>
          <w:noProof/>
        </w:rPr>
        <w:drawing>
          <wp:inline distT="0" distB="0" distL="0" distR="0">
            <wp:extent cx="2479675" cy="19526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9675" cy="1952625"/>
                    </a:xfrm>
                    <a:prstGeom prst="rect">
                      <a:avLst/>
                    </a:prstGeom>
                    <a:noFill/>
                    <a:ln>
                      <a:noFill/>
                    </a:ln>
                  </pic:spPr>
                </pic:pic>
              </a:graphicData>
            </a:graphic>
          </wp:inline>
        </w:drawing>
      </w:r>
      <w:r w:rsidR="005976F8">
        <w:rPr>
          <w:rFonts w:ascii="仿宋" w:eastAsia="仿宋" w:hAnsi="仿宋" w:hint="eastAsia"/>
          <w:b/>
          <w:sz w:val="25"/>
        </w:rPr>
        <w:t xml:space="preserve"> </w:t>
      </w:r>
      <w:r w:rsidR="005976F8">
        <w:rPr>
          <w:rFonts w:ascii="仿宋" w:eastAsia="仿宋" w:hAnsi="仿宋" w:hint="eastAsia"/>
          <w:b/>
          <w:sz w:val="25"/>
          <w:lang w:val="en-US"/>
        </w:rPr>
        <w:t xml:space="preserve">      </w:t>
      </w:r>
      <w:r>
        <w:rPr>
          <w:rFonts w:ascii="仿宋" w:eastAsia="仿宋" w:hAnsi="仿宋"/>
          <w:noProof/>
        </w:rPr>
        <w:drawing>
          <wp:inline distT="0" distB="0" distL="0" distR="0">
            <wp:extent cx="2339340" cy="1276985"/>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9340" cy="1276985"/>
                    </a:xfrm>
                    <a:prstGeom prst="rect">
                      <a:avLst/>
                    </a:prstGeom>
                    <a:noFill/>
                    <a:ln>
                      <a:noFill/>
                    </a:ln>
                  </pic:spPr>
                </pic:pic>
              </a:graphicData>
            </a:graphic>
          </wp:inline>
        </w:drawing>
      </w:r>
    </w:p>
    <w:p w:rsidR="005976F8" w:rsidRDefault="005976F8">
      <w:pPr>
        <w:ind w:firstLine="480"/>
        <w:jc w:val="center"/>
        <w:rPr>
          <w:rFonts w:ascii="仿宋" w:hAnsi="仿宋"/>
          <w:b/>
          <w:bCs/>
        </w:rPr>
      </w:pPr>
      <w:r>
        <w:rPr>
          <w:rFonts w:ascii="仿宋" w:hAnsi="仿宋"/>
          <w:b/>
          <w:bCs/>
        </w:rPr>
        <w:t>项目</w:t>
      </w:r>
      <w:r>
        <w:rPr>
          <w:rFonts w:ascii="仿宋" w:hAnsi="仿宋"/>
          <w:b/>
          <w:bCs/>
        </w:rPr>
        <w:t xml:space="preserve">1 </w:t>
      </w:r>
      <w:r>
        <w:rPr>
          <w:rFonts w:ascii="仿宋" w:hAnsi="仿宋"/>
          <w:b/>
          <w:bCs/>
        </w:rPr>
        <w:t>板对接</w:t>
      </w:r>
      <w:r>
        <w:rPr>
          <w:rFonts w:ascii="仿宋" w:hAnsi="仿宋"/>
          <w:b/>
          <w:bCs/>
        </w:rPr>
        <w:t>2G</w:t>
      </w:r>
      <w:r>
        <w:rPr>
          <w:rFonts w:ascii="仿宋" w:hAnsi="仿宋"/>
          <w:b/>
          <w:bCs/>
        </w:rPr>
        <w:tab/>
      </w:r>
      <w:r>
        <w:rPr>
          <w:rFonts w:ascii="仿宋" w:hAnsi="仿宋"/>
        </w:rPr>
        <w:tab/>
      </w:r>
      <w:r>
        <w:rPr>
          <w:rFonts w:ascii="仿宋" w:hAnsi="仿宋"/>
        </w:rPr>
        <w:tab/>
      </w:r>
      <w:r>
        <w:rPr>
          <w:rFonts w:ascii="仿宋" w:hAnsi="仿宋"/>
        </w:rPr>
        <w:tab/>
      </w:r>
      <w:r>
        <w:rPr>
          <w:rFonts w:ascii="仿宋" w:hAnsi="仿宋"/>
        </w:rPr>
        <w:tab/>
      </w:r>
      <w:r>
        <w:rPr>
          <w:rFonts w:ascii="仿宋" w:hAnsi="仿宋"/>
          <w:b/>
          <w:bCs/>
        </w:rPr>
        <w:tab/>
      </w:r>
      <w:r>
        <w:rPr>
          <w:rFonts w:ascii="仿宋" w:hAnsi="仿宋" w:hint="eastAsia"/>
          <w:b/>
          <w:bCs/>
        </w:rPr>
        <w:t xml:space="preserve">           </w:t>
      </w:r>
      <w:r>
        <w:rPr>
          <w:rFonts w:ascii="仿宋" w:hAnsi="仿宋"/>
          <w:b/>
          <w:bCs/>
        </w:rPr>
        <w:t>项目</w:t>
      </w:r>
      <w:r>
        <w:rPr>
          <w:rFonts w:ascii="仿宋" w:hAnsi="仿宋"/>
          <w:b/>
          <w:bCs/>
        </w:rPr>
        <w:t xml:space="preserve">2 </w:t>
      </w:r>
      <w:r>
        <w:rPr>
          <w:rFonts w:ascii="仿宋" w:hAnsi="仿宋"/>
          <w:b/>
          <w:bCs/>
        </w:rPr>
        <w:t>管对接</w:t>
      </w:r>
      <w:r>
        <w:rPr>
          <w:rFonts w:ascii="仿宋" w:hAnsi="仿宋"/>
          <w:b/>
          <w:bCs/>
        </w:rPr>
        <w:t>5G</w:t>
      </w:r>
    </w:p>
    <w:p w:rsidR="005976F8" w:rsidRDefault="005976F8">
      <w:pPr>
        <w:jc w:val="center"/>
        <w:rPr>
          <w:rFonts w:ascii="楷体" w:eastAsia="楷体" w:hAnsi="楷体" w:cs="楷体"/>
          <w:sz w:val="28"/>
          <w:szCs w:val="28"/>
        </w:rPr>
      </w:pPr>
      <w:r>
        <w:rPr>
          <w:rFonts w:ascii="楷体" w:eastAsia="楷体" w:hAnsi="楷体" w:cs="楷体" w:hint="eastAsia"/>
          <w:sz w:val="28"/>
          <w:szCs w:val="28"/>
        </w:rPr>
        <w:t>图1 竞赛项目图示</w:t>
      </w:r>
    </w:p>
    <w:p w:rsidR="005976F8" w:rsidRDefault="005976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际操作竞赛在竞赛指定赛场完成，竞赛时间为100分钟，包括打磨、组对、焊接、清理、休息、饮水、上洗手间的时间。参赛选手在规定时间内未完成竞赛项目时，最长可以允许给予10分钟的延时，超过10分钟应立即停止操作。对超过竞赛时间，按表4规定扣除相应分数。</w:t>
      </w:r>
    </w:p>
    <w:p w:rsidR="005976F8" w:rsidRDefault="005976F8">
      <w:pPr>
        <w:ind w:firstLineChars="200" w:firstLine="640"/>
        <w:rPr>
          <w:rFonts w:ascii="黑体" w:eastAsia="黑体" w:hAnsi="黑体" w:cs="黑体"/>
          <w:sz w:val="32"/>
          <w:szCs w:val="32"/>
        </w:rPr>
      </w:pPr>
      <w:bookmarkStart w:id="1" w:name="3．材料、设备及工具"/>
      <w:bookmarkEnd w:id="1"/>
      <w:r>
        <w:rPr>
          <w:rFonts w:ascii="黑体" w:eastAsia="黑体" w:hAnsi="黑体" w:cs="黑体" w:hint="eastAsia"/>
          <w:sz w:val="32"/>
          <w:szCs w:val="32"/>
        </w:rPr>
        <w:t>三、材料、设备及工具</w:t>
      </w:r>
    </w:p>
    <w:p w:rsidR="005976F8" w:rsidRDefault="005976F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本次竞赛指定使用焊材及焊机厂家如表2所示，竞赛所用钢材试件、焊接材料、气体等由竞赛承办单位提供。</w:t>
      </w:r>
    </w:p>
    <w:p w:rsidR="005976F8" w:rsidRDefault="005976F8">
      <w:pPr>
        <w:jc w:val="center"/>
        <w:rPr>
          <w:rFonts w:ascii="楷体" w:eastAsia="楷体" w:hAnsi="楷体" w:cs="楷体"/>
          <w:sz w:val="28"/>
          <w:szCs w:val="28"/>
        </w:rPr>
      </w:pPr>
      <w:r>
        <w:rPr>
          <w:rFonts w:ascii="楷体" w:eastAsia="楷体" w:hAnsi="楷体" w:cs="楷体" w:hint="eastAsia"/>
          <w:sz w:val="28"/>
          <w:szCs w:val="28"/>
        </w:rPr>
        <w:t>表2 竞赛指定用的焊材、设备厂家及规格型号</w:t>
      </w:r>
    </w:p>
    <w:tbl>
      <w:tblPr>
        <w:tblW w:w="5000" w:type="pct"/>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2846"/>
        <w:gridCol w:w="1205"/>
        <w:gridCol w:w="1955"/>
        <w:gridCol w:w="1205"/>
        <w:gridCol w:w="1581"/>
      </w:tblGrid>
      <w:tr w:rsidR="005976F8" w:rsidRPr="005976F8" w:rsidTr="005976F8">
        <w:trPr>
          <w:trHeight w:val="287"/>
          <w:jc w:val="center"/>
        </w:trPr>
        <w:tc>
          <w:tcPr>
            <w:tcW w:w="1619" w:type="pct"/>
            <w:vMerge w:val="restart"/>
            <w:tcBorders>
              <w:bottom w:val="single" w:sz="4"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焊材厂家</w:t>
            </w:r>
          </w:p>
        </w:tc>
        <w:tc>
          <w:tcPr>
            <w:tcW w:w="1797" w:type="pct"/>
            <w:gridSpan w:val="2"/>
            <w:tcBorders>
              <w:left w:val="single" w:sz="6" w:space="0" w:color="000000"/>
              <w:bottom w:val="single" w:sz="6"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焊条</w:t>
            </w:r>
          </w:p>
        </w:tc>
        <w:tc>
          <w:tcPr>
            <w:tcW w:w="1584" w:type="pct"/>
            <w:gridSpan w:val="2"/>
            <w:tcBorders>
              <w:left w:val="single" w:sz="6" w:space="0" w:color="000000"/>
              <w:bottom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焊丝</w:t>
            </w:r>
          </w:p>
        </w:tc>
      </w:tr>
      <w:tr w:rsidR="005976F8" w:rsidRPr="005976F8" w:rsidTr="005976F8">
        <w:trPr>
          <w:trHeight w:val="94"/>
          <w:jc w:val="center"/>
        </w:trPr>
        <w:tc>
          <w:tcPr>
            <w:tcW w:w="1619" w:type="pct"/>
            <w:vMerge/>
            <w:tcBorders>
              <w:top w:val="nil"/>
              <w:bottom w:val="single" w:sz="4"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牌号</w:t>
            </w:r>
          </w:p>
        </w:tc>
        <w:tc>
          <w:tcPr>
            <w:tcW w:w="11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型号</w:t>
            </w:r>
          </w:p>
        </w:tc>
        <w:tc>
          <w:tcPr>
            <w:tcW w:w="685" w:type="pct"/>
            <w:tcBorders>
              <w:top w:val="single" w:sz="6" w:space="0" w:color="000000"/>
              <w:left w:val="single" w:sz="6" w:space="0" w:color="000000"/>
              <w:bottom w:val="single" w:sz="4"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牌号</w:t>
            </w:r>
          </w:p>
        </w:tc>
        <w:tc>
          <w:tcPr>
            <w:tcW w:w="899" w:type="pct"/>
            <w:tcBorders>
              <w:top w:val="single" w:sz="6" w:space="0" w:color="000000"/>
              <w:left w:val="single" w:sz="6" w:space="0" w:color="000000"/>
              <w:bottom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型号</w:t>
            </w:r>
          </w:p>
        </w:tc>
      </w:tr>
      <w:tr w:rsidR="005976F8" w:rsidRPr="005976F8" w:rsidTr="005976F8">
        <w:trPr>
          <w:trHeight w:val="765"/>
          <w:jc w:val="center"/>
        </w:trPr>
        <w:tc>
          <w:tcPr>
            <w:tcW w:w="1619" w:type="pct"/>
            <w:tcBorders>
              <w:top w:val="single" w:sz="4" w:space="0" w:color="000000"/>
              <w:bottom w:val="single" w:sz="6"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rPr>
            </w:pPr>
            <w:r w:rsidRPr="005976F8">
              <w:rPr>
                <w:rFonts w:ascii="仿宋" w:hAnsi="仿宋"/>
                <w:kern w:val="0"/>
                <w:sz w:val="24"/>
              </w:rPr>
              <w:t>天津金桥焊材集团有限公司</w:t>
            </w:r>
          </w:p>
        </w:tc>
        <w:tc>
          <w:tcPr>
            <w:tcW w:w="685" w:type="pct"/>
            <w:tcBorders>
              <w:top w:val="single" w:sz="6" w:space="0" w:color="000000"/>
              <w:left w:val="single" w:sz="6" w:space="0" w:color="000000"/>
              <w:bottom w:val="single" w:sz="6"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J422</w:t>
            </w:r>
          </w:p>
        </w:tc>
        <w:tc>
          <w:tcPr>
            <w:tcW w:w="1112" w:type="pct"/>
            <w:tcBorders>
              <w:top w:val="single" w:sz="6" w:space="0" w:color="000000"/>
              <w:left w:val="single" w:sz="6" w:space="0" w:color="000000"/>
              <w:bottom w:val="single" w:sz="6"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E4303</w:t>
            </w:r>
          </w:p>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Ф2.5</w:t>
            </w:r>
            <w:r w:rsidRPr="005976F8">
              <w:rPr>
                <w:rFonts w:ascii="仿宋" w:hAnsi="仿宋"/>
                <w:kern w:val="0"/>
                <w:sz w:val="24"/>
                <w:lang w:eastAsia="en-US"/>
              </w:rPr>
              <w:t>、</w:t>
            </w:r>
            <w:r w:rsidRPr="005976F8">
              <w:rPr>
                <w:rFonts w:ascii="仿宋" w:hAnsi="仿宋"/>
                <w:kern w:val="0"/>
                <w:sz w:val="24"/>
                <w:lang w:eastAsia="en-US"/>
              </w:rPr>
              <w:t>Ф3.2</w:t>
            </w:r>
          </w:p>
        </w:tc>
        <w:tc>
          <w:tcPr>
            <w:tcW w:w="685" w:type="pct"/>
            <w:tcBorders>
              <w:top w:val="single" w:sz="4" w:space="0" w:color="000000"/>
              <w:left w:val="single" w:sz="6" w:space="0" w:color="000000"/>
              <w:bottom w:val="single" w:sz="6"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JQ.MG50-6</w:t>
            </w:r>
          </w:p>
        </w:tc>
        <w:tc>
          <w:tcPr>
            <w:tcW w:w="899" w:type="pct"/>
            <w:tcBorders>
              <w:top w:val="single" w:sz="6" w:space="0" w:color="000000"/>
              <w:left w:val="single" w:sz="6" w:space="0" w:color="000000"/>
              <w:bottom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ER50-6 Ф1.2</w:t>
            </w:r>
          </w:p>
        </w:tc>
      </w:tr>
      <w:tr w:rsidR="005976F8" w:rsidRPr="005976F8" w:rsidTr="005976F8">
        <w:trPr>
          <w:trHeight w:val="124"/>
          <w:jc w:val="center"/>
        </w:trPr>
        <w:tc>
          <w:tcPr>
            <w:tcW w:w="1619" w:type="pct"/>
            <w:tcBorders>
              <w:top w:val="single" w:sz="6" w:space="0" w:color="000000"/>
              <w:bottom w:val="single" w:sz="6"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焊接设备厂家</w:t>
            </w:r>
          </w:p>
        </w:tc>
        <w:tc>
          <w:tcPr>
            <w:tcW w:w="3381" w:type="pct"/>
            <w:gridSpan w:val="4"/>
            <w:tcBorders>
              <w:top w:val="single" w:sz="6" w:space="0" w:color="000000"/>
              <w:left w:val="single" w:sz="6" w:space="0" w:color="000000"/>
              <w:bottom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焊接设备型号</w:t>
            </w:r>
          </w:p>
        </w:tc>
      </w:tr>
      <w:tr w:rsidR="005976F8" w:rsidRPr="005976F8" w:rsidTr="005976F8">
        <w:trPr>
          <w:trHeight w:val="370"/>
          <w:jc w:val="center"/>
        </w:trPr>
        <w:tc>
          <w:tcPr>
            <w:tcW w:w="1619" w:type="pct"/>
            <w:tcBorders>
              <w:top w:val="single" w:sz="6" w:space="0" w:color="000000"/>
              <w:righ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rPr>
            </w:pPr>
            <w:r w:rsidRPr="005976F8">
              <w:rPr>
                <w:rFonts w:ascii="仿宋" w:hAnsi="仿宋"/>
                <w:kern w:val="0"/>
                <w:sz w:val="24"/>
              </w:rPr>
              <w:t>山东奥太电气有限公司</w:t>
            </w:r>
          </w:p>
        </w:tc>
        <w:tc>
          <w:tcPr>
            <w:tcW w:w="3381" w:type="pct"/>
            <w:gridSpan w:val="4"/>
            <w:tcBorders>
              <w:top w:val="single" w:sz="6" w:space="0" w:color="000000"/>
              <w:left w:val="single" w:sz="6"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t>CO</w:t>
            </w:r>
            <w:r w:rsidRPr="005976F8">
              <w:rPr>
                <w:rFonts w:ascii="仿宋" w:hAnsi="仿宋"/>
                <w:kern w:val="0"/>
                <w:sz w:val="24"/>
                <w:vertAlign w:val="subscript"/>
                <w:lang w:eastAsia="en-US"/>
              </w:rPr>
              <w:t>2</w:t>
            </w:r>
            <w:r w:rsidRPr="005976F8">
              <w:rPr>
                <w:rFonts w:ascii="仿宋" w:hAnsi="仿宋"/>
                <w:kern w:val="0"/>
                <w:sz w:val="24"/>
                <w:lang w:eastAsia="en-US"/>
              </w:rPr>
              <w:t xml:space="preserve"> </w:t>
            </w:r>
            <w:r w:rsidRPr="005976F8">
              <w:rPr>
                <w:rFonts w:ascii="仿宋" w:hAnsi="仿宋"/>
                <w:kern w:val="0"/>
                <w:sz w:val="24"/>
                <w:lang w:eastAsia="en-US"/>
              </w:rPr>
              <w:t>气体保护焊机：</w:t>
            </w:r>
            <w:r w:rsidRPr="005976F8">
              <w:rPr>
                <w:rFonts w:ascii="仿宋" w:hAnsi="仿宋"/>
                <w:kern w:val="0"/>
                <w:sz w:val="24"/>
                <w:lang w:eastAsia="en-US"/>
              </w:rPr>
              <w:t>NBC-350</w:t>
            </w:r>
          </w:p>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kern w:val="0"/>
                <w:sz w:val="24"/>
                <w:lang w:eastAsia="en-US"/>
              </w:rPr>
              <w:lastRenderedPageBreak/>
              <w:t>手工焊条电弧焊焊机：</w:t>
            </w:r>
            <w:r w:rsidRPr="005976F8">
              <w:rPr>
                <w:rFonts w:ascii="仿宋" w:hAnsi="仿宋"/>
                <w:kern w:val="0"/>
                <w:sz w:val="24"/>
                <w:lang w:eastAsia="en-US"/>
              </w:rPr>
              <w:t>ZX7-400sd</w:t>
            </w:r>
          </w:p>
        </w:tc>
      </w:tr>
    </w:tbl>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参赛选手允许自备的工具：面罩、手套、锤子、凿子、锉刀、钢丝刷、砂纸、焊缝检验尺、钢直尺、钢角尺、游标卡尺、水平尺、活动扳手、钢锯条、手电筒、劳动防护用品、直磨机及角磨机。</w:t>
      </w:r>
    </w:p>
    <w:p w:rsidR="005976F8" w:rsidRDefault="005976F8">
      <w:pPr>
        <w:ind w:firstLineChars="200" w:firstLine="640"/>
        <w:rPr>
          <w:rFonts w:ascii="黑体" w:eastAsia="黑体" w:hAnsi="黑体" w:cs="黑体"/>
          <w:sz w:val="32"/>
          <w:szCs w:val="32"/>
        </w:rPr>
      </w:pPr>
      <w:r>
        <w:rPr>
          <w:rFonts w:ascii="黑体" w:eastAsia="黑体" w:hAnsi="黑体" w:cs="黑体" w:hint="eastAsia"/>
          <w:sz w:val="32"/>
          <w:szCs w:val="32"/>
        </w:rPr>
        <w:t>四、竞赛抽签规则</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1.在裁判长的领导下，赛务组组织进行抽签。</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2.为方便参赛证件制作、发放，选手参赛证号在赛前按照一定规则进行绑定。</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抽签分为参赛单位抽签顺序号抽取和实际操作工位（理论竞赛座位）抽签顺序号抽取。工位（座位）在竞赛开始前30分钟抽取，场次（第一场为A组、第二场为B组、第三场为C组、第四场为D组）加工位号是参赛选手试件的密码号。</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4.抽签时间、地点见《赛务指南》。</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5.抽签由裁判长主持，具体程序为：</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（1）由各领队按照各参赛单位报名顺序依次抽取本单位抽签顺序号。</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（2）由各参赛选手按照（1）的抽签顺序结果，依据各单位参赛选手参赛证号由小到大的顺序，持本人身份证依次上场抽取本人的工位（座位）抽签顺序号。</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（3）为了节省时间，两名选手同时上场，一名抽签时另一名由赛务组裁判员检查核对选手身份证进行准备。</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（4）选手抽签完成后，工作人员及时打印出抽签单，并由监考组裁判核对抽签单的信息是否完整无误。由工作人员盖章并在分割线处裁成两份，一份交选手作为参赛考试凭证，一份赛务组存底。</w:t>
      </w:r>
    </w:p>
    <w:p w:rsidR="005976F8" w:rsidRDefault="005976F8">
      <w:pPr>
        <w:ind w:firstLineChars="200" w:firstLine="640"/>
        <w:rPr>
          <w:rFonts w:ascii="黑体" w:eastAsia="黑体" w:hAnsi="黑体" w:cs="黑体"/>
          <w:sz w:val="32"/>
          <w:szCs w:val="32"/>
        </w:rPr>
      </w:pPr>
      <w:r>
        <w:rPr>
          <w:rFonts w:ascii="黑体" w:eastAsia="黑体" w:hAnsi="黑体" w:cs="黑体" w:hint="eastAsia"/>
          <w:sz w:val="32"/>
          <w:szCs w:val="32"/>
        </w:rPr>
        <w:t>五、理论竞赛规则</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1.参赛选手在考试前30分钟，凭身份证、参赛证和抽签单在竞赛场地指定位置进行检录，按照理论竞赛座位抽签顺序号依次抽取座位号。</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2.选手按照座位号的顺序在引导人员的带领下持证进入考场，对号入座，并将身份证、抽取的座位号放在桌面右上角，由监考裁判员查验。</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3.选手迟到10分钟以上时，不得入场，按自动弃权处理；考试时间结束后方可提交试卷，不得提前交卷离开考场，不得在考场周围喧哗、逗留。</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4.选手不得携带除抽签单、身份证以外的手机、电子产品等任何物品进入考场。</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5.选手应根据监考裁判的提示，启动考试系统客户端，按要求录入选手证号等有关信息。监考裁判发出开始考试的时间信号后方可开始答题，否则按违纪处理。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6.考试期间，选手遇有问题应向监考裁判举手示意，由监考裁判负责处理。裁判员对涉及到考题的问题不得有任何解释和暗示行为。</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7.选手应按照计算机软件考试系统的要求答题并保存答题结果，未按照要求进行登录、答题、保存、交卷的，考试系统将不能正确记录信息，后果由选手承担。</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8.选手必须独立完成试卷答题，保持考场安静，严禁相互讨论、窥视他人试卷等舞弊行为。选手违规、作弊、弃权，其理论考试成绩计为0分。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9.考试时间结束，计算机系统将中止考试系统，请选手提前做好交卷准备。答题结束，选手依次有序离开考场。</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10.选手应服从管理，接受监考裁判的监督和检查。</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11.考场内除指定的监考裁判外，包括新闻宣传人员等在内的其他人员须经组委会同意并佩戴相应的标志方可进入。</w:t>
      </w:r>
    </w:p>
    <w:p w:rsidR="005976F8" w:rsidRDefault="005976F8">
      <w:pPr>
        <w:ind w:firstLineChars="200" w:firstLine="640"/>
        <w:rPr>
          <w:rFonts w:ascii="黑体" w:eastAsia="黑体" w:hAnsi="黑体" w:cs="黑体"/>
          <w:sz w:val="32"/>
          <w:szCs w:val="32"/>
        </w:rPr>
      </w:pPr>
      <w:r>
        <w:rPr>
          <w:rFonts w:ascii="黑体" w:eastAsia="黑体" w:hAnsi="黑体" w:cs="黑体" w:hint="eastAsia"/>
          <w:sz w:val="32"/>
          <w:szCs w:val="32"/>
        </w:rPr>
        <w:t>六、实际操作竞赛规则</w:t>
      </w:r>
    </w:p>
    <w:p w:rsidR="005976F8" w:rsidRDefault="005976F8">
      <w:pPr>
        <w:ind w:firstLine="480"/>
        <w:rPr>
          <w:rFonts w:ascii="楷体" w:eastAsia="楷体" w:hAnsi="楷体" w:cs="楷体"/>
          <w:sz w:val="32"/>
          <w:szCs w:val="32"/>
        </w:rPr>
      </w:pPr>
      <w:r>
        <w:rPr>
          <w:rFonts w:ascii="楷体" w:eastAsia="楷体" w:hAnsi="楷体" w:cs="楷体" w:hint="eastAsia"/>
          <w:sz w:val="32"/>
          <w:szCs w:val="32"/>
        </w:rPr>
        <w:t>（一）赛场规定</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1.参赛选手应在竞赛前20分钟，凭参赛证、竞赛抽签单在竞赛场地指定位置进行检录，并按照工位抽签顺序号依次抽取实际操作工位，并在登记表上签字确认。</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2.参赛选手不得携带除竞赛抽签单、身份证及规定的“参赛选手允许自备的工具”以外的任何物品进入考场。竞赛期间，选手不得相互借用工具。</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3.进入考场后，参赛选手应按照实际操作工位抽签单进入指定工位，并检查下列事项：</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（1）焊机是否完好。</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（2）焊材是否齐全。</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（3）试件上的钢印号是否与选手的场次加工位号（A、B、C、D）是竞赛场次号、01—18是工位号；第一场试件钢号为A01-A18、第二场为B01-B18、第三场试件钢号为C01-C18、第四场试件钢号为D01-D18）一致。</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（4）试件尺寸偏差。</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4.检查无误后，与监考裁判共同签字确认。试件一般不予调换，若有异议，由裁判长决定是否调换。</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5.参赛选手应准时参赛，开赛迟到30分钟以上者不得入场，按自动弃权处理。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6.监考裁判发出开始竞赛的时间信号后，参赛选手才可进行操作。</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7.竞赛期间，参赛选手应严格按照规定穿戴好劳保防护用品，并严格遵守安全操作规程，接受裁判员、现场技术服务人员的监督和警示，确保设备及人身安全。</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8.参赛选手要严格按赛会发放的材料和指定的规格进行操作。</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9.参赛选手必须独立完成所有项目，保持赛场安静，严禁喧哗和相互讨论。</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10.参赛选手只能在竞赛配发的专用试板上进行试焊，不准在工位配备的工装夹具上试焊工艺参数。</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11.由于停电等不可抗拒因素影响工作时，选手提出，经裁判长核实情况后裁决。</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12.竞赛过程中，允许选手休息、饮水、上洗手间，但在离开考场期间，其耗时一律计算在操作时间内。</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13.选手在竞赛过程中如发现问题，应立即向裁判员反映，得到裁判员同意后方可暂停竞赛，否则时间照计。</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14.竞赛过程中，裁判员对每名选手的各道工序应认真填写竞赛监考记录。</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15.裁判员及赛场工作人员与参赛选手只能进行有关工作方面的必要联系，不得进行任何提示性交谈。其他允许进入赛场的人员，一律不准与参赛选手交谈。任何在赛场的人员，不得干扰参赛选手的正常操作。发现裁判营私舞弊，应立即停止其工作，并将情况通知竞赛组委会按程序做出处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16.除当场次的参赛选手及指定负责该场次的裁判员、工作人员外，有关领导及新闻宣传人员应在组委会负责人陪同下进入赛场。进入赛场人员均须佩戴规定的标志并遵守赛场纪律，其他人员一律谢绝进入赛场。</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17.竞赛期间，参赛选手应爱护赛场设备，不得人为损坏设备并及时关闭不使用的设备。</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18.操作完成时，选手应举手示意裁判记录竞赛实际时间，以备成绩相同者排序需要。</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19.竞赛结束，选手清扫工位，关闭电源、气源，整理完自带工器具等离开考场，不得在考场逗留，围观其他选手操作。</w:t>
      </w:r>
    </w:p>
    <w:p w:rsidR="005976F8" w:rsidRDefault="005976F8">
      <w:pPr>
        <w:ind w:firstLine="480"/>
        <w:rPr>
          <w:rFonts w:ascii="楷体" w:eastAsia="楷体" w:hAnsi="楷体" w:cs="楷体"/>
          <w:sz w:val="32"/>
          <w:szCs w:val="32"/>
        </w:rPr>
      </w:pPr>
      <w:r>
        <w:rPr>
          <w:rFonts w:ascii="楷体" w:eastAsia="楷体" w:hAnsi="楷体" w:cs="楷体" w:hint="eastAsia"/>
          <w:sz w:val="32"/>
          <w:szCs w:val="32"/>
        </w:rPr>
        <w:t>（二）实际操作规定</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1.试件组对和上架固定规定</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（1）试件组对前打磨规定：所有试件的坡口侧正反面20mm范围内允许打磨，其余部位不允许打磨。</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（2）组对时试件的间隙、钝边、反变形，均由参赛选手自定。</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（3）试件定位焊采用与正式焊接相同的焊接方法和焊接材料。板对接定位焊在正面坡口内的两端，定位焊每段长≤15mm，对接板两端不允许加引弧板和引出板。</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（4）管对接定位焊在正面坡口内，定位焊数不得超过三点，每段长度≤15mm。</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（5）试件在组对过程中出现问题，由选手自己修复，不得调换。</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（6）两组试件必须一次组对完成后，方可上架操作，试件焊接顺序由选手自定。</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（7）试件上架固定时，管试件定位焊不准在仰焊位置（即5－7点钟位置）。试件定位焊超出规定长度，由选手自己修复到规定长度，否则该试件判为0分。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（8）上架固定时试件钢印号的放置位置规定如下：板对接2G试件在焊缝上端试件中间位置；管对接5G试件在非夹持端试件端部12点位置。</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（9）每个试件上架固定完成，举手示意裁判按照规定检查确认。</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（10）裁判对每名选手的各道工序应认真填写竞赛监考记录，</w:t>
      </w:r>
      <w:r>
        <w:rPr>
          <w:rFonts w:ascii="仿宋_GB2312" w:eastAsia="仿宋_GB2312" w:hAnsi="仿宋_GB2312" w:cs="仿宋_GB2312" w:hint="eastAsia"/>
          <w:sz w:val="32"/>
          <w:szCs w:val="32"/>
        </w:rPr>
        <w:lastRenderedPageBreak/>
        <w:t>对认可合格的应签上名，对不符合组对和上架固定规定的应通知选手重新组对。未经裁判检查合格认可的上架固定试件，选手擅自焊接的，该试件判为0分。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2.施焊操作规定</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（1）所有试件均采用单面焊双面成形完成。</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（2）焊接过程中，试件不准取下、移动或改变焊接位置。如遇清理焊缝使试件移位，应在裁判监督下恢复原位。</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（3）板对接焊采用一个方向焊接，不得由中间向两端焊或由两端向中间焊，其余层数的方向和打底焊的方向要一致。</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（4）管对接焊采用两半圆自下而上焊接。</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（5）违反上述规定，该试件判为0分。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3.参赛选手不得在试件上留下任何标记，否则该试件判为0分。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4.试件应保证在自由状态下焊接，不得采用锤击、浇水等方式改变试件焊接变形。</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5.施焊过程中，若试件焊接失误不予补发，但允许选手在竞赛时间内自行手工修复，焊缝的正、反表面不准修复补焊。</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6.打磨及焊缝清理规定</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（1）试件焊接过程中允许使用打磨工具，但焊接完成后的背面根部焊道和盖面焊道表面不得破坏，对于有明显打磨的，该试件判为0分。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（2）竞赛完毕，选手应认真清理试件表面的焊渣、飞溅，焊</w:t>
      </w:r>
      <w:r>
        <w:rPr>
          <w:rFonts w:ascii="仿宋_GB2312" w:eastAsia="仿宋_GB2312" w:hAnsi="仿宋_GB2312" w:cs="仿宋_GB2312" w:hint="eastAsia"/>
          <w:sz w:val="32"/>
          <w:szCs w:val="32"/>
        </w:rPr>
        <w:lastRenderedPageBreak/>
        <w:t>缝表面可用钢丝刷清理，但不能破坏试件焊缝的原始成形。</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（3）清理好的试件交监考检查，如未清理干净，监考应提示并监督选手返工。</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7.对清理好的试件，由工作人员会同监考、选手在指定区域内将试件封号，在竞赛监考记录上双方签字后，试件由监考组交保密组进行编码。</w:t>
      </w:r>
    </w:p>
    <w:p w:rsidR="005976F8" w:rsidRDefault="005976F8">
      <w:pPr>
        <w:ind w:firstLineChars="200" w:firstLine="640"/>
        <w:rPr>
          <w:rFonts w:ascii="黑体" w:eastAsia="黑体" w:hAnsi="黑体" w:cs="黑体"/>
          <w:sz w:val="32"/>
          <w:szCs w:val="32"/>
        </w:rPr>
      </w:pPr>
      <w:r>
        <w:rPr>
          <w:rFonts w:ascii="黑体" w:eastAsia="黑体" w:hAnsi="黑体" w:cs="黑体" w:hint="eastAsia"/>
          <w:sz w:val="32"/>
          <w:szCs w:val="32"/>
        </w:rPr>
        <w:t>七、评分细则</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1．项目配分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（1）青年组理论成绩满分为100分，占总成绩40%，实际操作单项满分为100分，各占总成绩30%。</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（2）中年组实际操作单项满分为100分，各占总成绩50%，详见表3。</w:t>
      </w:r>
    </w:p>
    <w:p w:rsidR="005976F8" w:rsidRDefault="005976F8">
      <w:pPr>
        <w:jc w:val="center"/>
        <w:rPr>
          <w:rFonts w:ascii="楷体" w:eastAsia="楷体" w:hAnsi="楷体" w:cs="楷体"/>
          <w:sz w:val="28"/>
          <w:szCs w:val="28"/>
        </w:rPr>
      </w:pPr>
      <w:r>
        <w:rPr>
          <w:rFonts w:ascii="楷体" w:eastAsia="楷体" w:hAnsi="楷体" w:cs="楷体" w:hint="eastAsia"/>
          <w:sz w:val="28"/>
          <w:szCs w:val="28"/>
        </w:rPr>
        <w:t>表 3 焊工操作技能竞赛配分表</w:t>
      </w:r>
    </w:p>
    <w:tbl>
      <w:tblPr>
        <w:tblW w:w="5000" w:type="pct"/>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4229"/>
        <w:gridCol w:w="1495"/>
        <w:gridCol w:w="1561"/>
        <w:gridCol w:w="1517"/>
      </w:tblGrid>
      <w:tr w:rsidR="005976F8" w:rsidRPr="005976F8" w:rsidTr="005976F8">
        <w:trPr>
          <w:trHeight w:val="215"/>
          <w:jc w:val="center"/>
        </w:trPr>
        <w:tc>
          <w:tcPr>
            <w:tcW w:w="2402" w:type="pct"/>
            <w:tcBorders>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项目</w:t>
            </w:r>
          </w:p>
        </w:tc>
        <w:tc>
          <w:tcPr>
            <w:tcW w:w="849"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外观检查</w:t>
            </w:r>
          </w:p>
        </w:tc>
        <w:tc>
          <w:tcPr>
            <w:tcW w:w="887"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射线探伤</w:t>
            </w:r>
          </w:p>
        </w:tc>
        <w:tc>
          <w:tcPr>
            <w:tcW w:w="862"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单项总分</w:t>
            </w:r>
          </w:p>
        </w:tc>
      </w:tr>
      <w:tr w:rsidR="005976F8" w:rsidRPr="005976F8" w:rsidTr="005976F8">
        <w:trPr>
          <w:trHeight w:val="155"/>
          <w:jc w:val="center"/>
        </w:trPr>
        <w:tc>
          <w:tcPr>
            <w:tcW w:w="2402" w:type="pct"/>
            <w:tcBorders>
              <w:top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理论成绩</w:t>
            </w:r>
          </w:p>
        </w:tc>
        <w:tc>
          <w:tcPr>
            <w:tcW w:w="173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计算机考试</w:t>
            </w: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100</w:t>
            </w:r>
            <w:r w:rsidRPr="005976F8">
              <w:rPr>
                <w:rFonts w:ascii="仿宋" w:hAnsi="仿宋" w:hint="eastAsia"/>
                <w:kern w:val="0"/>
                <w:sz w:val="24"/>
                <w:lang w:eastAsia="en-US"/>
              </w:rPr>
              <w:t>分</w:t>
            </w:r>
          </w:p>
        </w:tc>
      </w:tr>
      <w:tr w:rsidR="005976F8" w:rsidRPr="005976F8" w:rsidTr="005976F8">
        <w:trPr>
          <w:trHeight w:val="259"/>
          <w:jc w:val="center"/>
        </w:trPr>
        <w:tc>
          <w:tcPr>
            <w:tcW w:w="2402" w:type="pct"/>
            <w:tcBorders>
              <w:top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spacing w:val="-12"/>
                <w:kern w:val="0"/>
                <w:sz w:val="24"/>
                <w:lang w:eastAsia="en-US"/>
              </w:rPr>
              <w:t>板材对接</w:t>
            </w:r>
            <w:r w:rsidRPr="005976F8">
              <w:rPr>
                <w:rFonts w:ascii="仿宋" w:hAnsi="仿宋" w:hint="eastAsia"/>
                <w:spacing w:val="-12"/>
                <w:kern w:val="0"/>
                <w:sz w:val="24"/>
                <w:lang w:eastAsia="en-US"/>
              </w:rPr>
              <w:t xml:space="preserve"> </w:t>
            </w:r>
            <w:r w:rsidRPr="005976F8">
              <w:rPr>
                <w:rFonts w:ascii="仿宋" w:hAnsi="仿宋" w:hint="eastAsia"/>
                <w:kern w:val="0"/>
                <w:sz w:val="24"/>
                <w:lang w:eastAsia="en-US"/>
              </w:rPr>
              <w:t>2G</w:t>
            </w:r>
            <w:r w:rsidRPr="005976F8">
              <w:rPr>
                <w:rFonts w:ascii="仿宋" w:hAnsi="仿宋" w:hint="eastAsia"/>
                <w:spacing w:val="-27"/>
                <w:kern w:val="0"/>
                <w:sz w:val="24"/>
                <w:lang w:eastAsia="en-US"/>
              </w:rPr>
              <w:t xml:space="preserve"> </w:t>
            </w:r>
            <w:r w:rsidRPr="005976F8">
              <w:rPr>
                <w:rFonts w:ascii="仿宋" w:hAnsi="仿宋" w:hint="eastAsia"/>
                <w:spacing w:val="-27"/>
                <w:kern w:val="0"/>
                <w:sz w:val="24"/>
                <w:lang w:eastAsia="en-US"/>
              </w:rPr>
              <w:t>位置</w:t>
            </w:r>
            <w:r w:rsidRPr="005976F8">
              <w:rPr>
                <w:rFonts w:ascii="仿宋" w:hAnsi="仿宋" w:hint="eastAsia"/>
                <w:kern w:val="0"/>
                <w:sz w:val="24"/>
                <w:lang w:eastAsia="en-US"/>
              </w:rPr>
              <w:t>GMAW</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50</w:t>
            </w:r>
            <w:r w:rsidRPr="005976F8">
              <w:rPr>
                <w:rFonts w:ascii="仿宋" w:hAnsi="仿宋" w:hint="eastAsia"/>
                <w:kern w:val="0"/>
                <w:sz w:val="24"/>
                <w:lang w:eastAsia="en-US"/>
              </w:rPr>
              <w:t>分</w:t>
            </w:r>
          </w:p>
        </w:tc>
        <w:tc>
          <w:tcPr>
            <w:tcW w:w="8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50</w:t>
            </w:r>
            <w:r w:rsidRPr="005976F8">
              <w:rPr>
                <w:rFonts w:ascii="仿宋" w:hAnsi="仿宋" w:hint="eastAsia"/>
                <w:kern w:val="0"/>
                <w:sz w:val="24"/>
                <w:lang w:eastAsia="en-US"/>
              </w:rPr>
              <w:t>分</w:t>
            </w:r>
          </w:p>
        </w:tc>
        <w:tc>
          <w:tcPr>
            <w:tcW w:w="8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100</w:t>
            </w:r>
            <w:r w:rsidRPr="005976F8">
              <w:rPr>
                <w:rFonts w:ascii="仿宋" w:hAnsi="仿宋" w:hint="eastAsia"/>
                <w:kern w:val="0"/>
                <w:sz w:val="24"/>
                <w:lang w:eastAsia="en-US"/>
              </w:rPr>
              <w:t>分</w:t>
            </w:r>
          </w:p>
        </w:tc>
      </w:tr>
      <w:tr w:rsidR="005976F8" w:rsidRPr="005976F8" w:rsidTr="005976F8">
        <w:trPr>
          <w:trHeight w:val="69"/>
          <w:jc w:val="center"/>
        </w:trPr>
        <w:tc>
          <w:tcPr>
            <w:tcW w:w="2402" w:type="pct"/>
            <w:tcBorders>
              <w:top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spacing w:val="-12"/>
                <w:kern w:val="0"/>
                <w:sz w:val="24"/>
                <w:lang w:eastAsia="en-US"/>
              </w:rPr>
              <w:t>管材对接</w:t>
            </w:r>
            <w:r w:rsidRPr="005976F8">
              <w:rPr>
                <w:rFonts w:ascii="仿宋" w:hAnsi="仿宋" w:hint="eastAsia"/>
                <w:spacing w:val="-12"/>
                <w:kern w:val="0"/>
                <w:sz w:val="24"/>
                <w:lang w:eastAsia="en-US"/>
              </w:rPr>
              <w:t xml:space="preserve"> </w:t>
            </w:r>
            <w:r w:rsidRPr="005976F8">
              <w:rPr>
                <w:rFonts w:ascii="仿宋" w:hAnsi="仿宋" w:hint="eastAsia"/>
                <w:kern w:val="0"/>
                <w:sz w:val="24"/>
                <w:lang w:eastAsia="en-US"/>
              </w:rPr>
              <w:t>5G</w:t>
            </w:r>
            <w:r w:rsidRPr="005976F8">
              <w:rPr>
                <w:rFonts w:ascii="仿宋" w:hAnsi="仿宋" w:hint="eastAsia"/>
                <w:spacing w:val="-27"/>
                <w:kern w:val="0"/>
                <w:sz w:val="24"/>
                <w:lang w:eastAsia="en-US"/>
              </w:rPr>
              <w:t xml:space="preserve"> </w:t>
            </w:r>
            <w:r w:rsidRPr="005976F8">
              <w:rPr>
                <w:rFonts w:ascii="仿宋" w:hAnsi="仿宋" w:hint="eastAsia"/>
                <w:spacing w:val="-27"/>
                <w:kern w:val="0"/>
                <w:sz w:val="24"/>
                <w:lang w:eastAsia="en-US"/>
              </w:rPr>
              <w:t>位置</w:t>
            </w:r>
            <w:r w:rsidRPr="005976F8">
              <w:rPr>
                <w:rFonts w:ascii="仿宋" w:hAnsi="仿宋" w:hint="eastAsia"/>
                <w:kern w:val="0"/>
                <w:sz w:val="24"/>
                <w:lang w:eastAsia="en-US"/>
              </w:rPr>
              <w:t>SMAW</w:t>
            </w:r>
          </w:p>
        </w:tc>
        <w:tc>
          <w:tcPr>
            <w:tcW w:w="849" w:type="pc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50</w:t>
            </w:r>
            <w:r w:rsidRPr="005976F8">
              <w:rPr>
                <w:rFonts w:ascii="仿宋" w:hAnsi="仿宋" w:hint="eastAsia"/>
                <w:kern w:val="0"/>
                <w:sz w:val="24"/>
                <w:lang w:eastAsia="en-US"/>
              </w:rPr>
              <w:t>分</w:t>
            </w:r>
          </w:p>
        </w:tc>
        <w:tc>
          <w:tcPr>
            <w:tcW w:w="887" w:type="pc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50</w:t>
            </w:r>
            <w:r w:rsidRPr="005976F8">
              <w:rPr>
                <w:rFonts w:ascii="仿宋" w:hAnsi="仿宋" w:hint="eastAsia"/>
                <w:kern w:val="0"/>
                <w:sz w:val="24"/>
                <w:lang w:eastAsia="en-US"/>
              </w:rPr>
              <w:t>分</w:t>
            </w:r>
          </w:p>
        </w:tc>
        <w:tc>
          <w:tcPr>
            <w:tcW w:w="862" w:type="pc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autoSpaceDE w:val="0"/>
              <w:autoSpaceDN w:val="0"/>
              <w:jc w:val="center"/>
              <w:rPr>
                <w:rFonts w:ascii="仿宋" w:hAnsi="仿宋"/>
                <w:kern w:val="0"/>
                <w:sz w:val="24"/>
                <w:lang w:eastAsia="en-US"/>
              </w:rPr>
            </w:pPr>
            <w:r w:rsidRPr="005976F8">
              <w:rPr>
                <w:rFonts w:ascii="仿宋" w:hAnsi="仿宋" w:hint="eastAsia"/>
                <w:kern w:val="0"/>
                <w:sz w:val="24"/>
                <w:lang w:eastAsia="en-US"/>
              </w:rPr>
              <w:t>100</w:t>
            </w:r>
            <w:r w:rsidRPr="005976F8">
              <w:rPr>
                <w:rFonts w:ascii="仿宋" w:hAnsi="仿宋" w:hint="eastAsia"/>
                <w:kern w:val="0"/>
                <w:sz w:val="24"/>
                <w:lang w:eastAsia="en-US"/>
              </w:rPr>
              <w:t>分</w:t>
            </w:r>
          </w:p>
        </w:tc>
      </w:tr>
    </w:tbl>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2.延长实际操作时间的扣分规定见表4。</w:t>
      </w:r>
    </w:p>
    <w:p w:rsidR="005976F8" w:rsidRDefault="005976F8">
      <w:pPr>
        <w:jc w:val="center"/>
        <w:rPr>
          <w:rFonts w:ascii="楷体" w:eastAsia="楷体" w:hAnsi="楷体" w:cs="楷体"/>
          <w:sz w:val="28"/>
          <w:szCs w:val="28"/>
        </w:rPr>
      </w:pPr>
      <w:r>
        <w:rPr>
          <w:rFonts w:ascii="楷体" w:eastAsia="楷体" w:hAnsi="楷体" w:cs="楷体" w:hint="eastAsia"/>
          <w:sz w:val="28"/>
          <w:szCs w:val="28"/>
        </w:rPr>
        <w:t>表4 焊工操作延时扣分表</w:t>
      </w:r>
    </w:p>
    <w:tbl>
      <w:tblPr>
        <w:tblW w:w="5000" w:type="pct"/>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1088"/>
        <w:gridCol w:w="2326"/>
        <w:gridCol w:w="2288"/>
        <w:gridCol w:w="3090"/>
      </w:tblGrid>
      <w:tr w:rsidR="005976F8" w:rsidRPr="005976F8" w:rsidTr="005976F8">
        <w:trPr>
          <w:trHeight w:val="581"/>
          <w:jc w:val="center"/>
        </w:trPr>
        <w:tc>
          <w:tcPr>
            <w:tcW w:w="619" w:type="pct"/>
            <w:tcBorders>
              <w:bottom w:val="single" w:sz="4" w:space="0" w:color="000000"/>
              <w:right w:val="single" w:sz="4" w:space="0" w:color="000000"/>
            </w:tcBorders>
            <w:shd w:val="clear" w:color="auto" w:fill="auto"/>
            <w:vAlign w:val="center"/>
          </w:tcPr>
          <w:p w:rsidR="005976F8" w:rsidRPr="005976F8" w:rsidRDefault="005976F8" w:rsidP="005976F8">
            <w:pPr>
              <w:pStyle w:val="TableParagraph"/>
              <w:spacing w:before="191"/>
              <w:ind w:left="189"/>
              <w:jc w:val="left"/>
              <w:rPr>
                <w:rFonts w:ascii="宋体" w:eastAsia="宋体" w:hAnsi="宋体" w:cs="宋体"/>
                <w:sz w:val="24"/>
                <w:lang w:eastAsia="en-US"/>
              </w:rPr>
            </w:pPr>
            <w:r w:rsidRPr="005976F8">
              <w:rPr>
                <w:rFonts w:ascii="宋体" w:eastAsia="宋体" w:hAnsi="宋体" w:cs="宋体" w:hint="eastAsia"/>
                <w:sz w:val="24"/>
                <w:lang w:eastAsia="en-US"/>
              </w:rPr>
              <w:t>名称</w:t>
            </w:r>
          </w:p>
        </w:tc>
        <w:tc>
          <w:tcPr>
            <w:tcW w:w="1323"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pStyle w:val="TableParagraph"/>
              <w:spacing w:before="40"/>
              <w:ind w:left="448" w:right="418"/>
              <w:rPr>
                <w:rFonts w:ascii="宋体" w:eastAsia="宋体" w:hAnsi="宋体" w:cs="宋体"/>
                <w:sz w:val="24"/>
              </w:rPr>
            </w:pPr>
            <w:r w:rsidRPr="005976F8">
              <w:rPr>
                <w:rFonts w:ascii="宋体" w:eastAsia="宋体" w:hAnsi="宋体" w:cs="宋体" w:hint="eastAsia"/>
                <w:sz w:val="24"/>
              </w:rPr>
              <w:t>竞赛规定时间</w:t>
            </w:r>
          </w:p>
          <w:p w:rsidR="005976F8" w:rsidRPr="005976F8" w:rsidRDefault="005976F8" w:rsidP="005976F8">
            <w:pPr>
              <w:pStyle w:val="TableParagraph"/>
              <w:ind w:left="448" w:right="418"/>
              <w:rPr>
                <w:rFonts w:ascii="宋体" w:eastAsia="宋体" w:hAnsi="宋体" w:cs="宋体"/>
                <w:sz w:val="24"/>
              </w:rPr>
            </w:pPr>
            <w:r w:rsidRPr="005976F8">
              <w:rPr>
                <w:rFonts w:ascii="宋体" w:eastAsia="宋体" w:hAnsi="宋体" w:cs="宋体" w:hint="eastAsia"/>
                <w:sz w:val="24"/>
              </w:rPr>
              <w:t>（分钟）</w:t>
            </w:r>
          </w:p>
        </w:tc>
        <w:tc>
          <w:tcPr>
            <w:tcW w:w="1301" w:type="pct"/>
            <w:tcBorders>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pStyle w:val="TableParagraph"/>
              <w:spacing w:before="40"/>
              <w:ind w:left="427" w:right="399"/>
              <w:rPr>
                <w:rFonts w:ascii="宋体" w:eastAsia="宋体" w:hAnsi="宋体" w:cs="宋体"/>
                <w:sz w:val="24"/>
              </w:rPr>
            </w:pPr>
            <w:r w:rsidRPr="005976F8">
              <w:rPr>
                <w:rFonts w:ascii="宋体" w:eastAsia="宋体" w:hAnsi="宋体" w:cs="宋体" w:hint="eastAsia"/>
                <w:sz w:val="24"/>
              </w:rPr>
              <w:t>选手完成时间</w:t>
            </w:r>
          </w:p>
          <w:p w:rsidR="005976F8" w:rsidRPr="005976F8" w:rsidRDefault="005976F8" w:rsidP="005976F8">
            <w:pPr>
              <w:pStyle w:val="TableParagraph"/>
              <w:ind w:left="427" w:right="399"/>
              <w:rPr>
                <w:rFonts w:ascii="宋体" w:eastAsia="宋体" w:hAnsi="宋体" w:cs="宋体"/>
                <w:sz w:val="24"/>
              </w:rPr>
            </w:pPr>
            <w:r w:rsidRPr="005976F8">
              <w:rPr>
                <w:rFonts w:ascii="宋体" w:eastAsia="宋体" w:hAnsi="宋体" w:cs="宋体" w:hint="eastAsia"/>
                <w:sz w:val="24"/>
              </w:rPr>
              <w:t>（分钟）</w:t>
            </w:r>
          </w:p>
        </w:tc>
        <w:tc>
          <w:tcPr>
            <w:tcW w:w="1757" w:type="pct"/>
            <w:tcBorders>
              <w:left w:val="single" w:sz="4" w:space="0" w:color="000000"/>
              <w:bottom w:val="single" w:sz="4" w:space="0" w:color="000000"/>
            </w:tcBorders>
            <w:shd w:val="clear" w:color="auto" w:fill="auto"/>
            <w:vAlign w:val="center"/>
          </w:tcPr>
          <w:p w:rsidR="005976F8" w:rsidRPr="005976F8" w:rsidRDefault="005976F8" w:rsidP="005976F8">
            <w:pPr>
              <w:pStyle w:val="TableParagraph"/>
              <w:tabs>
                <w:tab w:val="left" w:pos="520"/>
              </w:tabs>
              <w:spacing w:before="191"/>
              <w:ind w:left="40"/>
              <w:rPr>
                <w:rFonts w:ascii="宋体" w:eastAsia="宋体" w:hAnsi="宋体" w:cs="宋体"/>
                <w:sz w:val="24"/>
                <w:lang w:eastAsia="en-US"/>
              </w:rPr>
            </w:pPr>
            <w:r w:rsidRPr="005976F8">
              <w:rPr>
                <w:rFonts w:ascii="宋体" w:eastAsia="宋体" w:hAnsi="宋体" w:cs="宋体" w:hint="eastAsia"/>
                <w:sz w:val="24"/>
                <w:lang w:eastAsia="en-US"/>
              </w:rPr>
              <w:t>评分</w:t>
            </w:r>
          </w:p>
        </w:tc>
      </w:tr>
      <w:tr w:rsidR="005976F8" w:rsidRPr="005976F8" w:rsidTr="005976F8">
        <w:trPr>
          <w:trHeight w:val="171"/>
          <w:jc w:val="center"/>
        </w:trPr>
        <w:tc>
          <w:tcPr>
            <w:tcW w:w="619" w:type="pct"/>
            <w:vMerge w:val="restart"/>
            <w:tcBorders>
              <w:top w:val="single" w:sz="4" w:space="0" w:color="000000"/>
              <w:right w:val="single" w:sz="4" w:space="0" w:color="000000"/>
            </w:tcBorders>
            <w:shd w:val="clear" w:color="auto" w:fill="auto"/>
            <w:vAlign w:val="center"/>
          </w:tcPr>
          <w:p w:rsidR="005976F8" w:rsidRPr="005976F8" w:rsidRDefault="005976F8" w:rsidP="005976F8">
            <w:pPr>
              <w:pStyle w:val="TableParagraph"/>
              <w:ind w:left="249"/>
              <w:jc w:val="left"/>
              <w:rPr>
                <w:rFonts w:ascii="宋体" w:eastAsia="宋体" w:hAnsi="宋体" w:cs="宋体"/>
                <w:sz w:val="24"/>
                <w:lang w:eastAsia="en-US"/>
              </w:rPr>
            </w:pPr>
            <w:r w:rsidRPr="005976F8">
              <w:rPr>
                <w:rFonts w:ascii="宋体" w:eastAsia="宋体" w:hAnsi="宋体" w:cs="宋体" w:hint="eastAsia"/>
                <w:sz w:val="24"/>
                <w:lang w:eastAsia="en-US"/>
              </w:rPr>
              <w:t>焊工</w:t>
            </w:r>
          </w:p>
        </w:tc>
        <w:tc>
          <w:tcPr>
            <w:tcW w:w="1323" w:type="pct"/>
            <w:vMerge w:val="restar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pStyle w:val="TableParagraph"/>
              <w:ind w:left="448" w:right="418"/>
              <w:rPr>
                <w:rFonts w:ascii="宋体" w:eastAsia="宋体" w:hAnsi="宋体" w:cs="宋体"/>
                <w:sz w:val="24"/>
                <w:lang w:eastAsia="en-US"/>
              </w:rPr>
            </w:pPr>
            <w:r w:rsidRPr="005976F8">
              <w:rPr>
                <w:rFonts w:ascii="宋体" w:eastAsia="宋体" w:hAnsi="宋体" w:cs="宋体" w:hint="eastAsia"/>
                <w:sz w:val="24"/>
                <w:lang w:eastAsia="en-US"/>
              </w:rPr>
              <w:t>100</w:t>
            </w:r>
          </w:p>
        </w:tc>
        <w:tc>
          <w:tcPr>
            <w:tcW w:w="1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976F8" w:rsidRPr="005976F8" w:rsidRDefault="005976F8" w:rsidP="005976F8">
            <w:pPr>
              <w:pStyle w:val="TableParagraph"/>
              <w:spacing w:before="136"/>
              <w:ind w:left="427" w:right="399"/>
              <w:rPr>
                <w:rFonts w:ascii="宋体" w:eastAsia="宋体" w:hAnsi="宋体" w:cs="宋体"/>
                <w:sz w:val="24"/>
                <w:lang w:eastAsia="en-US"/>
              </w:rPr>
            </w:pPr>
            <w:r w:rsidRPr="005976F8">
              <w:rPr>
                <w:rFonts w:ascii="宋体" w:eastAsia="宋体" w:hAnsi="宋体" w:cs="宋体" w:hint="eastAsia"/>
                <w:sz w:val="24"/>
                <w:lang w:eastAsia="en-US"/>
              </w:rPr>
              <w:t>每超一分钟</w:t>
            </w:r>
          </w:p>
        </w:tc>
        <w:tc>
          <w:tcPr>
            <w:tcW w:w="1757" w:type="pct"/>
            <w:tcBorders>
              <w:top w:val="single" w:sz="4" w:space="0" w:color="000000"/>
              <w:left w:val="single" w:sz="4" w:space="0" w:color="000000"/>
              <w:bottom w:val="single" w:sz="4" w:space="0" w:color="000000"/>
            </w:tcBorders>
            <w:shd w:val="clear" w:color="auto" w:fill="auto"/>
            <w:vAlign w:val="center"/>
          </w:tcPr>
          <w:p w:rsidR="005976F8" w:rsidRPr="005976F8" w:rsidRDefault="005976F8" w:rsidP="005976F8">
            <w:pPr>
              <w:pStyle w:val="TableParagraph"/>
              <w:spacing w:before="136"/>
              <w:ind w:left="40"/>
              <w:rPr>
                <w:rFonts w:ascii="宋体" w:eastAsia="宋体" w:hAnsi="宋体" w:cs="宋体"/>
                <w:sz w:val="24"/>
                <w:lang w:eastAsia="en-US"/>
              </w:rPr>
            </w:pPr>
            <w:r w:rsidRPr="005976F8">
              <w:rPr>
                <w:rFonts w:ascii="宋体" w:eastAsia="宋体" w:hAnsi="宋体" w:cs="宋体" w:hint="eastAsia"/>
                <w:sz w:val="24"/>
                <w:lang w:eastAsia="en-US"/>
              </w:rPr>
              <w:t>扣2分</w:t>
            </w:r>
          </w:p>
        </w:tc>
      </w:tr>
      <w:tr w:rsidR="005976F8" w:rsidRPr="005976F8" w:rsidTr="005976F8">
        <w:trPr>
          <w:trHeight w:val="385"/>
          <w:jc w:val="center"/>
        </w:trPr>
        <w:tc>
          <w:tcPr>
            <w:tcW w:w="619" w:type="pct"/>
            <w:vMerge/>
            <w:tcBorders>
              <w:top w:val="nil"/>
              <w:right w:val="single" w:sz="4" w:space="0" w:color="000000"/>
            </w:tcBorders>
            <w:shd w:val="clear" w:color="auto" w:fill="auto"/>
            <w:vAlign w:val="center"/>
          </w:tcPr>
          <w:p w:rsidR="005976F8" w:rsidRPr="005976F8" w:rsidRDefault="005976F8" w:rsidP="005976F8">
            <w:pPr>
              <w:autoSpaceDE w:val="0"/>
              <w:autoSpaceDN w:val="0"/>
              <w:rPr>
                <w:rFonts w:ascii="宋体" w:hAnsi="宋体" w:cs="宋体"/>
                <w:kern w:val="0"/>
                <w:sz w:val="24"/>
                <w:lang w:eastAsia="en-US"/>
              </w:rPr>
            </w:pPr>
          </w:p>
        </w:tc>
        <w:tc>
          <w:tcPr>
            <w:tcW w:w="1323" w:type="pct"/>
            <w:vMerge/>
            <w:tcBorders>
              <w:top w:val="nil"/>
              <w:left w:val="single" w:sz="4" w:space="0" w:color="000000"/>
              <w:right w:val="single" w:sz="4" w:space="0" w:color="000000"/>
            </w:tcBorders>
            <w:shd w:val="clear" w:color="auto" w:fill="auto"/>
            <w:vAlign w:val="center"/>
          </w:tcPr>
          <w:p w:rsidR="005976F8" w:rsidRPr="005976F8" w:rsidRDefault="005976F8" w:rsidP="005976F8">
            <w:pPr>
              <w:autoSpaceDE w:val="0"/>
              <w:autoSpaceDN w:val="0"/>
              <w:rPr>
                <w:rFonts w:ascii="宋体" w:hAnsi="宋体" w:cs="宋体"/>
                <w:kern w:val="0"/>
                <w:sz w:val="24"/>
                <w:lang w:eastAsia="en-US"/>
              </w:rPr>
            </w:pPr>
          </w:p>
        </w:tc>
        <w:tc>
          <w:tcPr>
            <w:tcW w:w="1301" w:type="pct"/>
            <w:tcBorders>
              <w:top w:val="single" w:sz="4" w:space="0" w:color="000000"/>
              <w:left w:val="single" w:sz="4" w:space="0" w:color="000000"/>
              <w:right w:val="single" w:sz="4" w:space="0" w:color="000000"/>
            </w:tcBorders>
            <w:shd w:val="clear" w:color="auto" w:fill="auto"/>
            <w:vAlign w:val="center"/>
          </w:tcPr>
          <w:p w:rsidR="005976F8" w:rsidRPr="005976F8" w:rsidRDefault="005976F8" w:rsidP="005976F8">
            <w:pPr>
              <w:pStyle w:val="TableParagraph"/>
              <w:spacing w:before="137"/>
              <w:ind w:left="427" w:right="399"/>
              <w:rPr>
                <w:rFonts w:ascii="宋体" w:eastAsia="宋体" w:hAnsi="宋体" w:cs="宋体"/>
                <w:sz w:val="24"/>
                <w:lang w:eastAsia="en-US"/>
              </w:rPr>
            </w:pPr>
            <w:r w:rsidRPr="005976F8">
              <w:rPr>
                <w:rFonts w:ascii="宋体" w:eastAsia="宋体" w:hAnsi="宋体" w:cs="宋体" w:hint="eastAsia"/>
                <w:sz w:val="24"/>
                <w:lang w:eastAsia="en-US"/>
              </w:rPr>
              <w:t>＞110</w:t>
            </w:r>
          </w:p>
        </w:tc>
        <w:tc>
          <w:tcPr>
            <w:tcW w:w="1757" w:type="pct"/>
            <w:tcBorders>
              <w:top w:val="single" w:sz="4" w:space="0" w:color="000000"/>
              <w:left w:val="single" w:sz="4" w:space="0" w:color="000000"/>
            </w:tcBorders>
            <w:shd w:val="clear" w:color="auto" w:fill="auto"/>
            <w:vAlign w:val="center"/>
          </w:tcPr>
          <w:p w:rsidR="005976F8" w:rsidRPr="005976F8" w:rsidRDefault="005976F8" w:rsidP="005976F8">
            <w:pPr>
              <w:pStyle w:val="TableParagraph"/>
              <w:ind w:left="40"/>
              <w:rPr>
                <w:rFonts w:ascii="宋体" w:eastAsia="宋体" w:hAnsi="宋体" w:cs="宋体"/>
                <w:sz w:val="24"/>
              </w:rPr>
            </w:pPr>
            <w:r w:rsidRPr="005976F8">
              <w:rPr>
                <w:rFonts w:ascii="宋体" w:eastAsia="宋体" w:hAnsi="宋体" w:cs="宋体" w:hint="eastAsia"/>
                <w:sz w:val="24"/>
              </w:rPr>
              <w:t>立即停止工作，</w:t>
            </w:r>
          </w:p>
          <w:p w:rsidR="005976F8" w:rsidRPr="005976F8" w:rsidRDefault="005976F8" w:rsidP="005976F8">
            <w:pPr>
              <w:pStyle w:val="TableParagraph"/>
              <w:ind w:left="40"/>
              <w:rPr>
                <w:rFonts w:ascii="宋体" w:eastAsia="宋体" w:hAnsi="宋体" w:cs="宋体"/>
                <w:sz w:val="24"/>
              </w:rPr>
            </w:pPr>
            <w:r w:rsidRPr="005976F8">
              <w:rPr>
                <w:rFonts w:ascii="宋体" w:eastAsia="宋体" w:hAnsi="宋体" w:cs="宋体" w:hint="eastAsia"/>
                <w:sz w:val="24"/>
              </w:rPr>
              <w:t>总分扣20分</w:t>
            </w:r>
          </w:p>
        </w:tc>
      </w:tr>
    </w:tbl>
    <w:p w:rsidR="005976F8" w:rsidRDefault="005976F8">
      <w:pPr>
        <w:ind w:firstLine="420"/>
        <w:rPr>
          <w:rFonts w:ascii="仿宋" w:hAnsi="仿宋"/>
          <w:sz w:val="24"/>
        </w:rPr>
      </w:pPr>
      <w:r>
        <w:rPr>
          <w:rFonts w:ascii="仿宋" w:hAnsi="仿宋" w:hint="eastAsia"/>
          <w:sz w:val="24"/>
        </w:rPr>
        <w:t>注：延长时间的扣分均摊到各项目上扣除。</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3.理论考试评分标准：理论试卷由计算机随机确定，答题完</w:t>
      </w:r>
      <w:r>
        <w:rPr>
          <w:rFonts w:ascii="仿宋_GB2312" w:eastAsia="仿宋_GB2312" w:hAnsi="仿宋_GB2312" w:cs="仿宋_GB2312" w:hint="eastAsia"/>
          <w:sz w:val="32"/>
          <w:szCs w:val="32"/>
        </w:rPr>
        <w:lastRenderedPageBreak/>
        <w:t>毕由计算机给出成绩。</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4.实际操作项目评分标准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（1）板对接评分标准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板试件两端各20mm范围内不评分，对其余全长焊缝进行正、反面外观检查及射线无损检测。</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（2）管对接评分标准</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焊缝全长正、反面进行外观检查和射线无损检测。</w:t>
      </w:r>
    </w:p>
    <w:p w:rsidR="005976F8" w:rsidRDefault="005976F8">
      <w:pPr>
        <w:ind w:firstLineChars="200" w:firstLine="640"/>
        <w:rPr>
          <w:rFonts w:ascii="黑体" w:eastAsia="黑体" w:hAnsi="黑体" w:cs="黑体"/>
          <w:sz w:val="32"/>
          <w:szCs w:val="32"/>
        </w:rPr>
      </w:pPr>
      <w:r>
        <w:rPr>
          <w:rFonts w:ascii="黑体" w:eastAsia="黑体" w:hAnsi="黑体" w:cs="黑体" w:hint="eastAsia"/>
          <w:sz w:val="32"/>
          <w:szCs w:val="32"/>
        </w:rPr>
        <w:t>八、成绩评定规则</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1.裁判组负责参赛选手的成绩评定工作。</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2.理论考试成绩由计算机考试系统随机生成，选手当场确认，后台打印存档。</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3.实际操作成绩由外观成绩、射线检测成绩、监考记录违规扣分和延时记录扣分汇总合成。</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4.参赛选手必须参加所有竞赛项目，最终名次依据理论和实际操作项目得分总和排定。当得分总和相同时，按照如下顺序依次进行排名：</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（1）实际操作项目总得分高者排名靠前。</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（2）当（1）依然相同时，以实际操作时间短者排名靠前。</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（3）当以上均不能确定时，由裁判长进行裁定。</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5.团体成绩排名以该参赛队选手个人总成绩之和累计评分，累计总成绩相同时，以累计实际操作成绩高者名次在前，若仍不能分出先后，则取相同名次。</w:t>
      </w:r>
    </w:p>
    <w:p w:rsidR="005976F8" w:rsidRDefault="005976F8">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九、申诉与仲裁</w:t>
      </w:r>
    </w:p>
    <w:p w:rsidR="005976F8" w:rsidRDefault="005976F8">
      <w:pPr>
        <w:ind w:firstLine="480"/>
        <w:rPr>
          <w:rFonts w:ascii="楷体" w:eastAsia="楷体" w:hAnsi="楷体" w:cs="楷体"/>
          <w:sz w:val="32"/>
          <w:szCs w:val="32"/>
        </w:rPr>
      </w:pPr>
      <w:r>
        <w:rPr>
          <w:rFonts w:ascii="楷体" w:eastAsia="楷体" w:hAnsi="楷体" w:cs="楷体" w:hint="eastAsia"/>
          <w:sz w:val="32"/>
          <w:szCs w:val="32"/>
        </w:rPr>
        <w:t>（一）申诉</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1.当参赛选手对裁判的判罚有异议时，可提出申诉。</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2.参赛选手的申诉必须由本代表队领队在所申诉事件发生3小时内以书面形式向竞赛监察仲裁组（组委会）提出，申诉单需按照相关附件的格式和内容填报。</w:t>
      </w:r>
    </w:p>
    <w:p w:rsidR="005976F8" w:rsidRDefault="005976F8">
      <w:pPr>
        <w:ind w:firstLine="480"/>
        <w:rPr>
          <w:rFonts w:ascii="楷体" w:eastAsia="楷体" w:hAnsi="楷体" w:cs="楷体"/>
          <w:sz w:val="32"/>
          <w:szCs w:val="32"/>
        </w:rPr>
      </w:pPr>
      <w:r>
        <w:rPr>
          <w:rFonts w:ascii="楷体" w:eastAsia="楷体" w:hAnsi="楷体" w:cs="楷体" w:hint="eastAsia"/>
          <w:sz w:val="32"/>
          <w:szCs w:val="32"/>
        </w:rPr>
        <w:t>（二）仲裁</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1.监察仲裁组（组委会）负责受理选手的申诉，并将处理意见在3小时内以书面形式送达提出申诉的领队及当事人。申诉处理单需按照相关附件的格式和内容填报。</w:t>
      </w:r>
    </w:p>
    <w:p w:rsidR="005976F8" w:rsidRDefault="005976F8">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2.监察仲裁组（组委会）的裁决决定为最终裁决。</w:t>
      </w:r>
    </w:p>
    <w:p w:rsidR="00B17BA2" w:rsidRDefault="00B17BA2">
      <w:pPr>
        <w:adjustRightInd w:val="0"/>
        <w:snapToGrid w:val="0"/>
        <w:spacing w:line="360" w:lineRule="auto"/>
        <w:rPr>
          <w:rFonts w:ascii="黑体" w:eastAsia="黑体" w:hAnsi="黑体" w:cs="黑体"/>
          <w:sz w:val="32"/>
          <w:szCs w:val="32"/>
        </w:rPr>
      </w:pPr>
    </w:p>
    <w:p w:rsidR="00B17BA2" w:rsidRDefault="00B17BA2">
      <w:pPr>
        <w:adjustRightInd w:val="0"/>
        <w:snapToGrid w:val="0"/>
        <w:spacing w:line="360" w:lineRule="auto"/>
        <w:rPr>
          <w:rFonts w:ascii="黑体" w:eastAsia="黑体" w:hAnsi="黑体" w:cs="黑体"/>
          <w:sz w:val="32"/>
          <w:szCs w:val="32"/>
        </w:rPr>
      </w:pPr>
    </w:p>
    <w:p w:rsidR="00B17BA2" w:rsidRDefault="00B17BA2">
      <w:pPr>
        <w:adjustRightInd w:val="0"/>
        <w:snapToGrid w:val="0"/>
        <w:spacing w:line="360" w:lineRule="auto"/>
        <w:rPr>
          <w:rFonts w:ascii="黑体" w:eastAsia="黑体" w:hAnsi="黑体" w:cs="黑体"/>
          <w:sz w:val="32"/>
          <w:szCs w:val="32"/>
        </w:rPr>
      </w:pPr>
    </w:p>
    <w:p w:rsidR="00B17BA2" w:rsidRDefault="00B17BA2">
      <w:pPr>
        <w:adjustRightInd w:val="0"/>
        <w:snapToGrid w:val="0"/>
        <w:spacing w:line="360" w:lineRule="auto"/>
        <w:rPr>
          <w:rFonts w:ascii="黑体" w:eastAsia="黑体" w:hAnsi="黑体" w:cs="黑体"/>
          <w:sz w:val="32"/>
          <w:szCs w:val="32"/>
        </w:rPr>
      </w:pPr>
    </w:p>
    <w:p w:rsidR="00B17BA2" w:rsidRDefault="00B17BA2">
      <w:pPr>
        <w:adjustRightInd w:val="0"/>
        <w:snapToGrid w:val="0"/>
        <w:spacing w:line="360" w:lineRule="auto"/>
        <w:rPr>
          <w:rFonts w:ascii="黑体" w:eastAsia="黑体" w:hAnsi="黑体" w:cs="黑体"/>
          <w:sz w:val="32"/>
          <w:szCs w:val="32"/>
        </w:rPr>
      </w:pPr>
    </w:p>
    <w:p w:rsidR="00B17BA2" w:rsidRDefault="00B17BA2">
      <w:pPr>
        <w:adjustRightInd w:val="0"/>
        <w:snapToGrid w:val="0"/>
        <w:spacing w:line="360" w:lineRule="auto"/>
        <w:rPr>
          <w:rFonts w:ascii="黑体" w:eastAsia="黑体" w:hAnsi="黑体" w:cs="黑体"/>
          <w:sz w:val="32"/>
          <w:szCs w:val="32"/>
        </w:rPr>
      </w:pPr>
    </w:p>
    <w:p w:rsidR="00B17BA2" w:rsidRDefault="00B17BA2">
      <w:pPr>
        <w:adjustRightInd w:val="0"/>
        <w:snapToGrid w:val="0"/>
        <w:spacing w:line="360" w:lineRule="auto"/>
        <w:rPr>
          <w:rFonts w:ascii="黑体" w:eastAsia="黑体" w:hAnsi="黑体" w:cs="黑体"/>
          <w:sz w:val="32"/>
          <w:szCs w:val="32"/>
        </w:rPr>
      </w:pPr>
    </w:p>
    <w:p w:rsidR="00B17BA2" w:rsidRDefault="00B17BA2">
      <w:pPr>
        <w:adjustRightInd w:val="0"/>
        <w:snapToGrid w:val="0"/>
        <w:spacing w:line="360" w:lineRule="auto"/>
        <w:rPr>
          <w:rFonts w:ascii="黑体" w:eastAsia="黑体" w:hAnsi="黑体" w:cs="黑体"/>
          <w:sz w:val="32"/>
          <w:szCs w:val="32"/>
        </w:rPr>
      </w:pPr>
    </w:p>
    <w:p w:rsidR="00B17BA2" w:rsidRDefault="00B17BA2">
      <w:pPr>
        <w:adjustRightInd w:val="0"/>
        <w:snapToGrid w:val="0"/>
        <w:spacing w:line="360" w:lineRule="auto"/>
        <w:rPr>
          <w:rFonts w:ascii="黑体" w:eastAsia="黑体" w:hAnsi="黑体" w:cs="黑体"/>
          <w:sz w:val="32"/>
          <w:szCs w:val="32"/>
        </w:rPr>
      </w:pPr>
    </w:p>
    <w:p w:rsidR="00B17BA2" w:rsidRDefault="00B17BA2">
      <w:pPr>
        <w:adjustRightInd w:val="0"/>
        <w:snapToGrid w:val="0"/>
        <w:spacing w:line="360" w:lineRule="auto"/>
        <w:rPr>
          <w:rFonts w:ascii="黑体" w:eastAsia="黑体" w:hAnsi="黑体" w:cs="黑体"/>
          <w:sz w:val="32"/>
          <w:szCs w:val="32"/>
        </w:rPr>
      </w:pPr>
    </w:p>
    <w:p w:rsidR="00A0180F" w:rsidRDefault="00A0180F">
      <w:pPr>
        <w:adjustRightInd w:val="0"/>
        <w:snapToGrid w:val="0"/>
        <w:spacing w:line="360" w:lineRule="auto"/>
        <w:rPr>
          <w:rFonts w:ascii="黑体" w:eastAsia="黑体" w:hAnsi="黑体" w:cs="黑体"/>
          <w:sz w:val="32"/>
          <w:szCs w:val="32"/>
        </w:rPr>
      </w:pPr>
    </w:p>
    <w:p w:rsidR="005976F8" w:rsidRDefault="005976F8">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lastRenderedPageBreak/>
        <w:t>附件2</w:t>
      </w:r>
    </w:p>
    <w:p w:rsidR="005976F8" w:rsidRDefault="005976F8">
      <w:pPr>
        <w:adjustRightInd w:val="0"/>
        <w:snapToGrid w:val="0"/>
        <w:spacing w:line="360" w:lineRule="auto"/>
        <w:rPr>
          <w:rFonts w:ascii="黑体" w:eastAsia="黑体" w:hAnsi="黑体" w:cs="黑体"/>
          <w:sz w:val="32"/>
          <w:szCs w:val="32"/>
        </w:rPr>
      </w:pPr>
    </w:p>
    <w:p w:rsidR="005976F8" w:rsidRDefault="005976F8">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2022年山东省“技能兴鲁”职业技能大赛</w:t>
      </w:r>
    </w:p>
    <w:p w:rsidR="005976F8" w:rsidRDefault="005976F8">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——钢结构建造职业技能竞赛省级决赛</w:t>
      </w:r>
    </w:p>
    <w:p w:rsidR="005976F8" w:rsidRDefault="005976F8">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分配名额</w:t>
      </w:r>
    </w:p>
    <w:p w:rsidR="005976F8" w:rsidRDefault="005976F8">
      <w:pPr>
        <w:jc w:val="center"/>
        <w:rPr>
          <w:rFonts w:ascii="宋体" w:hAnsi="宋体" w:cs="宋体"/>
          <w:b/>
          <w:bCs/>
          <w:sz w:val="44"/>
          <w:szCs w:val="44"/>
        </w:rPr>
      </w:pPr>
    </w:p>
    <w:tbl>
      <w:tblPr>
        <w:tblW w:w="499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1431"/>
        <w:gridCol w:w="3164"/>
        <w:gridCol w:w="3139"/>
      </w:tblGrid>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黑体" w:eastAsia="黑体" w:hAnsi="黑体" w:cs="黑体"/>
                <w:sz w:val="28"/>
                <w:szCs w:val="28"/>
              </w:rPr>
            </w:pPr>
            <w:r w:rsidRPr="005976F8">
              <w:rPr>
                <w:rFonts w:ascii="黑体" w:eastAsia="黑体" w:hAnsi="黑体" w:cs="黑体" w:hint="eastAsia"/>
                <w:sz w:val="28"/>
                <w:szCs w:val="28"/>
              </w:rPr>
              <w:t>序号</w:t>
            </w:r>
          </w:p>
        </w:tc>
        <w:tc>
          <w:tcPr>
            <w:tcW w:w="812" w:type="pct"/>
            <w:shd w:val="clear" w:color="auto" w:fill="auto"/>
            <w:vAlign w:val="center"/>
          </w:tcPr>
          <w:p w:rsidR="005976F8" w:rsidRPr="005976F8" w:rsidRDefault="005976F8" w:rsidP="005976F8">
            <w:pPr>
              <w:jc w:val="center"/>
              <w:rPr>
                <w:rFonts w:ascii="黑体" w:eastAsia="黑体" w:hAnsi="黑体" w:cs="黑体"/>
                <w:sz w:val="28"/>
                <w:szCs w:val="28"/>
              </w:rPr>
            </w:pPr>
            <w:r w:rsidRPr="005976F8">
              <w:rPr>
                <w:rFonts w:ascii="黑体" w:eastAsia="黑体" w:hAnsi="黑体" w:cs="黑体" w:hint="eastAsia"/>
                <w:sz w:val="28"/>
                <w:szCs w:val="28"/>
              </w:rPr>
              <w:t>城市</w:t>
            </w:r>
          </w:p>
        </w:tc>
        <w:tc>
          <w:tcPr>
            <w:tcW w:w="1796" w:type="pct"/>
            <w:shd w:val="clear" w:color="auto" w:fill="auto"/>
            <w:vAlign w:val="center"/>
          </w:tcPr>
          <w:p w:rsidR="005976F8" w:rsidRPr="005976F8" w:rsidRDefault="005976F8" w:rsidP="005976F8">
            <w:pPr>
              <w:jc w:val="center"/>
              <w:rPr>
                <w:rFonts w:ascii="黑体" w:eastAsia="黑体" w:hAnsi="黑体" w:cs="黑体"/>
                <w:sz w:val="28"/>
                <w:szCs w:val="28"/>
              </w:rPr>
            </w:pPr>
            <w:r w:rsidRPr="005976F8">
              <w:rPr>
                <w:rFonts w:ascii="黑体" w:eastAsia="黑体" w:hAnsi="黑体" w:cs="黑体" w:hint="eastAsia"/>
                <w:sz w:val="28"/>
                <w:szCs w:val="28"/>
              </w:rPr>
              <w:t>参赛队伍名额（队）</w:t>
            </w:r>
          </w:p>
        </w:tc>
        <w:tc>
          <w:tcPr>
            <w:tcW w:w="1782" w:type="pct"/>
            <w:shd w:val="clear" w:color="auto" w:fill="auto"/>
            <w:vAlign w:val="center"/>
          </w:tcPr>
          <w:p w:rsidR="005976F8" w:rsidRPr="005976F8" w:rsidRDefault="005976F8" w:rsidP="005976F8">
            <w:pPr>
              <w:jc w:val="center"/>
              <w:rPr>
                <w:rFonts w:ascii="黑体" w:eastAsia="黑体" w:hAnsi="黑体" w:cs="黑体"/>
                <w:sz w:val="28"/>
                <w:szCs w:val="28"/>
              </w:rPr>
            </w:pPr>
            <w:r w:rsidRPr="005976F8">
              <w:rPr>
                <w:rFonts w:ascii="黑体" w:eastAsia="黑体" w:hAnsi="黑体" w:cs="黑体" w:hint="eastAsia"/>
                <w:sz w:val="28"/>
                <w:szCs w:val="28"/>
              </w:rPr>
              <w:t>参赛选手数量（人）</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济南</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2</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8</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2</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青岛</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2</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8</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3</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淄博</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枣庄</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5</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东营</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6</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烟台</w:t>
            </w:r>
          </w:p>
        </w:tc>
        <w:tc>
          <w:tcPr>
            <w:tcW w:w="1796" w:type="pct"/>
            <w:shd w:val="clear" w:color="auto" w:fill="auto"/>
            <w:vAlign w:val="center"/>
          </w:tcPr>
          <w:p w:rsidR="005976F8" w:rsidRPr="005976F8" w:rsidRDefault="005976F8" w:rsidP="005976F8">
            <w:pPr>
              <w:jc w:val="center"/>
              <w:rPr>
                <w:rFonts w:ascii="宋体" w:hAnsi="宋体" w:cs="宋体" w:hint="eastAsia"/>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hint="eastAsia"/>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7</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潍坊</w:t>
            </w:r>
          </w:p>
        </w:tc>
        <w:tc>
          <w:tcPr>
            <w:tcW w:w="1796" w:type="pct"/>
            <w:shd w:val="clear" w:color="auto" w:fill="auto"/>
            <w:vAlign w:val="center"/>
          </w:tcPr>
          <w:p w:rsidR="005976F8" w:rsidRPr="005976F8" w:rsidRDefault="005976F8" w:rsidP="005976F8">
            <w:pPr>
              <w:jc w:val="center"/>
              <w:rPr>
                <w:rFonts w:ascii="宋体" w:hAnsi="宋体" w:cs="宋体" w:hint="eastAsia"/>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hint="eastAsia"/>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8</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济宁</w:t>
            </w:r>
          </w:p>
        </w:tc>
        <w:tc>
          <w:tcPr>
            <w:tcW w:w="1796" w:type="pct"/>
            <w:shd w:val="clear" w:color="auto" w:fill="auto"/>
            <w:vAlign w:val="center"/>
          </w:tcPr>
          <w:p w:rsidR="005976F8" w:rsidRPr="005976F8" w:rsidRDefault="005976F8" w:rsidP="005976F8">
            <w:pPr>
              <w:jc w:val="center"/>
              <w:rPr>
                <w:rFonts w:ascii="宋体" w:hAnsi="宋体" w:cs="宋体" w:hint="eastAsia"/>
                <w:sz w:val="28"/>
                <w:szCs w:val="28"/>
              </w:rPr>
            </w:pPr>
            <w:r w:rsidRPr="005976F8">
              <w:rPr>
                <w:rFonts w:ascii="宋体" w:hAnsi="宋体" w:cs="宋体" w:hint="eastAsia"/>
                <w:sz w:val="28"/>
                <w:szCs w:val="28"/>
              </w:rPr>
              <w:t>2</w:t>
            </w:r>
          </w:p>
        </w:tc>
        <w:tc>
          <w:tcPr>
            <w:tcW w:w="1782" w:type="pct"/>
            <w:shd w:val="clear" w:color="auto" w:fill="auto"/>
            <w:vAlign w:val="center"/>
          </w:tcPr>
          <w:p w:rsidR="005976F8" w:rsidRPr="005976F8" w:rsidRDefault="005976F8" w:rsidP="005976F8">
            <w:pPr>
              <w:jc w:val="center"/>
              <w:rPr>
                <w:rFonts w:ascii="宋体" w:hAnsi="宋体" w:cs="宋体" w:hint="eastAsia"/>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9</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泰安</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10</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威海</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11</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日照</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12</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临沂</w:t>
            </w:r>
          </w:p>
        </w:tc>
        <w:tc>
          <w:tcPr>
            <w:tcW w:w="1796" w:type="pct"/>
            <w:shd w:val="clear" w:color="auto" w:fill="auto"/>
            <w:vAlign w:val="center"/>
          </w:tcPr>
          <w:p w:rsidR="005976F8" w:rsidRPr="005976F8" w:rsidRDefault="005976F8" w:rsidP="005976F8">
            <w:pPr>
              <w:jc w:val="center"/>
              <w:rPr>
                <w:rFonts w:ascii="宋体" w:hAnsi="宋体" w:cs="宋体" w:hint="eastAsia"/>
                <w:sz w:val="28"/>
                <w:szCs w:val="28"/>
              </w:rPr>
            </w:pPr>
            <w:r w:rsidRPr="005976F8">
              <w:rPr>
                <w:rFonts w:ascii="宋体" w:hAnsi="宋体" w:cs="宋体" w:hint="eastAsia"/>
                <w:sz w:val="28"/>
                <w:szCs w:val="28"/>
              </w:rPr>
              <w:t>2</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13</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德州</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14</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聊城</w:t>
            </w:r>
          </w:p>
        </w:tc>
        <w:tc>
          <w:tcPr>
            <w:tcW w:w="1796" w:type="pct"/>
            <w:shd w:val="clear" w:color="auto" w:fill="auto"/>
            <w:vAlign w:val="center"/>
          </w:tcPr>
          <w:p w:rsidR="005976F8" w:rsidRPr="005976F8" w:rsidRDefault="005976F8" w:rsidP="005976F8">
            <w:pPr>
              <w:jc w:val="center"/>
              <w:rPr>
                <w:rFonts w:ascii="宋体" w:hAnsi="宋体" w:cs="宋体" w:hint="eastAsia"/>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hint="eastAsia"/>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15</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滨州</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609"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16</w:t>
            </w:r>
          </w:p>
        </w:tc>
        <w:tc>
          <w:tcPr>
            <w:tcW w:w="81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菏泽</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1</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4</w:t>
            </w:r>
          </w:p>
        </w:tc>
      </w:tr>
      <w:tr w:rsidR="005976F8" w:rsidRPr="005976F8" w:rsidTr="005976F8">
        <w:trPr>
          <w:trHeight w:hRule="exact" w:val="510"/>
          <w:jc w:val="center"/>
        </w:trPr>
        <w:tc>
          <w:tcPr>
            <w:tcW w:w="1421" w:type="pct"/>
            <w:gridSpan w:val="2"/>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合计</w:t>
            </w:r>
          </w:p>
        </w:tc>
        <w:tc>
          <w:tcPr>
            <w:tcW w:w="1796"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20</w:t>
            </w:r>
          </w:p>
        </w:tc>
        <w:tc>
          <w:tcPr>
            <w:tcW w:w="1782" w:type="pct"/>
            <w:shd w:val="clear" w:color="auto" w:fill="auto"/>
            <w:vAlign w:val="center"/>
          </w:tcPr>
          <w:p w:rsidR="005976F8" w:rsidRPr="005976F8" w:rsidRDefault="005976F8" w:rsidP="005976F8">
            <w:pPr>
              <w:jc w:val="center"/>
              <w:rPr>
                <w:rFonts w:ascii="宋体" w:hAnsi="宋体" w:cs="宋体"/>
                <w:sz w:val="28"/>
                <w:szCs w:val="28"/>
              </w:rPr>
            </w:pPr>
            <w:r w:rsidRPr="005976F8">
              <w:rPr>
                <w:rFonts w:ascii="宋体" w:hAnsi="宋体" w:cs="宋体" w:hint="eastAsia"/>
                <w:sz w:val="28"/>
                <w:szCs w:val="28"/>
              </w:rPr>
              <w:t>80</w:t>
            </w:r>
          </w:p>
        </w:tc>
      </w:tr>
    </w:tbl>
    <w:p w:rsidR="005976F8" w:rsidRDefault="005976F8">
      <w:pPr>
        <w:rPr>
          <w:rFonts w:ascii="宋体" w:hAnsi="宋体" w:cs="宋体"/>
          <w:sz w:val="28"/>
          <w:szCs w:val="28"/>
        </w:rPr>
      </w:pPr>
      <w:r>
        <w:rPr>
          <w:rFonts w:ascii="宋体" w:hAnsi="宋体" w:cs="宋体" w:hint="eastAsia"/>
          <w:sz w:val="28"/>
          <w:szCs w:val="28"/>
        </w:rPr>
        <w:t>说明：省级决赛东道主城市参赛名额适当增加。</w:t>
      </w:r>
    </w:p>
    <w:sectPr w:rsidR="005976F8">
      <w:footerReference w:type="even" r:id="rId8"/>
      <w:footerReference w:type="default" r:id="rId9"/>
      <w:pgSz w:w="11906" w:h="16838"/>
      <w:pgMar w:top="1440" w:right="1542" w:bottom="1440" w:left="1542"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2F" w:rsidRDefault="00267C2F">
      <w:r>
        <w:separator/>
      </w:r>
    </w:p>
  </w:endnote>
  <w:endnote w:type="continuationSeparator" w:id="0">
    <w:p w:rsidR="00267C2F" w:rsidRDefault="0026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F8" w:rsidRDefault="005976F8">
    <w:pPr>
      <w:pStyle w:val="a4"/>
      <w:framePr w:wrap="around" w:vAnchor="text" w:hAnchor="margin" w:xAlign="outside" w:y="1"/>
      <w:rPr>
        <w:rStyle w:val="a8"/>
      </w:rPr>
    </w:pPr>
    <w:r>
      <w:fldChar w:fldCharType="begin"/>
    </w:r>
    <w:r>
      <w:rPr>
        <w:rStyle w:val="a8"/>
      </w:rPr>
      <w:instrText xml:space="preserve">PAGE  </w:instrText>
    </w:r>
    <w:r>
      <w:fldChar w:fldCharType="separate"/>
    </w:r>
    <w:r>
      <w:rPr>
        <w:rStyle w:val="a8"/>
      </w:rPr>
      <w:t>- 2 -</w:t>
    </w:r>
    <w:r>
      <w:fldChar w:fldCharType="end"/>
    </w:r>
  </w:p>
  <w:p w:rsidR="005976F8" w:rsidRDefault="005976F8">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6F8" w:rsidRDefault="005976F8">
    <w:pPr>
      <w:pStyle w:val="a4"/>
      <w:jc w:val="cente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D04E6A" w:rsidRPr="00D04E6A">
      <w:rPr>
        <w:rFonts w:ascii="宋体" w:hAnsi="宋体" w:cs="宋体"/>
        <w:noProof/>
        <w:sz w:val="28"/>
        <w:szCs w:val="28"/>
        <w:lang w:val="zh-CN"/>
      </w:rPr>
      <w:t>-</w:t>
    </w:r>
    <w:r w:rsidR="00D04E6A">
      <w:rPr>
        <w:rFonts w:ascii="宋体" w:hAnsi="宋体" w:cs="宋体"/>
        <w:noProof/>
        <w:sz w:val="28"/>
        <w:szCs w:val="28"/>
      </w:rPr>
      <w:t xml:space="preserve"> 1 -</w:t>
    </w:r>
    <w:r>
      <w:rPr>
        <w:rFonts w:ascii="宋体" w:hAnsi="宋体" w:cs="宋体" w:hint="eastAsia"/>
        <w:sz w:val="28"/>
        <w:szCs w:val="28"/>
      </w:rPr>
      <w:fldChar w:fldCharType="end"/>
    </w:r>
  </w:p>
  <w:p w:rsidR="005976F8" w:rsidRDefault="005976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2F" w:rsidRDefault="00267C2F">
      <w:r>
        <w:separator/>
      </w:r>
    </w:p>
  </w:footnote>
  <w:footnote w:type="continuationSeparator" w:id="0">
    <w:p w:rsidR="00267C2F" w:rsidRDefault="00267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0NbA0NAMSRkZGpko6SsGpxcWZ+XkgBYa1AGHj0YksAAAA"/>
    <w:docVar w:name="commondata" w:val="eyJoZGlkIjoiMTAyNjgyMWMyMTEzNjkwZjhhMjQ3MGRjYzE3NTRjYjAifQ=="/>
  </w:docVars>
  <w:rsids>
    <w:rsidRoot w:val="10466D58"/>
    <w:rsid w:val="0001173C"/>
    <w:rsid w:val="000243A6"/>
    <w:rsid w:val="00067608"/>
    <w:rsid w:val="00097A4C"/>
    <w:rsid w:val="00097BFE"/>
    <w:rsid w:val="000A3CAC"/>
    <w:rsid w:val="00102E37"/>
    <w:rsid w:val="0017472A"/>
    <w:rsid w:val="001D1163"/>
    <w:rsid w:val="001E400E"/>
    <w:rsid w:val="001E6831"/>
    <w:rsid w:val="00217BB0"/>
    <w:rsid w:val="0023096A"/>
    <w:rsid w:val="002534D9"/>
    <w:rsid w:val="00267C2F"/>
    <w:rsid w:val="002C2AA1"/>
    <w:rsid w:val="00320034"/>
    <w:rsid w:val="00325721"/>
    <w:rsid w:val="00327BE8"/>
    <w:rsid w:val="00353000"/>
    <w:rsid w:val="003A02D7"/>
    <w:rsid w:val="004A3829"/>
    <w:rsid w:val="004A4E12"/>
    <w:rsid w:val="004D45EB"/>
    <w:rsid w:val="004D4F93"/>
    <w:rsid w:val="004D62B7"/>
    <w:rsid w:val="004E2C76"/>
    <w:rsid w:val="00520867"/>
    <w:rsid w:val="005573AF"/>
    <w:rsid w:val="00560111"/>
    <w:rsid w:val="00570887"/>
    <w:rsid w:val="00585B88"/>
    <w:rsid w:val="005976F8"/>
    <w:rsid w:val="0065706D"/>
    <w:rsid w:val="006615A9"/>
    <w:rsid w:val="00663980"/>
    <w:rsid w:val="0066738E"/>
    <w:rsid w:val="00697252"/>
    <w:rsid w:val="006A4756"/>
    <w:rsid w:val="006E3687"/>
    <w:rsid w:val="006F009F"/>
    <w:rsid w:val="007429AB"/>
    <w:rsid w:val="00750E40"/>
    <w:rsid w:val="00766662"/>
    <w:rsid w:val="00810435"/>
    <w:rsid w:val="00833CD1"/>
    <w:rsid w:val="0084675A"/>
    <w:rsid w:val="00852DAE"/>
    <w:rsid w:val="00892D48"/>
    <w:rsid w:val="008E57DB"/>
    <w:rsid w:val="008F4DDE"/>
    <w:rsid w:val="00921C9B"/>
    <w:rsid w:val="00923D4D"/>
    <w:rsid w:val="00960CCC"/>
    <w:rsid w:val="0096445D"/>
    <w:rsid w:val="00A0180F"/>
    <w:rsid w:val="00A01ECB"/>
    <w:rsid w:val="00A30F03"/>
    <w:rsid w:val="00A52B51"/>
    <w:rsid w:val="00A6006F"/>
    <w:rsid w:val="00A71CF9"/>
    <w:rsid w:val="00A8138A"/>
    <w:rsid w:val="00AC1ED7"/>
    <w:rsid w:val="00B11283"/>
    <w:rsid w:val="00B1276A"/>
    <w:rsid w:val="00B16D6A"/>
    <w:rsid w:val="00B17BA2"/>
    <w:rsid w:val="00B2398E"/>
    <w:rsid w:val="00B92BE4"/>
    <w:rsid w:val="00BC35FA"/>
    <w:rsid w:val="00BE2AD2"/>
    <w:rsid w:val="00C12CAA"/>
    <w:rsid w:val="00C12F9F"/>
    <w:rsid w:val="00C2168D"/>
    <w:rsid w:val="00C34F66"/>
    <w:rsid w:val="00C51A00"/>
    <w:rsid w:val="00C63065"/>
    <w:rsid w:val="00C76333"/>
    <w:rsid w:val="00C876DC"/>
    <w:rsid w:val="00CA0126"/>
    <w:rsid w:val="00CF1804"/>
    <w:rsid w:val="00CF1915"/>
    <w:rsid w:val="00D01DEF"/>
    <w:rsid w:val="00D04E6A"/>
    <w:rsid w:val="00D22209"/>
    <w:rsid w:val="00D546D9"/>
    <w:rsid w:val="00D64725"/>
    <w:rsid w:val="00D65897"/>
    <w:rsid w:val="00D71844"/>
    <w:rsid w:val="00DE750B"/>
    <w:rsid w:val="00E0273D"/>
    <w:rsid w:val="00E10894"/>
    <w:rsid w:val="00E35E14"/>
    <w:rsid w:val="00E51CE4"/>
    <w:rsid w:val="00E63F4C"/>
    <w:rsid w:val="00E6607E"/>
    <w:rsid w:val="00E97C6D"/>
    <w:rsid w:val="00EB1B24"/>
    <w:rsid w:val="00F01DCB"/>
    <w:rsid w:val="00F32F3C"/>
    <w:rsid w:val="00F42E99"/>
    <w:rsid w:val="00F75967"/>
    <w:rsid w:val="00F97B34"/>
    <w:rsid w:val="00FC14E4"/>
    <w:rsid w:val="00FD3045"/>
    <w:rsid w:val="00FD56AF"/>
    <w:rsid w:val="030C09B1"/>
    <w:rsid w:val="0E3F3DB5"/>
    <w:rsid w:val="10466D58"/>
    <w:rsid w:val="11412BD1"/>
    <w:rsid w:val="11AB783C"/>
    <w:rsid w:val="14C91200"/>
    <w:rsid w:val="16D046B6"/>
    <w:rsid w:val="1DEC1183"/>
    <w:rsid w:val="236E2450"/>
    <w:rsid w:val="236E563A"/>
    <w:rsid w:val="29F23F90"/>
    <w:rsid w:val="2C071743"/>
    <w:rsid w:val="2C835800"/>
    <w:rsid w:val="376B06D2"/>
    <w:rsid w:val="3A6E3994"/>
    <w:rsid w:val="3BA6E1CE"/>
    <w:rsid w:val="3C3957AC"/>
    <w:rsid w:val="3FE73BE7"/>
    <w:rsid w:val="3FF710DC"/>
    <w:rsid w:val="3FFF6D17"/>
    <w:rsid w:val="50015880"/>
    <w:rsid w:val="52470FA3"/>
    <w:rsid w:val="54BB19BD"/>
    <w:rsid w:val="58FE27E1"/>
    <w:rsid w:val="5FF78DFC"/>
    <w:rsid w:val="61C967E4"/>
    <w:rsid w:val="66A6332B"/>
    <w:rsid w:val="6B9B59D8"/>
    <w:rsid w:val="77DBE302"/>
    <w:rsid w:val="7A031946"/>
    <w:rsid w:val="7AE2658F"/>
    <w:rsid w:val="7CD3FDB8"/>
    <w:rsid w:val="7D1DFF3E"/>
    <w:rsid w:val="7DBB11B4"/>
    <w:rsid w:val="7E6F0520"/>
    <w:rsid w:val="7EFBF483"/>
    <w:rsid w:val="7FB9488F"/>
    <w:rsid w:val="7FE33D3E"/>
    <w:rsid w:val="87FF0FE7"/>
    <w:rsid w:val="9BDC7B79"/>
    <w:rsid w:val="B6CBC28A"/>
    <w:rsid w:val="BDA37851"/>
    <w:rsid w:val="BFF760CC"/>
    <w:rsid w:val="D77E55CE"/>
    <w:rsid w:val="D7F6A673"/>
    <w:rsid w:val="EFFFEE00"/>
    <w:rsid w:val="F7DDB939"/>
    <w:rsid w:val="FBCB592B"/>
    <w:rsid w:val="FE8C612F"/>
    <w:rsid w:val="FF5F4564"/>
    <w:rsid w:val="FFF70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824DC"/>
  <w15:chartTrackingRefBased/>
  <w15:docId w15:val="{D00AA835-117B-40BA-AF7E-ABFB3D77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uiPriority="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360" w:lineRule="auto"/>
      <w:jc w:val="center"/>
      <w:outlineLvl w:val="0"/>
    </w:pPr>
    <w:rPr>
      <w:rFonts w:eastAsia="黑体"/>
      <w:bCs/>
      <w:kern w:val="44"/>
      <w:sz w:val="36"/>
      <w:szCs w:val="44"/>
    </w:rPr>
  </w:style>
  <w:style w:type="paragraph" w:styleId="2">
    <w:name w:val="heading 2"/>
    <w:basedOn w:val="a"/>
    <w:next w:val="a"/>
    <w:link w:val="2Char"/>
    <w:qFormat/>
    <w:pPr>
      <w:keepNext/>
      <w:keepLines/>
      <w:spacing w:afterLines="50" w:after="50" w:line="480" w:lineRule="auto"/>
      <w:outlineLvl w:val="1"/>
    </w:pPr>
    <w:rPr>
      <w:rFonts w:ascii="Calibri Light" w:eastAsia="黑体" w:hAnsi="Calibri Light"/>
      <w:bCs/>
      <w:sz w:val="32"/>
      <w:szCs w:val="3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rFonts w:ascii="Calibri" w:eastAsia="黑体" w:hAnsi="Calibri" w:cs="Times New Roman"/>
      <w:bCs/>
      <w:kern w:val="44"/>
      <w:sz w:val="36"/>
      <w:szCs w:val="44"/>
    </w:rPr>
  </w:style>
  <w:style w:type="character" w:customStyle="1" w:styleId="2Char">
    <w:name w:val="标题 2 Char"/>
    <w:link w:val="2"/>
    <w:qFormat/>
    <w:rPr>
      <w:rFonts w:ascii="Calibri Light" w:eastAsia="黑体" w:hAnsi="Calibri Light" w:cs="Times New Roman"/>
      <w:bCs/>
      <w:kern w:val="2"/>
      <w:sz w:val="32"/>
      <w:szCs w:val="32"/>
    </w:rPr>
  </w:style>
  <w:style w:type="paragraph" w:styleId="a3">
    <w:name w:val="Body Text"/>
    <w:basedOn w:val="a"/>
    <w:uiPriority w:val="1"/>
    <w:qFormat/>
    <w:pPr>
      <w:autoSpaceDE w:val="0"/>
      <w:autoSpaceDN w:val="0"/>
      <w:ind w:left="713"/>
      <w:jc w:val="left"/>
    </w:pPr>
    <w:rPr>
      <w:rFonts w:ascii="微软雅黑" w:eastAsia="微软雅黑" w:hAnsi="微软雅黑" w:cs="微软雅黑"/>
      <w:kern w:val="0"/>
      <w:sz w:val="32"/>
      <w:szCs w:val="32"/>
      <w:lang w:val="zh-CN" w:bidi="zh-CN"/>
    </w:rPr>
  </w:style>
  <w:style w:type="paragraph" w:styleId="a4">
    <w:name w:val="footer"/>
    <w:basedOn w:val="a"/>
    <w:link w:val="Char"/>
    <w:uiPriority w:val="99"/>
    <w:qFormat/>
    <w:pPr>
      <w:tabs>
        <w:tab w:val="center" w:pos="4153"/>
        <w:tab w:val="right" w:pos="8306"/>
      </w:tabs>
      <w:snapToGrid w:val="0"/>
      <w:jc w:val="left"/>
    </w:pPr>
    <w:rPr>
      <w:sz w:val="18"/>
      <w:szCs w:val="18"/>
    </w:rPr>
  </w:style>
  <w:style w:type="character" w:customStyle="1" w:styleId="Char">
    <w:name w:val="页脚 Char"/>
    <w:link w:val="a4"/>
    <w:uiPriority w:val="99"/>
    <w:qFormat/>
    <w:rPr>
      <w:rFonts w:ascii="Calibri" w:eastAsia="宋体" w:hAnsi="Calibri" w:cs="Times New Roman"/>
      <w:kern w:val="2"/>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qFormat/>
    <w:rPr>
      <w:rFonts w:ascii="Calibri" w:eastAsia="宋体" w:hAnsi="Calibri" w:cs="Times New Roman"/>
      <w:kern w:val="2"/>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Pr>
      <w:b/>
      <w:bCs/>
    </w:rPr>
  </w:style>
  <w:style w:type="character" w:styleId="a8">
    <w:name w:val="page number"/>
    <w:qFormat/>
  </w:style>
  <w:style w:type="character" w:styleId="a9">
    <w:name w:val="Hyperlink"/>
    <w:qFormat/>
    <w:rPr>
      <w:color w:val="0000FF"/>
      <w:u w:val="single"/>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center"/>
    </w:pPr>
    <w:rPr>
      <w:rFonts w:ascii="微软雅黑" w:eastAsia="微软雅黑" w:hAnsi="微软雅黑" w:cs="微软雅黑"/>
      <w:kern w:val="0"/>
      <w:sz w:val="22"/>
      <w:lang w:val="zh-CN" w:bidi="zh-CN"/>
    </w:rPr>
  </w:style>
  <w:style w:type="paragraph" w:styleId="aa">
    <w:name w:val="Balloon Text"/>
    <w:basedOn w:val="a"/>
    <w:link w:val="Char1"/>
    <w:rsid w:val="00D04E6A"/>
    <w:rPr>
      <w:sz w:val="18"/>
      <w:szCs w:val="18"/>
    </w:rPr>
  </w:style>
  <w:style w:type="character" w:customStyle="1" w:styleId="Char1">
    <w:name w:val="批注框文本 Char"/>
    <w:link w:val="aa"/>
    <w:rsid w:val="00D04E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823</Words>
  <Characters>4695</Characters>
  <Application>Microsoft Office Word</Application>
  <DocSecurity>0</DocSecurity>
  <Lines>39</Lines>
  <Paragraphs>11</Paragraphs>
  <ScaleCrop>false</ScaleCrop>
  <Company>Microsoft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鲁建节科函〔2022〕   号</dc:title>
  <dc:subject/>
  <dc:creator>小甄小甄梦想成真</dc:creator>
  <cp:keywords/>
  <cp:lastModifiedBy>Lenovo</cp:lastModifiedBy>
  <cp:revision>3</cp:revision>
  <cp:lastPrinted>2022-08-14T15:55:00Z</cp:lastPrinted>
  <dcterms:created xsi:type="dcterms:W3CDTF">2022-08-18T03:11:00Z</dcterms:created>
  <dcterms:modified xsi:type="dcterms:W3CDTF">2022-08-18T03:11:00Z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80DB408FC12B4E369E8536EF887B3EE9</vt:lpwstr>
  </property>
</Properties>
</file>