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 PS Pro" w:hAnsi="Times New Roman PS Pro" w:cs="Times New Roman PS Pro"/>
          <w:spacing w:val="12"/>
          <w:kern w:val="0"/>
          <w:sz w:val="24"/>
          <w:lang w:val="en-US"/>
        </w:rPr>
      </w:pPr>
      <w:r>
        <w:rPr>
          <w:rFonts w:hint="default" w:ascii="Times New Roman PS Pro" w:hAnsi="Times New Roman PS Pro" w:eastAsia="黑体" w:cs="Times New Roman PS Pro"/>
          <w:sz w:val="32"/>
          <w:szCs w:val="32"/>
          <w:lang w:eastAsia="zh-CN"/>
        </w:rPr>
        <w:t>附件</w:t>
      </w:r>
      <w:r>
        <w:rPr>
          <w:rFonts w:hint="eastAsia" w:ascii="Times New Roman PS Pro" w:hAnsi="Times New Roman PS Pro" w:eastAsia="黑体" w:cs="Times New Roman PS Pr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</w:rPr>
        <w:t>十四五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</w:rPr>
        <w:t>和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</w:rPr>
        <w:t>十五五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pacing w:val="12"/>
          <w:kern w:val="0"/>
          <w:sz w:val="44"/>
          <w:szCs w:val="44"/>
        </w:rPr>
        <w:t>新增采暖面积和新增热源数据汇总表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382"/>
        <w:gridCol w:w="38"/>
        <w:gridCol w:w="691"/>
        <w:gridCol w:w="307"/>
        <w:gridCol w:w="392"/>
        <w:gridCol w:w="580"/>
        <w:gridCol w:w="280"/>
        <w:gridCol w:w="449"/>
        <w:gridCol w:w="210"/>
        <w:gridCol w:w="475"/>
        <w:gridCol w:w="14"/>
        <w:gridCol w:w="787"/>
        <w:gridCol w:w="73"/>
        <w:gridCol w:w="635"/>
        <w:gridCol w:w="24"/>
        <w:gridCol w:w="475"/>
        <w:gridCol w:w="210"/>
        <w:gridCol w:w="591"/>
        <w:gridCol w:w="260"/>
        <w:gridCol w:w="448"/>
        <w:gridCol w:w="150"/>
        <w:gridCol w:w="559"/>
        <w:gridCol w:w="421"/>
        <w:gridCol w:w="430"/>
        <w:gridCol w:w="598"/>
        <w:gridCol w:w="32"/>
        <w:gridCol w:w="764"/>
        <w:gridCol w:w="184"/>
        <w:gridCol w:w="352"/>
        <w:gridCol w:w="708"/>
        <w:gridCol w:w="558"/>
        <w:gridCol w:w="206"/>
        <w:gridCol w:w="525"/>
        <w:gridCol w:w="11"/>
        <w:gridCol w:w="149"/>
        <w:gridCol w:w="709"/>
        <w:gridCol w:w="408"/>
        <w:gridCol w:w="726"/>
        <w:gridCol w:w="165"/>
        <w:gridCol w:w="709"/>
        <w:gridCol w:w="247"/>
        <w:gridCol w:w="296"/>
        <w:gridCol w:w="591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各地州（市）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时间阶段</w:t>
            </w:r>
          </w:p>
        </w:tc>
        <w:tc>
          <w:tcPr>
            <w:tcW w:w="9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区域</w:t>
            </w:r>
          </w:p>
        </w:tc>
        <w:tc>
          <w:tcPr>
            <w:tcW w:w="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采暖面积</w:t>
            </w:r>
          </w:p>
        </w:tc>
        <w:tc>
          <w:tcPr>
            <w:tcW w:w="6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清洁取暖面积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清洁取暖率</w:t>
            </w:r>
          </w:p>
        </w:tc>
        <w:tc>
          <w:tcPr>
            <w:tcW w:w="193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燃煤采暖（万平方米）</w:t>
            </w:r>
          </w:p>
        </w:tc>
        <w:tc>
          <w:tcPr>
            <w:tcW w:w="22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燃气采暖（万平方米）</w:t>
            </w:r>
          </w:p>
        </w:tc>
        <w:tc>
          <w:tcPr>
            <w:tcW w:w="34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电采暖（万平方米）</w:t>
            </w:r>
          </w:p>
        </w:tc>
        <w:tc>
          <w:tcPr>
            <w:tcW w:w="34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25" w:leftChars="-12" w:firstLine="27" w:firstLineChars="15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其他采暖（万平方米）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地热</w:t>
            </w:r>
          </w:p>
        </w:tc>
        <w:tc>
          <w:tcPr>
            <w:tcW w:w="2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可再生能源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工业余热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备注1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备注2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万平方米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万平方米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燃煤热电联产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燃煤锅炉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散烧煤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燃气热电联产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燃气锅炉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分户式燃气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集中电锅炉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集中热泵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分户式电暖器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分户式热泵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地热</w:t>
            </w: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生物质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垃圾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工业余热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清洁燃煤热电联产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清洁燃煤锅炉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2022年新增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2023年新增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2024年新增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2025年新增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十五五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2022年新增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2023年新增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2024年新增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2025年新增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十五五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城镇地区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农村地区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……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08" w:type="dxa"/>
          <w:trHeight w:val="200" w:hRule="atLeast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填表说明：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1.总采暖面积=城镇地区采暖面积+农村地区采暖面积</w:t>
            </w: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2.总清洁采暖面积=城镇地区清洁采暖面积+农村地区清洁采暖面积</w:t>
            </w: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3.清洁取暖率=清洁取暖面积/采暖面积</w:t>
            </w: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22"/>
                <w:szCs w:val="22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4.备注1清洁燃煤热电联产：指的是已完成超低排放改造的燃煤热电联产，如燃煤热电联产均已完成超低排放改造，则此数据与燃煤热电联产数据一致。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22"/>
                <w:szCs w:val="22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5.备注2清洁燃煤锅炉：指的是已完成超低排放改造的燃煤锅炉，如燃煤锅炉均已完成超低排放改造，则此数据与燃煤锅炉数据一致。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6.热源的供热能力一般都大于热源实际接带的采暖面积，故采暖面积≤燃煤采暖+燃气采暖+电采暖+地热+可再生能源+工业余热</w:t>
            </w: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04" w:type="dxa"/>
          <w:trHeight w:val="200" w:hRule="atLeast"/>
        </w:trPr>
        <w:tc>
          <w:tcPr>
            <w:tcW w:w="16522" w:type="dxa"/>
            <w:gridSpan w:val="4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 PS Pro" w:hAnsi="Times New Roman PS Pro" w:eastAsia="仿宋_GB2312" w:cs="Times New Roman PS Pro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bidi="ar"/>
              </w:rPr>
              <w:t>7.热源的供热能力一般都大于热源实际接带的采暖面积，故清洁取暖面积≤清洁燃煤采暖+清洁燃煤锅炉+燃气采暖+电采暖+地热+可再生能源+工业余热</w:t>
            </w:r>
            <w:r>
              <w:rPr>
                <w:rFonts w:hint="default" w:ascii="Times New Roman PS Pro" w:hAnsi="Times New Roman PS Pro" w:eastAsia="仿宋_GB2312" w:cs="Times New Roman PS Pro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notePr>
        <w:numFmt w:val="decimal"/>
      </w:footnotePr>
      <w:pgSz w:w="23811" w:h="16838" w:orient="landscape"/>
      <w:pgMar w:top="2120" w:right="1531" w:bottom="1894" w:left="1531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PS Pro">
    <w:altName w:val="Nimbus Roman No9 L"/>
    <w:panose1 w:val="02020603050405020304"/>
    <w:charset w:val="00"/>
    <w:family w:val="roman"/>
    <w:pitch w:val="default"/>
    <w:sig w:usb0="00000000" w:usb1="00000000" w:usb2="00000000" w:usb3="00000000" w:csb0="20000093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val="en-US" w:eastAsia="zh-CN"/>
      </w:rPr>
    </w:pPr>
    <w:r>
      <w:rPr>
        <w:sz w:val="18"/>
        <w:lang w:val="en-US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Times New Roman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E1D7C55D"/>
    <w:rsid w:val="000021D0"/>
    <w:rsid w:val="0000466D"/>
    <w:rsid w:val="00021115"/>
    <w:rsid w:val="00024F67"/>
    <w:rsid w:val="000339DB"/>
    <w:rsid w:val="0005191D"/>
    <w:rsid w:val="0005450C"/>
    <w:rsid w:val="000578AF"/>
    <w:rsid w:val="00063B71"/>
    <w:rsid w:val="0008272F"/>
    <w:rsid w:val="000A7B19"/>
    <w:rsid w:val="000B25E1"/>
    <w:rsid w:val="000B306E"/>
    <w:rsid w:val="000C49F0"/>
    <w:rsid w:val="000D4F2F"/>
    <w:rsid w:val="000E33ED"/>
    <w:rsid w:val="001161BC"/>
    <w:rsid w:val="00117EB2"/>
    <w:rsid w:val="0012211D"/>
    <w:rsid w:val="00133EA5"/>
    <w:rsid w:val="001376BF"/>
    <w:rsid w:val="00137CF5"/>
    <w:rsid w:val="00137FBD"/>
    <w:rsid w:val="001444BE"/>
    <w:rsid w:val="00146709"/>
    <w:rsid w:val="001507B9"/>
    <w:rsid w:val="00150A9E"/>
    <w:rsid w:val="00175E87"/>
    <w:rsid w:val="00187205"/>
    <w:rsid w:val="001A1E32"/>
    <w:rsid w:val="001A50D6"/>
    <w:rsid w:val="001B0FEF"/>
    <w:rsid w:val="001B65D9"/>
    <w:rsid w:val="001B71BB"/>
    <w:rsid w:val="001C0B15"/>
    <w:rsid w:val="001C1E77"/>
    <w:rsid w:val="001D67D9"/>
    <w:rsid w:val="001E2CC5"/>
    <w:rsid w:val="00211361"/>
    <w:rsid w:val="002124BC"/>
    <w:rsid w:val="002142DB"/>
    <w:rsid w:val="00214A30"/>
    <w:rsid w:val="002150C2"/>
    <w:rsid w:val="002745EB"/>
    <w:rsid w:val="002768A4"/>
    <w:rsid w:val="00280118"/>
    <w:rsid w:val="00291097"/>
    <w:rsid w:val="00291142"/>
    <w:rsid w:val="002F100B"/>
    <w:rsid w:val="003027FD"/>
    <w:rsid w:val="00302F30"/>
    <w:rsid w:val="00307666"/>
    <w:rsid w:val="00313AB5"/>
    <w:rsid w:val="00320035"/>
    <w:rsid w:val="00323B0C"/>
    <w:rsid w:val="00325EEA"/>
    <w:rsid w:val="003634B5"/>
    <w:rsid w:val="00393C6B"/>
    <w:rsid w:val="003943D7"/>
    <w:rsid w:val="003B18D6"/>
    <w:rsid w:val="003D2EDA"/>
    <w:rsid w:val="003D4C21"/>
    <w:rsid w:val="003E213A"/>
    <w:rsid w:val="003E224E"/>
    <w:rsid w:val="00412DF6"/>
    <w:rsid w:val="004209E1"/>
    <w:rsid w:val="00422B80"/>
    <w:rsid w:val="00444F0B"/>
    <w:rsid w:val="00452505"/>
    <w:rsid w:val="00453CAA"/>
    <w:rsid w:val="00464843"/>
    <w:rsid w:val="00465680"/>
    <w:rsid w:val="0047219F"/>
    <w:rsid w:val="00482658"/>
    <w:rsid w:val="00485817"/>
    <w:rsid w:val="00494219"/>
    <w:rsid w:val="00496D04"/>
    <w:rsid w:val="004A0282"/>
    <w:rsid w:val="004A3F99"/>
    <w:rsid w:val="004C0044"/>
    <w:rsid w:val="004C7A09"/>
    <w:rsid w:val="004D24CC"/>
    <w:rsid w:val="004E3D28"/>
    <w:rsid w:val="004F2ABF"/>
    <w:rsid w:val="00515331"/>
    <w:rsid w:val="00521F4A"/>
    <w:rsid w:val="00531BF2"/>
    <w:rsid w:val="00535C99"/>
    <w:rsid w:val="00537B14"/>
    <w:rsid w:val="00546E62"/>
    <w:rsid w:val="00551D48"/>
    <w:rsid w:val="0056057F"/>
    <w:rsid w:val="0057534A"/>
    <w:rsid w:val="00580F42"/>
    <w:rsid w:val="005A5ACE"/>
    <w:rsid w:val="005D0158"/>
    <w:rsid w:val="005D0AB5"/>
    <w:rsid w:val="005F17A6"/>
    <w:rsid w:val="006022C5"/>
    <w:rsid w:val="00611C0B"/>
    <w:rsid w:val="00620853"/>
    <w:rsid w:val="00620A64"/>
    <w:rsid w:val="00637292"/>
    <w:rsid w:val="00654776"/>
    <w:rsid w:val="00673DFB"/>
    <w:rsid w:val="0068773D"/>
    <w:rsid w:val="0069536D"/>
    <w:rsid w:val="006A0A5F"/>
    <w:rsid w:val="006A338F"/>
    <w:rsid w:val="006A5CEC"/>
    <w:rsid w:val="006A6DC6"/>
    <w:rsid w:val="006C5606"/>
    <w:rsid w:val="006D0B38"/>
    <w:rsid w:val="006F6062"/>
    <w:rsid w:val="0070308C"/>
    <w:rsid w:val="00705032"/>
    <w:rsid w:val="007068B3"/>
    <w:rsid w:val="00710C3C"/>
    <w:rsid w:val="00714EB8"/>
    <w:rsid w:val="007217C0"/>
    <w:rsid w:val="00722814"/>
    <w:rsid w:val="0073027B"/>
    <w:rsid w:val="007564F3"/>
    <w:rsid w:val="0076717A"/>
    <w:rsid w:val="00772997"/>
    <w:rsid w:val="00794E2F"/>
    <w:rsid w:val="008046D9"/>
    <w:rsid w:val="00807EA3"/>
    <w:rsid w:val="0082130A"/>
    <w:rsid w:val="00832DA5"/>
    <w:rsid w:val="008400BF"/>
    <w:rsid w:val="008650AE"/>
    <w:rsid w:val="00870D9A"/>
    <w:rsid w:val="008B7494"/>
    <w:rsid w:val="008D0F86"/>
    <w:rsid w:val="008D1FF1"/>
    <w:rsid w:val="008D489A"/>
    <w:rsid w:val="008D6FF0"/>
    <w:rsid w:val="00910504"/>
    <w:rsid w:val="009203CD"/>
    <w:rsid w:val="0093035E"/>
    <w:rsid w:val="00951692"/>
    <w:rsid w:val="00951963"/>
    <w:rsid w:val="00965D7A"/>
    <w:rsid w:val="0096773C"/>
    <w:rsid w:val="00972794"/>
    <w:rsid w:val="0097792D"/>
    <w:rsid w:val="00980DCF"/>
    <w:rsid w:val="00984D28"/>
    <w:rsid w:val="009A375B"/>
    <w:rsid w:val="009B3978"/>
    <w:rsid w:val="009C33E0"/>
    <w:rsid w:val="009D30D4"/>
    <w:rsid w:val="009D3A62"/>
    <w:rsid w:val="009E7E28"/>
    <w:rsid w:val="009F7136"/>
    <w:rsid w:val="00A0254D"/>
    <w:rsid w:val="00A06E88"/>
    <w:rsid w:val="00A66DBD"/>
    <w:rsid w:val="00A94E71"/>
    <w:rsid w:val="00AD0BAD"/>
    <w:rsid w:val="00AD397A"/>
    <w:rsid w:val="00AD40F9"/>
    <w:rsid w:val="00AE66F5"/>
    <w:rsid w:val="00B01B4D"/>
    <w:rsid w:val="00B01FE7"/>
    <w:rsid w:val="00B0693A"/>
    <w:rsid w:val="00B208AD"/>
    <w:rsid w:val="00B27993"/>
    <w:rsid w:val="00B425A7"/>
    <w:rsid w:val="00B63A97"/>
    <w:rsid w:val="00B67733"/>
    <w:rsid w:val="00B70260"/>
    <w:rsid w:val="00B96409"/>
    <w:rsid w:val="00BB1974"/>
    <w:rsid w:val="00BB3EA2"/>
    <w:rsid w:val="00BF3072"/>
    <w:rsid w:val="00BF7F1F"/>
    <w:rsid w:val="00C00779"/>
    <w:rsid w:val="00C140AA"/>
    <w:rsid w:val="00C66941"/>
    <w:rsid w:val="00C87AEE"/>
    <w:rsid w:val="00CB0F10"/>
    <w:rsid w:val="00CB2C8B"/>
    <w:rsid w:val="00CD6111"/>
    <w:rsid w:val="00CE6D50"/>
    <w:rsid w:val="00CE6E4C"/>
    <w:rsid w:val="00CF5989"/>
    <w:rsid w:val="00CF630B"/>
    <w:rsid w:val="00D06866"/>
    <w:rsid w:val="00D162B4"/>
    <w:rsid w:val="00D179A3"/>
    <w:rsid w:val="00D21496"/>
    <w:rsid w:val="00D23AA3"/>
    <w:rsid w:val="00D2548E"/>
    <w:rsid w:val="00D32D56"/>
    <w:rsid w:val="00D34B50"/>
    <w:rsid w:val="00D607B1"/>
    <w:rsid w:val="00D623E1"/>
    <w:rsid w:val="00D66B1F"/>
    <w:rsid w:val="00D67C86"/>
    <w:rsid w:val="00D74181"/>
    <w:rsid w:val="00D7423F"/>
    <w:rsid w:val="00DB66B1"/>
    <w:rsid w:val="00DB68E9"/>
    <w:rsid w:val="00DC0396"/>
    <w:rsid w:val="00DD5D2A"/>
    <w:rsid w:val="00DF0153"/>
    <w:rsid w:val="00DF4292"/>
    <w:rsid w:val="00E0722C"/>
    <w:rsid w:val="00E12829"/>
    <w:rsid w:val="00E13C75"/>
    <w:rsid w:val="00E242C3"/>
    <w:rsid w:val="00E27B51"/>
    <w:rsid w:val="00E30B03"/>
    <w:rsid w:val="00E30B33"/>
    <w:rsid w:val="00E318FD"/>
    <w:rsid w:val="00E33B54"/>
    <w:rsid w:val="00E50A6A"/>
    <w:rsid w:val="00E54619"/>
    <w:rsid w:val="00E80000"/>
    <w:rsid w:val="00E81A3C"/>
    <w:rsid w:val="00E82E23"/>
    <w:rsid w:val="00EA3A36"/>
    <w:rsid w:val="00EC484E"/>
    <w:rsid w:val="00ED3F94"/>
    <w:rsid w:val="00EE0A40"/>
    <w:rsid w:val="00EE0DD9"/>
    <w:rsid w:val="00EE6A1C"/>
    <w:rsid w:val="00F0633F"/>
    <w:rsid w:val="00F116EC"/>
    <w:rsid w:val="00F2040E"/>
    <w:rsid w:val="00F47A10"/>
    <w:rsid w:val="00F53FC5"/>
    <w:rsid w:val="00F74E85"/>
    <w:rsid w:val="00F83F85"/>
    <w:rsid w:val="00F8792A"/>
    <w:rsid w:val="00FA4C3B"/>
    <w:rsid w:val="00FA7FD0"/>
    <w:rsid w:val="00FB0706"/>
    <w:rsid w:val="00FC787F"/>
    <w:rsid w:val="00FE5EF2"/>
    <w:rsid w:val="00FE7EEC"/>
    <w:rsid w:val="00FF6717"/>
    <w:rsid w:val="157F9030"/>
    <w:rsid w:val="29FA2D98"/>
    <w:rsid w:val="37EB23AA"/>
    <w:rsid w:val="4C7FDCE1"/>
    <w:rsid w:val="4CC76E05"/>
    <w:rsid w:val="576B41EC"/>
    <w:rsid w:val="5A7B172A"/>
    <w:rsid w:val="5ADFD051"/>
    <w:rsid w:val="5BEC02E8"/>
    <w:rsid w:val="5CFEB112"/>
    <w:rsid w:val="5D21409A"/>
    <w:rsid w:val="5EC98B35"/>
    <w:rsid w:val="5FBD56B2"/>
    <w:rsid w:val="5FFBEC91"/>
    <w:rsid w:val="6DFEDA5D"/>
    <w:rsid w:val="736AC2C4"/>
    <w:rsid w:val="74FD8B0A"/>
    <w:rsid w:val="777F9DFB"/>
    <w:rsid w:val="79DD20CD"/>
    <w:rsid w:val="7AF796A3"/>
    <w:rsid w:val="7CFDED48"/>
    <w:rsid w:val="7F9D3CB9"/>
    <w:rsid w:val="7FAC63BC"/>
    <w:rsid w:val="7FE70DEF"/>
    <w:rsid w:val="8BF51A2C"/>
    <w:rsid w:val="996FDF49"/>
    <w:rsid w:val="9CF997D0"/>
    <w:rsid w:val="AFEEA096"/>
    <w:rsid w:val="AFEF3655"/>
    <w:rsid w:val="B6FD0108"/>
    <w:rsid w:val="BBFBD82C"/>
    <w:rsid w:val="BEFC98A1"/>
    <w:rsid w:val="D97FAD68"/>
    <w:rsid w:val="DBE365BD"/>
    <w:rsid w:val="DDD72E87"/>
    <w:rsid w:val="DF5FDD22"/>
    <w:rsid w:val="DFBF40F0"/>
    <w:rsid w:val="DFF8E1A3"/>
    <w:rsid w:val="E1D7C55D"/>
    <w:rsid w:val="EBDBE4B5"/>
    <w:rsid w:val="EBFF7013"/>
    <w:rsid w:val="EFDF7008"/>
    <w:rsid w:val="F2BDFB92"/>
    <w:rsid w:val="F37F3B11"/>
    <w:rsid w:val="F649AE30"/>
    <w:rsid w:val="F7F47AC6"/>
    <w:rsid w:val="F87F6844"/>
    <w:rsid w:val="FBCFBB9B"/>
    <w:rsid w:val="FBD73CC5"/>
    <w:rsid w:val="FDF6A854"/>
    <w:rsid w:val="FE3FA1B2"/>
    <w:rsid w:val="FE9F4C6A"/>
    <w:rsid w:val="FEBD4439"/>
    <w:rsid w:val="FEFE45FB"/>
    <w:rsid w:val="FF653044"/>
    <w:rsid w:val="FFBFBB22"/>
    <w:rsid w:val="FFFD3A50"/>
    <w:rsid w:val="FFFD87FE"/>
    <w:rsid w:val="FFFF3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adjustRightInd w:val="0"/>
      <w:spacing w:line="430" w:lineRule="atLeast"/>
      <w:ind w:firstLine="425"/>
      <w:jc w:val="left"/>
      <w:textAlignment w:val="baseline"/>
      <w:outlineLvl w:val="1"/>
    </w:pPr>
    <w:rPr>
      <w:rFonts w:ascii="Times New Roman" w:hAnsi="Times New Roman" w:eastAsia="黑体"/>
      <w:spacing w:val="16"/>
      <w:kern w:val="0"/>
      <w:sz w:val="24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Cs w:val="24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3"/>
    <w:next w:val="3"/>
    <w:qFormat/>
    <w:uiPriority w:val="0"/>
    <w:pPr>
      <w:widowControl/>
      <w:spacing w:before="100" w:beforeAutospacing="1" w:line="351" w:lineRule="atLeast"/>
      <w:ind w:left="0" w:firstLine="420" w:firstLineChars="200"/>
      <w:textAlignment w:val="baseline"/>
    </w:pPr>
    <w:rPr>
      <w:color w:val="000000"/>
      <w:kern w:val="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字符"/>
    <w:link w:val="2"/>
    <w:qFormat/>
    <w:uiPriority w:val="0"/>
    <w:rPr>
      <w:rFonts w:eastAsia="黑体"/>
      <w:spacing w:val="16"/>
      <w:sz w:val="24"/>
    </w:rPr>
  </w:style>
  <w:style w:type="character" w:customStyle="1" w:styleId="14">
    <w:name w:val="日期字符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无间隔字符"/>
    <w:link w:val="17"/>
    <w:qFormat/>
    <w:uiPriority w:val="1"/>
    <w:rPr>
      <w:rFonts w:ascii="Calibri" w:hAnsi="Calibri"/>
      <w:sz w:val="22"/>
      <w:szCs w:val="22"/>
      <w:lang w:bidi="ar-SA"/>
    </w:rPr>
  </w:style>
  <w:style w:type="paragraph" w:customStyle="1" w:styleId="17">
    <w:name w:val="无间隔"/>
    <w:link w:val="1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518</Words>
  <Characters>2959</Characters>
  <Lines>24</Lines>
  <Paragraphs>6</Paragraphs>
  <TotalTime>41</TotalTime>
  <ScaleCrop>false</ScaleCrop>
  <LinksUpToDate>false</LinksUpToDate>
  <CharactersWithSpaces>3471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2022-06-24T10:48:00Z</dcterms:created>
  <dc:creator>uos</dc:creator>
  <cp:lastModifiedBy>zjt</cp:lastModifiedBy>
  <cp:lastPrinted>2022-06-27T04:03:00Z</cp:lastPrinted>
  <dcterms:modified xsi:type="dcterms:W3CDTF">2022-07-14T16:09:08Z</dcterms:modified>
  <dc:title>附件3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