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B9" w:rsidRPr="007746B9" w:rsidRDefault="007746B9" w:rsidP="007746B9">
      <w:pPr>
        <w:spacing w:line="576" w:lineRule="exact"/>
        <w:ind w:firstLineChars="200" w:firstLine="634"/>
        <w:rPr>
          <w:rFonts w:ascii="黑体" w:eastAsia="黑体" w:hAnsi="黑体" w:cs="Times New Roman"/>
          <w:sz w:val="32"/>
          <w:szCs w:val="32"/>
          <w:shd w:val="clear" w:color="auto" w:fill="FFFFFF"/>
        </w:rPr>
      </w:pPr>
      <w:r w:rsidRPr="007746B9">
        <w:rPr>
          <w:rFonts w:ascii="黑体" w:eastAsia="黑体" w:hAnsi="黑体" w:cs="Times New Roman" w:hint="eastAsia"/>
          <w:sz w:val="32"/>
          <w:szCs w:val="32"/>
          <w:shd w:val="clear" w:color="auto" w:fill="FFFFFF"/>
        </w:rPr>
        <w:t>附件2</w:t>
      </w:r>
    </w:p>
    <w:p w:rsidR="007746B9" w:rsidRPr="007746B9" w:rsidRDefault="007746B9" w:rsidP="007746B9">
      <w:pPr>
        <w:spacing w:line="576" w:lineRule="exact"/>
        <w:jc w:val="center"/>
        <w:outlineLvl w:val="1"/>
        <w:rPr>
          <w:rFonts w:ascii="方正小标宋简体" w:eastAsia="方正小标宋简体" w:hAnsi="黑体" w:cs="Times New Roman" w:hint="eastAsia"/>
          <w:sz w:val="36"/>
          <w:szCs w:val="36"/>
        </w:rPr>
      </w:pPr>
      <w:r w:rsidRPr="007746B9">
        <w:rPr>
          <w:rFonts w:ascii="方正小标宋简体" w:eastAsia="方正小标宋简体" w:hAnsi="黑体" w:cs="Times New Roman" w:hint="eastAsia"/>
          <w:sz w:val="36"/>
          <w:szCs w:val="36"/>
        </w:rPr>
        <w:t>202</w:t>
      </w:r>
      <w:r w:rsidRPr="007746B9">
        <w:rPr>
          <w:rFonts w:ascii="方正小标宋简体" w:eastAsia="方正小标宋简体" w:hAnsi="黑体" w:cs="Times New Roman"/>
          <w:sz w:val="36"/>
          <w:szCs w:val="36"/>
        </w:rPr>
        <w:t>3</w:t>
      </w:r>
      <w:r w:rsidRPr="007746B9">
        <w:rPr>
          <w:rFonts w:ascii="方正小标宋简体" w:eastAsia="方正小标宋简体" w:hAnsi="黑体" w:cs="Times New Roman" w:hint="eastAsia"/>
          <w:sz w:val="36"/>
          <w:szCs w:val="36"/>
        </w:rPr>
        <w:t>年科技示范工程类项目申报选题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仿宋_GB2312" w:cs="Times New Roman" w:hint="eastAsia"/>
          <w:sz w:val="32"/>
          <w:szCs w:val="32"/>
        </w:rPr>
      </w:pP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通过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技术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+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工程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的组织实施模式，开展新技术集成应用和示范工程（项目）建设，发挥示范带动和引领作用。所应用的技术（装备）应具有行业引领性、创新性或国际先进性，依托工程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(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项目）应具有代表性，能形成亮点突出、可复制、可推广的样板工程。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1"/>
        <w:rPr>
          <w:rFonts w:ascii="黑体" w:eastAsia="黑体" w:hAnsi="黑体" w:cs="Times New Roman" w:hint="eastAsia"/>
          <w:sz w:val="32"/>
          <w:szCs w:val="32"/>
        </w:rPr>
      </w:pPr>
      <w:r w:rsidRPr="007746B9">
        <w:rPr>
          <w:rFonts w:ascii="黑体" w:eastAsia="黑体" w:hAnsi="黑体" w:cs="Times New Roman" w:hint="eastAsia"/>
          <w:sz w:val="32"/>
          <w:szCs w:val="32"/>
        </w:rPr>
        <w:t>一、绿色低碳科技示范项目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高品质绿色建筑科技示范工程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示范任务：以安全耐久、健康舒适、生活便利、资源节约、环境宜居为导向，开展绿色建筑设计、施工、运行、管理全生命周期的新理论、新技术、新产品的集成应用示范。示范工程应达到《绿色建筑评价标准》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GB/T50378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的三星级等级要求，在建筑品质提升上有显著特色。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零碳建筑科技示范工程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示范任务：基于《建筑节能与可再生能源通用规范》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GB/T55015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和《建筑碳排放计算标准》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GB/T51366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的计算方法，开展超低能耗建筑、建筑电气化、可再生能源应用和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光储直柔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新型建筑电力系统等技术集成应用，形成适合我省地域特点的零碳建筑技术体系，并开展工程示范。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绿色建造科技示范工程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示范任务：采用减污降耗生产工艺、绿色低碳循环及数字化、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智能化技术，依托工程项目应实施设计、生产和运营维护协同联动的项目管理机制，开展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BIM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正向设计、绿色施工和数字化交付工程应用示范及绿色建造效果评估。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装配式建筑科技示范工程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仿宋_GB2312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示范任务：适应新型建筑工业化和智能建造发展需求，开展以装配式建造技术、工程总承包和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BIM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应用为重点，集成应用绿色建筑和超低能耗建筑等绿色低碳技术的工程示范，单体建筑地上建筑面积不少于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万平方米，建筑群地上建筑面积不少于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万平方米，并达到《装配式建筑评价标准》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GB/T 51129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的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AA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级。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城市废弃物循环利用科技示范工程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仿宋_GB2312" w:cs="Times New Roman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针对生活垃圾、餐厨垃圾、园林废弃物、建筑垃圾、城市污泥、再生水等，开展资源化、能源化及循环利用技术集成应用和工程示范，为各地科学推进城市废弃物资源及再生水绿色循环利用提供模板、典型范例及成套技术方法。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仿宋_GB2312" w:cs="Times New Roman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6.建筑节能改造合同能源管理应用示范工程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仿宋_GB2312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采取合同能源管理模式进行改造的项目，根据实际，自行选择建筑节能应用技术内容：能耗监测与控制系统改造、采暖空调通风系统改造、供配电与照明系统改造、可再生能源利用、建筑围护结构改造等，并在1年内实施完成改造后单位建筑面积能耗降低20%以上。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黑体" w:eastAsia="黑体" w:hAnsi="黑体" w:cs="Times New Roman" w:hint="eastAsia"/>
          <w:sz w:val="32"/>
          <w:szCs w:val="32"/>
        </w:rPr>
      </w:pPr>
      <w:r w:rsidRPr="007746B9">
        <w:rPr>
          <w:rFonts w:ascii="黑体" w:eastAsia="黑体" w:hAnsi="黑体" w:cs="Times New Roman" w:hint="eastAsia"/>
          <w:sz w:val="32"/>
          <w:szCs w:val="32"/>
        </w:rPr>
        <w:t>二、品质提升科技示范项目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城市更新科技示范工程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示范任务：通过理念创新和技术集成应用，开展老城区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/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老旧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小区适老化、无障碍与场景改造、城市旧街区公共空间营建、老城区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15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分钟生活圈体系再造和城市生态修复等示范工程建设。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完整居住社区建设科技示范项目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示范任务：开展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“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设施智能、服务便捷、治理精细、环境宜居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的完整居住社区示范，在医疗健康、居家养老、托幼育儿和文化等方面进行新技术应用，提出统筹社区设施建设、运维管理及社区治理的体制机制，为实现我省完整居住社区建设规模化、高效益和可持续发展提供范例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2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Pr="007746B9">
        <w:rPr>
          <w:rFonts w:ascii="仿宋_GB2312" w:eastAsia="仿宋_GB2312" w:hAnsi="Times New Roman" w:cs="Times New Roman" w:hint="eastAsia"/>
          <w:sz w:val="32"/>
          <w:szCs w:val="32"/>
          <w:lang/>
        </w:rPr>
        <w:t>.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高品质住宅科技示范工程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示范任务：以提高住宅质量和性能为导向，开展规划设计和施工技术创新，有效防治质量通病、优化居住生活空间。示范工程应达到《绿色建筑评价标准》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GB/T50378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二星级以上，为全装修住宅，其中保障房应采用装配式装修。住宅小区或住宅小区组团不少于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5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万平方米，单体住宅不少于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万平方米。</w:t>
      </w:r>
    </w:p>
    <w:p w:rsidR="007746B9" w:rsidRPr="007746B9" w:rsidRDefault="007746B9" w:rsidP="007746B9">
      <w:pPr>
        <w:spacing w:line="576" w:lineRule="exact"/>
        <w:ind w:firstLineChars="200" w:firstLine="634"/>
        <w:outlineLvl w:val="1"/>
        <w:rPr>
          <w:rFonts w:ascii="黑体" w:eastAsia="黑体" w:hAnsi="黑体" w:cs="Times New Roman" w:hint="eastAsia"/>
          <w:sz w:val="32"/>
          <w:szCs w:val="32"/>
        </w:rPr>
      </w:pPr>
      <w:r w:rsidRPr="007746B9">
        <w:rPr>
          <w:rFonts w:ascii="黑体" w:eastAsia="黑体" w:hAnsi="黑体" w:cs="Times New Roman" w:hint="eastAsia"/>
          <w:sz w:val="32"/>
          <w:szCs w:val="32"/>
        </w:rPr>
        <w:t>三、智能建造科技示范项目</w:t>
      </w:r>
    </w:p>
    <w:p w:rsidR="007746B9" w:rsidRPr="007746B9" w:rsidRDefault="007746B9" w:rsidP="007746B9">
      <w:pPr>
        <w:spacing w:line="576" w:lineRule="exact"/>
        <w:ind w:firstLineChars="200" w:firstLine="634"/>
        <w:rPr>
          <w:rFonts w:ascii="仿宋_GB2312" w:eastAsia="仿宋_GB2312" w:hAnsi="Times New Roman" w:cs="Times New Roman" w:hint="eastAsia"/>
          <w:sz w:val="32"/>
          <w:szCs w:val="32"/>
        </w:rPr>
      </w:pP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示范任务：基于城市信息模型（</w:t>
      </w:r>
      <w:r w:rsidRPr="007746B9">
        <w:rPr>
          <w:rFonts w:ascii="仿宋_GB2312" w:eastAsia="仿宋_GB2312" w:hAnsi="Times New Roman" w:cs="Times New Roman" w:hint="eastAsia"/>
          <w:sz w:val="32"/>
          <w:szCs w:val="32"/>
        </w:rPr>
        <w:t>CIM</w:t>
      </w:r>
      <w:r w:rsidRPr="007746B9">
        <w:rPr>
          <w:rFonts w:ascii="仿宋_GB2312" w:eastAsia="仿宋_GB2312" w:hAnsi="仿宋_GB2312" w:cs="Times New Roman" w:hint="eastAsia"/>
          <w:sz w:val="32"/>
          <w:szCs w:val="32"/>
        </w:rPr>
        <w:t>）平台，应用物联网、大数据、人工智能等新一代信息技术，开展市政基础设施智能化建设、改造和运维，智慧城市与智能网联汽车，智慧社区，智慧环卫，智能建造与建筑工业化协同发展，城市运行管理服务平台等科技示范。</w:t>
      </w:r>
    </w:p>
    <w:p w:rsidR="007746B9" w:rsidRPr="007746B9" w:rsidRDefault="007746B9" w:rsidP="007746B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7746B9" w:rsidRPr="007746B9" w:rsidRDefault="007746B9" w:rsidP="007746B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7746B9" w:rsidRPr="007746B9" w:rsidRDefault="007746B9" w:rsidP="007746B9">
      <w:pPr>
        <w:spacing w:line="560" w:lineRule="exact"/>
        <w:rPr>
          <w:rFonts w:ascii="黑体" w:eastAsia="黑体" w:hAnsi="黑体" w:cs="Times New Roman" w:hint="eastAsia"/>
          <w:sz w:val="32"/>
          <w:szCs w:val="32"/>
        </w:rPr>
      </w:pPr>
    </w:p>
    <w:p w:rsidR="00BF3528" w:rsidRPr="007746B9" w:rsidRDefault="00BF3528" w:rsidP="007746B9">
      <w:pPr>
        <w:rPr>
          <w:szCs w:val="32"/>
        </w:rPr>
      </w:pPr>
    </w:p>
    <w:sectPr w:rsidR="00BF3528" w:rsidRPr="007746B9" w:rsidSect="008B6E67">
      <w:footerReference w:type="even" r:id="rId4"/>
      <w:footerReference w:type="default" r:id="rId5"/>
      <w:pgSz w:w="11906" w:h="16838" w:code="9"/>
      <w:pgMar w:top="1701" w:right="1474" w:bottom="1474" w:left="1531" w:header="851" w:footer="964" w:gutter="0"/>
      <w:cols w:space="720"/>
      <w:titlePg/>
      <w:docGrid w:type="linesAndChars" w:linePitch="621" w:charSpace="-6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81" w:rsidRDefault="00E4320A">
    <w:pPr>
      <w:pStyle w:val="a7"/>
      <w:rPr>
        <w:rFonts w:ascii="宋体" w:hAnsi="宋体" w:cs="宋体" w:hint="eastAsia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34</w:t>
    </w:r>
    <w:r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81" w:rsidRDefault="00E4320A">
    <w:pPr>
      <w:pStyle w:val="a7"/>
      <w:jc w:val="right"/>
      <w:rPr>
        <w:rFonts w:ascii="宋体" w:hAnsi="宋体" w:cs="宋体" w:hint="eastAsia"/>
        <w:sz w:val="28"/>
      </w:rPr>
    </w:pPr>
    <w:r>
      <w:rPr>
        <w:rFonts w:ascii="宋体" w:hAnsi="宋体" w:cs="宋体" w:hint="eastAsia"/>
        <w:kern w:val="0"/>
        <w:sz w:val="28"/>
        <w:szCs w:val="21"/>
      </w:rPr>
      <w:t xml:space="preserve">- </w:t>
    </w:r>
    <w:r>
      <w:rPr>
        <w:rFonts w:ascii="宋体" w:hAnsi="宋体" w:cs="宋体" w:hint="eastAsia"/>
        <w:kern w:val="0"/>
        <w:sz w:val="28"/>
        <w:szCs w:val="21"/>
      </w:rPr>
      <w:fldChar w:fldCharType="begin"/>
    </w:r>
    <w:r>
      <w:rPr>
        <w:rFonts w:ascii="宋体" w:hAnsi="宋体" w:cs="宋体" w:hint="eastAsia"/>
        <w:kern w:val="0"/>
        <w:sz w:val="28"/>
        <w:szCs w:val="21"/>
      </w:rPr>
      <w:instrText xml:space="preserve"> PAGE </w:instrText>
    </w:r>
    <w:r>
      <w:rPr>
        <w:rFonts w:ascii="宋体" w:hAnsi="宋体" w:cs="宋体" w:hint="eastAsia"/>
        <w:kern w:val="0"/>
        <w:sz w:val="28"/>
        <w:szCs w:val="21"/>
      </w:rPr>
      <w:fldChar w:fldCharType="separate"/>
    </w:r>
    <w:r>
      <w:rPr>
        <w:rFonts w:ascii="宋体" w:hAnsi="宋体" w:cs="宋体"/>
        <w:noProof/>
        <w:kern w:val="0"/>
        <w:sz w:val="28"/>
        <w:szCs w:val="21"/>
      </w:rPr>
      <w:t>3</w:t>
    </w:r>
    <w:r>
      <w:rPr>
        <w:rFonts w:ascii="宋体" w:hAnsi="宋体" w:cs="宋体" w:hint="eastAsia"/>
        <w:kern w:val="0"/>
        <w:sz w:val="28"/>
        <w:szCs w:val="21"/>
      </w:rPr>
      <w:fldChar w:fldCharType="end"/>
    </w:r>
    <w:r>
      <w:rPr>
        <w:rFonts w:ascii="宋体" w:hAnsi="宋体" w:cs="宋体" w:hint="eastAsia"/>
        <w:kern w:val="0"/>
        <w:sz w:val="28"/>
        <w:szCs w:val="21"/>
      </w:rPr>
      <w:t xml:space="preserve"> -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006106"/>
    <w:rsid w:val="00137C87"/>
    <w:rsid w:val="00167D5B"/>
    <w:rsid w:val="002C5F1F"/>
    <w:rsid w:val="00317227"/>
    <w:rsid w:val="0034634F"/>
    <w:rsid w:val="00350F87"/>
    <w:rsid w:val="003617A9"/>
    <w:rsid w:val="003639B7"/>
    <w:rsid w:val="003660E1"/>
    <w:rsid w:val="00377031"/>
    <w:rsid w:val="003D7DC1"/>
    <w:rsid w:val="003F4DC7"/>
    <w:rsid w:val="00482367"/>
    <w:rsid w:val="00491970"/>
    <w:rsid w:val="00495F95"/>
    <w:rsid w:val="004C558A"/>
    <w:rsid w:val="00513C37"/>
    <w:rsid w:val="0051509D"/>
    <w:rsid w:val="00523C79"/>
    <w:rsid w:val="00542A49"/>
    <w:rsid w:val="00570C9A"/>
    <w:rsid w:val="005801C2"/>
    <w:rsid w:val="005A01E3"/>
    <w:rsid w:val="005B1DBD"/>
    <w:rsid w:val="00603219"/>
    <w:rsid w:val="00613991"/>
    <w:rsid w:val="006244C5"/>
    <w:rsid w:val="00670F6E"/>
    <w:rsid w:val="00695B10"/>
    <w:rsid w:val="00713084"/>
    <w:rsid w:val="007746B9"/>
    <w:rsid w:val="007B213D"/>
    <w:rsid w:val="007D471F"/>
    <w:rsid w:val="007E247D"/>
    <w:rsid w:val="00813908"/>
    <w:rsid w:val="00822B9F"/>
    <w:rsid w:val="00842EE9"/>
    <w:rsid w:val="0086031E"/>
    <w:rsid w:val="00870ECC"/>
    <w:rsid w:val="0087172E"/>
    <w:rsid w:val="00894771"/>
    <w:rsid w:val="008C67C7"/>
    <w:rsid w:val="009305DE"/>
    <w:rsid w:val="0098505E"/>
    <w:rsid w:val="009A4FEF"/>
    <w:rsid w:val="009B15AA"/>
    <w:rsid w:val="009B2333"/>
    <w:rsid w:val="009D4575"/>
    <w:rsid w:val="009F25E7"/>
    <w:rsid w:val="009F3AFB"/>
    <w:rsid w:val="00A11BC2"/>
    <w:rsid w:val="00A51958"/>
    <w:rsid w:val="00AB7F39"/>
    <w:rsid w:val="00AE1A6A"/>
    <w:rsid w:val="00B52AF1"/>
    <w:rsid w:val="00BE299D"/>
    <w:rsid w:val="00BF3528"/>
    <w:rsid w:val="00C45CE6"/>
    <w:rsid w:val="00C76754"/>
    <w:rsid w:val="00CF0757"/>
    <w:rsid w:val="00D24E63"/>
    <w:rsid w:val="00D323BD"/>
    <w:rsid w:val="00D3424F"/>
    <w:rsid w:val="00D60B27"/>
    <w:rsid w:val="00D6473A"/>
    <w:rsid w:val="00D928E6"/>
    <w:rsid w:val="00DD4235"/>
    <w:rsid w:val="00E27A40"/>
    <w:rsid w:val="00E4320A"/>
    <w:rsid w:val="00ED3AC9"/>
    <w:rsid w:val="00F54F12"/>
    <w:rsid w:val="00F70F01"/>
    <w:rsid w:val="00F95F75"/>
    <w:rsid w:val="00FE6E76"/>
    <w:rsid w:val="00FF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F48CA"/>
    <w:rPr>
      <w:b/>
      <w:bCs/>
    </w:rPr>
  </w:style>
  <w:style w:type="paragraph" w:styleId="a7">
    <w:name w:val="footer"/>
    <w:basedOn w:val="a"/>
    <w:link w:val="Char0"/>
    <w:rsid w:val="007746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7"/>
    <w:rsid w:val="007746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1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00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048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39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00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87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252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5355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71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942</Characters>
  <Application>Microsoft Office Word</Application>
  <DocSecurity>0</DocSecurity>
  <Lines>72</Lines>
  <Paragraphs>108</Paragraphs>
  <ScaleCrop>false</ScaleCrop>
  <Company>china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cp:lastPrinted>2023-04-04T00:34:00Z</cp:lastPrinted>
  <dcterms:created xsi:type="dcterms:W3CDTF">2023-04-04T00:56:00Z</dcterms:created>
  <dcterms:modified xsi:type="dcterms:W3CDTF">2023-04-04T00:56:00Z</dcterms:modified>
</cp:coreProperties>
</file>