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40" w:lineRule="exact"/>
        <w:jc w:val="both"/>
        <w:rPr>
          <w:rFonts w:hint="eastAsia" w:ascii="方正小标宋简体" w:hAnsi="宋体" w:eastAsia="方正小标宋简体"/>
          <w:color w:val="FF0000"/>
          <w:kern w:val="0"/>
          <w:sz w:val="140"/>
          <w:szCs w:val="140"/>
        </w:rPr>
      </w:pPr>
    </w:p>
    <w:p>
      <w:pPr>
        <w:spacing w:line="1440" w:lineRule="exact"/>
        <w:jc w:val="both"/>
        <w:rPr>
          <w:rFonts w:hint="eastAsia" w:ascii="方正小标宋简体" w:hAnsi="宋体" w:eastAsia="方正小标宋简体"/>
          <w:color w:val="FF0000"/>
          <w:kern w:val="0"/>
          <w:sz w:val="140"/>
          <w:szCs w:val="140"/>
        </w:rPr>
      </w:pPr>
    </w:p>
    <w:p>
      <w:pPr>
        <w:spacing w:line="1440" w:lineRule="exact"/>
        <w:jc w:val="both"/>
        <w:rPr>
          <w:rFonts w:hint="eastAsia" w:ascii="方正小标宋简体" w:hAnsi="宋体" w:eastAsia="方正小标宋简体"/>
          <w:color w:val="FF0000"/>
          <w:kern w:val="0"/>
          <w:sz w:val="140"/>
          <w:szCs w:val="140"/>
        </w:rPr>
      </w:pPr>
    </w:p>
    <w:p>
      <w:pPr>
        <w:spacing w:line="1440" w:lineRule="exact"/>
        <w:jc w:val="both"/>
        <w:rPr>
          <w:rFonts w:hint="eastAsia" w:ascii="Times New Roman" w:eastAsia="方正小标宋_GBK"/>
          <w:color w:val="FF0000"/>
          <w:sz w:val="120"/>
          <w:szCs w:val="120"/>
          <w:lang w:eastAsia="zh-CN"/>
        </w:rPr>
      </w:pPr>
      <w:r>
        <w:rPr>
          <w:rFonts w:hint="eastAsia" w:ascii="方正小标宋简体" w:hAnsi="宋体" w:eastAsia="方正小标宋简体"/>
          <w:color w:val="FF0000"/>
          <w:spacing w:val="1"/>
          <w:w w:val="38"/>
          <w:kern w:val="0"/>
          <w:sz w:val="140"/>
          <w:szCs w:val="140"/>
          <w:fitText w:val="8140" w:id="1706841809"/>
        </w:rPr>
        <w:t>北京市防火安全委员会办公室文</w:t>
      </w:r>
      <w:r>
        <w:rPr>
          <w:rFonts w:hint="eastAsia" w:ascii="方正小标宋简体" w:hAnsi="宋体" w:eastAsia="方正小标宋简体"/>
          <w:color w:val="FF0000"/>
          <w:spacing w:val="119"/>
          <w:w w:val="38"/>
          <w:kern w:val="0"/>
          <w:sz w:val="140"/>
          <w:szCs w:val="140"/>
          <w:fitText w:val="8140" w:id="1706841809"/>
        </w:rPr>
        <w:t>件</w:t>
      </w:r>
    </w:p>
    <w:p>
      <w:pPr>
        <w:spacing w:line="560" w:lineRule="exact"/>
        <w:jc w:val="center"/>
        <w:rPr>
          <w:rFonts w:ascii="Times New Roma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防安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00" w:lineRule="exact"/>
        <w:rPr>
          <w:rFonts w:ascii="Times New Roman"/>
          <w:color w:val="000000"/>
        </w:rPr>
      </w:pPr>
      <w:r>
        <w:rPr>
          <w:rFonts w:ascii="Times New Roman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" o:spid="_x0000_s1027" o:spt="20" style="position:absolute;left:0pt;margin-left:0pt;margin-top:7.7pt;height:0.05pt;width:442.4pt;z-index:251659264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FF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spacing w:line="500" w:lineRule="exact"/>
        <w:jc w:val="center"/>
        <w:rPr>
          <w:rFonts w:ascii="Times New Roman" w:eastAsia="方正小标宋简体"/>
          <w:sz w:val="44"/>
          <w:szCs w:val="44"/>
        </w:rPr>
      </w:pPr>
    </w:p>
    <w:p>
      <w:pPr>
        <w:widowControl w:val="0"/>
        <w:wordWrap/>
        <w:adjustRightInd/>
        <w:spacing w:line="560" w:lineRule="exact"/>
        <w:ind w:right="0"/>
        <w:jc w:val="center"/>
        <w:outlineLvl w:val="9"/>
        <w:rPr>
          <w:rFonts w:hint="eastAsia" w:ascii="Times New Roman" w:eastAsia="方正小标宋_GBK"/>
          <w:bCs/>
          <w:spacing w:val="-10"/>
          <w:sz w:val="44"/>
          <w:szCs w:val="44"/>
          <w:lang w:eastAsia="zh-CN"/>
        </w:rPr>
      </w:pPr>
      <w:r>
        <w:rPr>
          <w:rFonts w:hint="eastAsia" w:ascii="Times New Roman" w:eastAsia="方正小标宋_GBK"/>
          <w:bCs/>
          <w:spacing w:val="-10"/>
          <w:sz w:val="44"/>
          <w:szCs w:val="44"/>
          <w:lang w:eastAsia="zh-CN"/>
        </w:rPr>
        <w:t>北京市防火安全委员会</w:t>
      </w:r>
    </w:p>
    <w:p>
      <w:pPr>
        <w:widowControl w:val="0"/>
        <w:wordWrap/>
        <w:adjustRightInd/>
        <w:spacing w:line="560" w:lineRule="exact"/>
        <w:ind w:right="0"/>
        <w:jc w:val="center"/>
        <w:outlineLvl w:val="9"/>
        <w:rPr>
          <w:rFonts w:hint="eastAsia" w:ascii="Times New Roman" w:eastAsia="方正小标宋_GBK"/>
          <w:bCs/>
          <w:spacing w:val="-10"/>
          <w:sz w:val="44"/>
          <w:szCs w:val="44"/>
          <w:lang w:eastAsia="zh-CN"/>
        </w:rPr>
      </w:pPr>
      <w:r>
        <w:rPr>
          <w:rFonts w:hint="eastAsia" w:ascii="Times New Roman" w:eastAsia="方正小标宋_GBK"/>
          <w:bCs/>
          <w:spacing w:val="-10"/>
          <w:sz w:val="44"/>
          <w:szCs w:val="44"/>
          <w:lang w:eastAsia="zh-CN"/>
        </w:rPr>
        <w:t>关于印发《北京市深入开展餐饮场所火灾隐患大排查大整治专项工作方案》的通知</w:t>
      </w:r>
    </w:p>
    <w:p>
      <w:pPr>
        <w:widowControl w:val="0"/>
        <w:wordWrap/>
        <w:adjustRightInd/>
        <w:spacing w:line="560" w:lineRule="exact"/>
        <w:ind w:right="0"/>
        <w:outlineLvl w:val="9"/>
        <w:rPr>
          <w:rFonts w:ascii="Times New Roman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各区人民政府，北京经济技术开发区管委会，市防火委各成员单位：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 w:start="2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为坚决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关于安全生产的重要批示精神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国务院安委会、北京市安全防范紧急视频会议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部署要求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，深刻吸取宁夏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回族自治区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银川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“6·21”燃气爆炸事故教训，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按照全市火灾隐患大排查大整治总体工作安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经市防火安全委员会研究决定，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即日起至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在全市深入开展餐饮场所火灾隐患大排查大整治专项工作。现将方案印发给你们，请结合实际，认真组织实施，抓好贯彻落实。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北京市防火安全委员会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杜海、于铁铮</w:t>
      </w:r>
      <w:r>
        <w:rPr>
          <w:rFonts w:hint="eastAsia" w:ascii="仿宋_GB2312" w:hAnsi="仿宋_GB2312" w:eastAsia="仿宋_GB2312" w:cs="仿宋_GB2312"/>
          <w:sz w:val="32"/>
          <w:szCs w:val="32"/>
        </w:rPr>
        <w:t>；联系电话：822151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42、13910924461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（信息公开形式：主动公开）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spacing w:val="-10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spacing w:val="-1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pacing w:val="-10"/>
          <w:sz w:val="44"/>
          <w:szCs w:val="44"/>
          <w:lang w:eastAsia="zh-CN"/>
        </w:rPr>
        <w:t>北京市深入开展餐饮场所火灾隐患</w:t>
      </w:r>
    </w:p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spacing w:val="-1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pacing w:val="-10"/>
          <w:sz w:val="44"/>
          <w:szCs w:val="44"/>
          <w:lang w:eastAsia="zh-CN"/>
        </w:rPr>
        <w:t>大排查大整治专项工作方案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深刻吸取宁夏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回族自治区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银川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“6·21”燃气爆炸事故教训，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按照全市火灾隐患大排查大整治总体工作安排，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经市防火安全委员会研究决定，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即日起至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在全市深入开展餐饮场所火灾隐患大排查大整治专项工作，特制定工作方案如下：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工作目标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以习近平新时代中国特色社会主义思想为指导，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贯彻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习近平总书记关于安全生产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和消防工作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重要论述，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统筹发展和安全，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坚持人民至上、生命至上，坚持安全第一、预防为主，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落责任，清隐患，压事故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”为工作目标，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紧紧围绕餐饮场所消防安全的突出问题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，紧盯重点部位和关键环节，以“霹雳手段”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深入开展火灾隐患大排查大整治，从根本上消除事故隐患，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有效防范化解火灾风险，坚决维护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首都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消防安全形势稳定。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Chars="200" w:right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二、排查整治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范围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餐馆、饭店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等经营性餐饮场所以及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设置的食堂、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餐厅（以下简称“餐饮场所”）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排查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重点</w:t>
      </w:r>
    </w:p>
    <w:p>
      <w:pPr>
        <w:pStyle w:val="4"/>
        <w:widowControl w:val="0"/>
        <w:wordWrap/>
        <w:adjustRightInd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灭火器材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①厨房操作间区域是否按规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范配置</w:t>
      </w:r>
      <w:r>
        <w:rPr>
          <w:rFonts w:hint="eastAsia" w:ascii="仿宋_GB2312" w:hAnsi="仿宋_GB2312" w:eastAsia="仿宋_GB2312" w:cs="仿宋_GB2312"/>
          <w:sz w:val="32"/>
          <w:szCs w:val="32"/>
        </w:rPr>
        <w:t>灭火毯、灭火器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餐厅建筑面积大于1000平方米的餐馆或食堂，烹饪部位是否设置灶台自动灭火装置。</w:t>
      </w:r>
    </w:p>
    <w:p>
      <w:pPr>
        <w:pStyle w:val="4"/>
        <w:widowControl w:val="0"/>
        <w:wordWrap/>
        <w:adjustRightInd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报警装置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③瓶组间、操作间是否按规范要求设置可燃气体报警装置；④是否推广安装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厨房灶台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油温实时监测预警系统。</w:t>
      </w:r>
    </w:p>
    <w:p>
      <w:pPr>
        <w:widowControl w:val="0"/>
        <w:wordWrap/>
        <w:adjustRightInd/>
        <w:spacing w:line="560" w:lineRule="exact"/>
        <w:ind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）安全疏散。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⑤疏散通道、安全出口数量是否充足且保持畅通；⑥外窗是否设置金属栅栏、防盗网、广告牌、灯箱等影响灭火救援及逃生的障碍物。</w:t>
      </w:r>
    </w:p>
    <w:p>
      <w:pPr>
        <w:widowControl w:val="0"/>
        <w:wordWrap/>
        <w:adjustRightInd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防火分隔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⑦厨房区域是否采用防火隔墙、防火门、防火玻璃等与就餐区域分隔。</w:t>
      </w:r>
    </w:p>
    <w:p>
      <w:pPr>
        <w:pStyle w:val="4"/>
        <w:widowControl w:val="0"/>
        <w:wordWrap/>
        <w:adjustRightInd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）燃气管理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⑧高层建筑、地下室是否违规使用液化石油气；⑨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燃气管道定期维护保养、检测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的记录。</w:t>
      </w:r>
    </w:p>
    <w:p>
      <w:pPr>
        <w:widowControl w:val="0"/>
        <w:wordWrap/>
        <w:adjustRightInd/>
        <w:spacing w:line="560" w:lineRule="exact"/>
        <w:ind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（六）</w:t>
      </w:r>
      <w:r>
        <w:rPr>
          <w:rFonts w:hint="eastAsia" w:ascii="楷体_GB2312" w:hAnsi="楷体_GB2312" w:eastAsia="楷体_GB2312" w:cs="楷体_GB2312"/>
          <w:sz w:val="32"/>
          <w:szCs w:val="32"/>
        </w:rPr>
        <w:t>自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防</w:t>
      </w:r>
      <w:r>
        <w:rPr>
          <w:rFonts w:hint="eastAsia" w:ascii="楷体_GB2312" w:hAnsi="楷体_GB2312" w:eastAsia="楷体_GB2312" w:cs="楷体_GB2312"/>
          <w:sz w:val="32"/>
          <w:szCs w:val="32"/>
        </w:rPr>
        <w:t>自救。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⑩是否开展全员实操实训演练，并参加“一警六员”培训考核合格。</w:t>
      </w:r>
    </w:p>
    <w:p>
      <w:pPr>
        <w:widowControl w:val="0"/>
        <w:wordWrap/>
        <w:adjustRightInd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（七）烟道清洗。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⑪是否按规定定期对排油烟管道进行专业清洗。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工作要求</w:t>
      </w:r>
    </w:p>
    <w:p>
      <w:pPr>
        <w:widowControl w:val="0"/>
        <w:wordWrap/>
        <w:adjustRightInd/>
        <w:spacing w:line="560" w:lineRule="exact"/>
        <w:ind w:right="0" w:firstLine="640" w:firstLineChars="200"/>
        <w:contextualSpacing/>
        <w:textAlignment w:val="auto"/>
        <w:outlineLvl w:val="9"/>
        <w:rPr>
          <w:rFonts w:ascii="Times New Roman" w:cs="Times New Roma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（一）提高政治站位，加强组织领导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（地区）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、各有关部门要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从讲政治的高度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，充分认清当前面临的消防安全严峻形势，将此次餐饮场所专项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排查整治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火灾隐患大排查大整治工作的重要内容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，切实提高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组织站位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，加强组织领导，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强化责任担当，压紧压实责任，狠抓工作落实。</w:t>
      </w:r>
    </w:p>
    <w:p>
      <w:pPr>
        <w:widowControl w:val="0"/>
        <w:tabs>
          <w:tab w:val="left" w:pos="8690"/>
        </w:tabs>
        <w:wordWrap/>
        <w:adjustRightInd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（二）周密安排部署，切实落实责任。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（地区）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立即响应，迅速行动，周密部署本区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（地区）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的专项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排查整治</w:t>
      </w:r>
      <w:r>
        <w:rPr>
          <w:rFonts w:hint="eastAsia" w:ascii="仿宋_GB2312" w:hAnsi="仿宋_GB2312" w:eastAsia="仿宋_GB2312" w:cs="仿宋_GB2312"/>
          <w:sz w:val="32"/>
          <w:szCs w:val="32"/>
        </w:rPr>
        <w:t>行动，严格履行属地监管责任，督促餐饮场所全面落实主体责任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三必须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要求，对本行业领域内的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</w:t>
      </w:r>
      <w:r>
        <w:rPr>
          <w:rFonts w:hint="eastAsia" w:ascii="仿宋_GB2312" w:hAnsi="仿宋_GB2312" w:eastAsia="仿宋_GB2312" w:cs="仿宋_GB2312"/>
          <w:sz w:val="32"/>
          <w:szCs w:val="32"/>
        </w:rPr>
        <w:t>场所消防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负总责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不得以只检查监管本行业领域内已经取得许可证的单位、场所为由，推诿扯皮，放松对无证单位、场所的监督管理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eastAsia="楷体_GB2312" w:cs="微软雅黑"/>
          <w:kern w:val="0"/>
          <w:sz w:val="32"/>
          <w:szCs w:val="32"/>
          <w:lang w:val="zh-CN" w:eastAsia="zh-CN" w:bidi="ar-SA"/>
        </w:rPr>
        <w:t>用足执法手段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，全面依法督改。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将餐饮场所按照规定登录京通“企安安”隐患排查治理信息系统自查端，对照自查标准开展自查自纠，如实记录隐患排查整改情况；同时，要登录使用京办“企安安”隐患排查治理信息系统检查端，按照火灾隐患检查清单对餐饮场所进行消防安全检查。对拒不履行主体责任、重大隐患逾期不改的突出违法违规行为，依法采取警示、约谈、通报、曝光、信用惩戒等处置措施和罚款、查封、关停、拘留、取缔等执法手段，予以严厉打击，全面实施依法督改。</w:t>
      </w:r>
    </w:p>
    <w:p>
      <w:pPr>
        <w:widowControl w:val="0"/>
        <w:wordWrap/>
        <w:adjustRightInd/>
        <w:spacing w:line="56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lang w:val="zh-CN" w:eastAsia="zh-CN"/>
        </w:rPr>
        <w:t>（四）加强信息报送，确保信息畅通。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餐饮场所大排查大整治专项工作期间，各区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（地区）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、各相关部门要加强情况信息收集汇总，认真总结提炼经验做法，明确专人负责，及时反馈工作情况。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日前报送联络员名单（附件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7月6日前报送《餐饮场所基本情况统计表》（附件2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日起，每日下午17时更新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上报《餐饮场所消防安全检查情况统计表》（附件3），7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日起，每周五下午17时更新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上报《餐饮场所消防安全突出风险隐患台账》（附件4）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。材料上报方式：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HYPERLINK "mailto:bjsfhb@126.com"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bjsfhb@126.com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仿宋_GB2312" w:eastAsia="仿宋_GB2312" w:cs="微软雅黑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pStyle w:val="2"/>
      </w:pPr>
    </w:p>
    <w:p>
      <w:pPr>
        <w:pStyle w:val="2"/>
        <w:spacing w:before="41"/>
        <w:ind w:left="448"/>
        <w:rPr>
          <w:rFonts w:ascii="华文细黑"/>
          <w:sz w:val="26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/>
          <w:spacing w:val="-6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联络员名单</w:t>
      </w:r>
    </w:p>
    <w:p>
      <w:pPr>
        <w:pStyle w:val="2"/>
        <w:spacing w:before="3"/>
        <w:rPr>
          <w:sz w:val="27"/>
        </w:rPr>
      </w:pPr>
    </w:p>
    <w:tbl>
      <w:tblPr>
        <w:tblStyle w:val="15"/>
        <w:tblW w:w="8254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2268"/>
        <w:gridCol w:w="2126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75" w:type="dxa"/>
            <w:vAlign w:val="top"/>
          </w:tcPr>
          <w:p>
            <w:pPr>
              <w:pStyle w:val="11"/>
              <w:ind w:left="158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2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22"/>
                <w:lang w:eastAsia="en-US"/>
              </w:rPr>
              <w:t>单位</w:t>
            </w:r>
          </w:p>
        </w:tc>
        <w:tc>
          <w:tcPr>
            <w:tcW w:w="2268" w:type="dxa"/>
            <w:vAlign w:val="top"/>
          </w:tcPr>
          <w:p>
            <w:pPr>
              <w:pStyle w:val="11"/>
              <w:ind w:right="809"/>
              <w:jc w:val="both"/>
              <w:rPr>
                <w:rFonts w:hint="eastAsia" w:ascii="方正黑体_GBK" w:hAnsi="方正黑体_GBK" w:eastAsia="方正黑体_GBK" w:cs="方正黑体_GBK"/>
                <w:sz w:val="30"/>
                <w:szCs w:val="2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30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30"/>
                <w:szCs w:val="22"/>
                <w:lang w:eastAsia="en-US"/>
              </w:rPr>
              <w:t>姓名</w:t>
            </w:r>
          </w:p>
        </w:tc>
        <w:tc>
          <w:tcPr>
            <w:tcW w:w="2126" w:type="dxa"/>
            <w:vAlign w:val="top"/>
          </w:tcPr>
          <w:p>
            <w:pPr>
              <w:pStyle w:val="11"/>
              <w:ind w:right="808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2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30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30"/>
                <w:szCs w:val="22"/>
                <w:lang w:eastAsia="en-US"/>
              </w:rPr>
              <w:t>职务</w:t>
            </w:r>
          </w:p>
        </w:tc>
        <w:tc>
          <w:tcPr>
            <w:tcW w:w="1985" w:type="dxa"/>
            <w:vAlign w:val="top"/>
          </w:tcPr>
          <w:p>
            <w:pPr>
              <w:pStyle w:val="11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2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30"/>
                <w:szCs w:val="22"/>
                <w:lang w:eastAsia="en-US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75" w:type="dxa"/>
            <w:vAlign w:val="top"/>
          </w:tcPr>
          <w:p>
            <w:pPr>
              <w:pStyle w:val="11"/>
              <w:rPr>
                <w:rFonts w:ascii="Times New Roman" w:hAnsi="Calibri" w:eastAsia="宋体" w:cs="黑体"/>
                <w:sz w:val="32"/>
                <w:szCs w:val="22"/>
                <w:lang w:eastAsia="en-US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11"/>
              <w:rPr>
                <w:rFonts w:ascii="Times New Roman" w:hAnsi="Calibri" w:eastAsia="宋体" w:cs="黑体"/>
                <w:sz w:val="32"/>
                <w:szCs w:val="22"/>
                <w:lang w:eastAsia="en-US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11"/>
              <w:rPr>
                <w:rFonts w:ascii="Times New Roman" w:hAnsi="Calibri" w:eastAsia="宋体" w:cs="黑体"/>
                <w:sz w:val="32"/>
                <w:szCs w:val="22"/>
                <w:lang w:eastAsia="en-US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1"/>
              <w:rPr>
                <w:rFonts w:ascii="Times New Roman" w:hAnsi="Calibri" w:eastAsia="宋体" w:cs="黑体"/>
                <w:sz w:val="32"/>
                <w:szCs w:val="22"/>
                <w:lang w:eastAsia="en-US"/>
              </w:rPr>
            </w:pPr>
          </w:p>
        </w:tc>
      </w:tr>
    </w:tbl>
    <w:p>
      <w:pPr>
        <w:rPr>
          <w:rFonts w:ascii="Times New Roman"/>
          <w:sz w:val="32"/>
        </w:rPr>
      </w:pPr>
    </w:p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pStyle w:val="4"/>
        <w:rPr>
          <w:rFonts w:hint="eastAsia" w:ascii="黑体" w:hAnsi="黑体" w:eastAsia="黑体" w:cs="Times New Roman"/>
          <w:sz w:val="32"/>
          <w:szCs w:val="32"/>
        </w:rPr>
      </w:pPr>
    </w:p>
    <w:p>
      <w:pPr>
        <w:pStyle w:val="4"/>
        <w:rPr>
          <w:rFonts w:hint="eastAsia" w:ascii="黑体" w:hAnsi="黑体" w:eastAsia="黑体" w:cs="Times New Roman"/>
          <w:sz w:val="32"/>
          <w:szCs w:val="32"/>
        </w:rPr>
      </w:pPr>
    </w:p>
    <w:p>
      <w:pPr>
        <w:pStyle w:val="4"/>
        <w:rPr>
          <w:rFonts w:hint="eastAsia" w:ascii="黑体" w:hAnsi="黑体" w:eastAsia="黑体" w:cs="Times New Roman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2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1807" w:tblpY="891"/>
        <w:tblOverlap w:val="never"/>
        <w:tblW w:w="14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2372"/>
        <w:gridCol w:w="2372"/>
        <w:gridCol w:w="2372"/>
        <w:gridCol w:w="2372"/>
        <w:gridCol w:w="2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42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餐饮场所基本情况统计表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（行业部门填报）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13"/>
                <w:lang w:val="en-US" w:eastAsia="zh-CN"/>
              </w:rPr>
              <w:br w:type="textWrapping"/>
            </w:r>
            <w:r>
              <w:rPr>
                <w:rStyle w:val="12"/>
                <w:rFonts w:hAnsi="方正小标宋简体"/>
                <w:lang w:val="en-US" w:eastAsia="zh-CN"/>
              </w:rPr>
              <w:t xml:space="preserve">填报单位：      </w:t>
            </w:r>
            <w:r>
              <w:rPr>
                <w:rStyle w:val="12"/>
                <w:rFonts w:hint="eastAsia" w:hAnsi="方正小标宋简体"/>
                <w:lang w:val="en-US" w:eastAsia="zh-CN"/>
              </w:rPr>
              <w:t xml:space="preserve">  </w:t>
            </w:r>
            <w:r>
              <w:rPr>
                <w:rStyle w:val="12"/>
                <w:rFonts w:hAnsi="方正小标宋简体"/>
                <w:lang w:val="en-US" w:eastAsia="zh-CN"/>
              </w:rPr>
              <w:t xml:space="preserve">          填报人：    </w:t>
            </w:r>
            <w:r>
              <w:rPr>
                <w:rStyle w:val="12"/>
                <w:rFonts w:hint="eastAsia" w:hAnsi="方正小标宋简体"/>
                <w:lang w:val="en-US" w:eastAsia="zh-CN"/>
              </w:rPr>
              <w:t xml:space="preserve">  </w:t>
            </w:r>
            <w:r>
              <w:rPr>
                <w:rStyle w:val="12"/>
                <w:rFonts w:hAnsi="方正小标宋简体"/>
                <w:lang w:val="en-US" w:eastAsia="zh-CN"/>
              </w:rPr>
              <w:t xml:space="preserve">              联系方式：   </w:t>
            </w:r>
            <w:r>
              <w:rPr>
                <w:rStyle w:val="12"/>
                <w:rFonts w:hint="eastAsia" w:hAnsi="方正小标宋简体"/>
                <w:lang w:val="en-US" w:eastAsia="zh-CN"/>
              </w:rPr>
              <w:t xml:space="preserve">  </w:t>
            </w:r>
            <w:r>
              <w:rPr>
                <w:rStyle w:val="12"/>
                <w:rFonts w:hAnsi="方正小标宋简体"/>
                <w:lang w:val="en-US" w:eastAsia="zh-CN"/>
              </w:rPr>
              <w:t xml:space="preserve">              填报时间</w:t>
            </w:r>
            <w:r>
              <w:rPr>
                <w:rStyle w:val="12"/>
                <w:rFonts w:hint="eastAsia" w:hAnsi="方正小标宋简体"/>
                <w:lang w:val="en-US" w:eastAsia="zh-CN"/>
              </w:rPr>
              <w:t>：</w:t>
            </w:r>
            <w:r>
              <w:rPr>
                <w:rStyle w:val="12"/>
                <w:rFonts w:hAnsi="方正小标宋简体"/>
                <w:lang w:val="en-US" w:eastAsia="zh-CN"/>
              </w:rPr>
              <w:t xml:space="preserve">  </w:t>
            </w:r>
            <w:r>
              <w:rPr>
                <w:rStyle w:val="13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本行业负责餐饮场所及内部食堂的总数（家）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本行业负责的经营性餐饮场所数（家）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本行业负责的内部食堂或厨房（家）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使用天然气管道的餐饮场所或厨房（家）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使用液化石油气瓶的餐饮场所或厨房（家）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使用电等其它加热方式的餐饮场所或厨房（家）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rPr>
          <w:rFonts w:hint="eastAsia" w:ascii="黑体" w:hAnsi="黑体" w:eastAsia="黑体" w:cs="Times New Roman"/>
          <w:sz w:val="32"/>
          <w:szCs w:val="32"/>
          <w:lang w:eastAsia="zh-C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319" w:charSpace="0"/>
        </w:sect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tbl>
      <w:tblPr>
        <w:tblStyle w:val="6"/>
        <w:tblW w:w="142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874"/>
        <w:gridCol w:w="1874"/>
        <w:gridCol w:w="1875"/>
        <w:gridCol w:w="1525"/>
        <w:gridCol w:w="1575"/>
        <w:gridCol w:w="1500"/>
        <w:gridCol w:w="1425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429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 xml:space="preserve">  餐饮场所基本情况统计表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（各区填报）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single"/>
                <w:lang w:val="en-US" w:eastAsia="zh-CN"/>
              </w:rPr>
              <w:br w:type="textWrapping"/>
            </w:r>
            <w:r>
              <w:rPr>
                <w:rStyle w:val="14"/>
                <w:u w:val="none"/>
                <w:lang w:val="en-US" w:eastAsia="zh-CN"/>
              </w:rPr>
              <w:t xml:space="preserve">填报单位：              填报人：      </w:t>
            </w:r>
            <w:r>
              <w:rPr>
                <w:rStyle w:val="14"/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Style w:val="14"/>
                <w:u w:val="none"/>
                <w:lang w:val="en-US" w:eastAsia="zh-CN"/>
              </w:rPr>
              <w:t xml:space="preserve">       联系方式：                   填报时间</w:t>
            </w:r>
            <w:r>
              <w:rPr>
                <w:rStyle w:val="14"/>
                <w:rFonts w:hint="eastAsia"/>
                <w:u w:val="none"/>
                <w:lang w:val="en-US" w:eastAsia="zh-CN"/>
              </w:rPr>
              <w:t>：</w:t>
            </w:r>
            <w:r>
              <w:rPr>
                <w:rStyle w:val="14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总数</w:t>
            </w:r>
          </w:p>
        </w:tc>
        <w:tc>
          <w:tcPr>
            <w:tcW w:w="5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采用不同热源的餐饮场所或厨房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单位内部食堂厨房（家）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经营性餐饮场所（家）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烹饪间安装灶台自动灭火装置（家）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操作间设置燃气报警设施（家）</w:t>
            </w: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安装油温监测装置（家）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使用天然气管道的餐饮场所或厨房（家）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使用液化石油气瓶的餐饮场所或厨房（家）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使用电等其它加热方式的餐饮场所或厨房（家）</w:t>
            </w: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rPr>
          <w:rFonts w:hint="eastAsia" w:ascii="黑体" w:hAnsi="黑体" w:eastAsia="黑体" w:cs="Times New Roman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餐饮场所消防安全检查情况统计表</w:t>
      </w:r>
    </w:p>
    <w:p>
      <w:pPr>
        <w:pStyle w:val="4"/>
        <w:rPr>
          <w:rFonts w:hint="eastAsia"/>
        </w:rPr>
      </w:pPr>
    </w:p>
    <w:p>
      <w:pPr>
        <w:spacing w:line="560" w:lineRule="exact"/>
        <w:jc w:val="left"/>
        <w:rPr>
          <w:rFonts w:hint="default" w:ascii="楷体_GB2312" w:hAnsi="Times New Roman" w:eastAsia="楷体_GB2312" w:cs="Times New Roman"/>
          <w:sz w:val="32"/>
          <w:szCs w:val="44"/>
          <w:u w:val="single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32"/>
          <w:szCs w:val="44"/>
        </w:rPr>
        <w:t>填报单位：</w:t>
      </w:r>
      <w:r>
        <w:rPr>
          <w:rFonts w:hint="eastAsia" w:ascii="楷体_GB2312" w:hAnsi="Times New Roman" w:eastAsia="楷体_GB2312" w:cs="Times New Roman"/>
          <w:sz w:val="32"/>
          <w:szCs w:val="44"/>
          <w:u w:val="single"/>
        </w:rPr>
        <w:t xml:space="preserve">        </w:t>
      </w:r>
      <w:r>
        <w:rPr>
          <w:rFonts w:ascii="楷体_GB2312" w:hAnsi="Times New Roman" w:eastAsia="楷体_GB2312" w:cs="Times New Roman"/>
          <w:sz w:val="32"/>
          <w:szCs w:val="44"/>
          <w:u w:val="single"/>
        </w:rPr>
        <w:t xml:space="preserve"> </w:t>
      </w:r>
      <w:r>
        <w:rPr>
          <w:rFonts w:hint="eastAsia" w:ascii="楷体_GB2312" w:hAnsi="Times New Roman" w:eastAsia="楷体_GB2312" w:cs="Times New Roman"/>
          <w:sz w:val="32"/>
          <w:szCs w:val="44"/>
          <w:u w:val="single"/>
          <w:lang w:val="en-US" w:eastAsia="zh-CN"/>
        </w:rPr>
        <w:t xml:space="preserve">     </w:t>
      </w:r>
      <w:r>
        <w:rPr>
          <w:rFonts w:hint="eastAsia" w:ascii="楷体_GB2312" w:hAnsi="Times New Roman" w:eastAsia="楷体_GB2312" w:cs="Times New Roman"/>
          <w:sz w:val="32"/>
          <w:szCs w:val="44"/>
        </w:rPr>
        <w:t>填报</w:t>
      </w:r>
      <w:r>
        <w:rPr>
          <w:rFonts w:ascii="楷体_GB2312" w:hAnsi="Times New Roman" w:eastAsia="楷体_GB2312" w:cs="Times New Roman"/>
          <w:sz w:val="32"/>
          <w:szCs w:val="44"/>
        </w:rPr>
        <w:t>人：</w:t>
      </w:r>
      <w:r>
        <w:rPr>
          <w:rFonts w:hint="eastAsia" w:ascii="楷体_GB2312" w:hAnsi="Times New Roman" w:eastAsia="楷体_GB2312" w:cs="Times New Roman"/>
          <w:sz w:val="32"/>
          <w:szCs w:val="44"/>
          <w:u w:val="single"/>
        </w:rPr>
        <w:t xml:space="preserve">        </w:t>
      </w:r>
      <w:r>
        <w:rPr>
          <w:rFonts w:hint="eastAsia" w:ascii="楷体_GB2312" w:hAnsi="Times New Roman" w:eastAsia="楷体_GB2312" w:cs="Times New Roman"/>
          <w:sz w:val="32"/>
          <w:szCs w:val="44"/>
        </w:rPr>
        <w:t xml:space="preserve"> 联系</w:t>
      </w:r>
      <w:r>
        <w:rPr>
          <w:rFonts w:ascii="楷体_GB2312" w:hAnsi="Times New Roman" w:eastAsia="楷体_GB2312" w:cs="Times New Roman"/>
          <w:sz w:val="32"/>
          <w:szCs w:val="44"/>
        </w:rPr>
        <w:t>方式</w:t>
      </w:r>
      <w:r>
        <w:rPr>
          <w:rFonts w:hint="eastAsia" w:ascii="楷体_GB2312" w:hAnsi="Times New Roman" w:eastAsia="楷体_GB2312" w:cs="Times New Roman"/>
          <w:sz w:val="32"/>
          <w:szCs w:val="44"/>
        </w:rPr>
        <w:t>：</w:t>
      </w:r>
      <w:r>
        <w:rPr>
          <w:rFonts w:hint="eastAsia" w:ascii="楷体_GB2312" w:hAnsi="Times New Roman" w:eastAsia="楷体_GB2312" w:cs="Times New Roman"/>
          <w:sz w:val="32"/>
          <w:szCs w:val="44"/>
          <w:u w:val="single"/>
        </w:rPr>
        <w:t xml:space="preserve">          </w:t>
      </w:r>
      <w:r>
        <w:rPr>
          <w:rFonts w:ascii="楷体_GB2312" w:hAnsi="Times New Roman" w:eastAsia="楷体_GB2312" w:cs="Times New Roman"/>
          <w:sz w:val="32"/>
          <w:szCs w:val="44"/>
          <w:u w:val="single"/>
        </w:rPr>
        <w:t xml:space="preserve">   </w:t>
      </w:r>
      <w:r>
        <w:rPr>
          <w:rFonts w:hint="eastAsia" w:ascii="楷体_GB2312" w:hAnsi="Times New Roman" w:eastAsia="楷体_GB2312" w:cs="Times New Roman"/>
          <w:sz w:val="32"/>
          <w:szCs w:val="44"/>
          <w:u w:val="single"/>
          <w:lang w:val="en-US" w:eastAsia="zh-CN"/>
        </w:rPr>
        <w:t xml:space="preserve">    </w:t>
      </w:r>
      <w:r>
        <w:rPr>
          <w:rFonts w:hint="eastAsia" w:ascii="楷体_GB2312" w:hAnsi="Times New Roman" w:eastAsia="楷体_GB2312" w:cs="Times New Roman"/>
          <w:sz w:val="32"/>
          <w:szCs w:val="44"/>
          <w:lang w:eastAsia="zh-CN"/>
        </w:rPr>
        <w:t>填报时间</w:t>
      </w:r>
      <w:r>
        <w:rPr>
          <w:rFonts w:hint="eastAsia" w:ascii="楷体_GB2312" w:hAnsi="Times New Roman" w:eastAsia="楷体_GB2312" w:cs="Times New Roman"/>
          <w:sz w:val="32"/>
          <w:szCs w:val="44"/>
          <w:u w:val="single"/>
          <w:lang w:val="en-US" w:eastAsia="zh-CN"/>
        </w:rPr>
        <w:t xml:space="preserve">            </w:t>
      </w:r>
    </w:p>
    <w:tbl>
      <w:tblPr>
        <w:tblStyle w:val="6"/>
        <w:tblW w:w="151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26"/>
        <w:gridCol w:w="517"/>
        <w:gridCol w:w="779"/>
        <w:gridCol w:w="62"/>
        <w:gridCol w:w="2"/>
        <w:gridCol w:w="843"/>
        <w:gridCol w:w="309"/>
        <w:gridCol w:w="297"/>
        <w:gridCol w:w="237"/>
        <w:gridCol w:w="839"/>
        <w:gridCol w:w="4"/>
        <w:gridCol w:w="384"/>
        <w:gridCol w:w="459"/>
        <w:gridCol w:w="776"/>
        <w:gridCol w:w="315"/>
        <w:gridCol w:w="589"/>
        <w:gridCol w:w="882"/>
        <w:gridCol w:w="479"/>
        <w:gridCol w:w="322"/>
        <w:gridCol w:w="448"/>
        <w:gridCol w:w="397"/>
        <w:gridCol w:w="841"/>
        <w:gridCol w:w="843"/>
        <w:gridCol w:w="842"/>
        <w:gridCol w:w="1"/>
        <w:gridCol w:w="843"/>
        <w:gridCol w:w="843"/>
        <w:gridCol w:w="10"/>
        <w:gridCol w:w="832"/>
        <w:gridCol w:w="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45" w:hRule="atLeast"/>
          <w:jc w:val="center"/>
        </w:trPr>
        <w:tc>
          <w:tcPr>
            <w:tcW w:w="15164" w:type="dxa"/>
            <w:gridSpan w:val="3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1"/>
                <w:lang w:val="en-US" w:eastAsia="zh-CN"/>
              </w:rPr>
              <w:t>4月19日以来累计检查执法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1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66" w:hRule="atLeast"/>
          <w:jc w:val="center"/>
        </w:trPr>
        <w:tc>
          <w:tcPr>
            <w:tcW w:w="116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检 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（家）</w:t>
            </w:r>
          </w:p>
        </w:tc>
        <w:tc>
          <w:tcPr>
            <w:tcW w:w="12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发现隐患（处）</w:t>
            </w:r>
          </w:p>
        </w:tc>
        <w:tc>
          <w:tcPr>
            <w:tcW w:w="15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整改（处）</w:t>
            </w:r>
          </w:p>
        </w:tc>
        <w:tc>
          <w:tcPr>
            <w:tcW w:w="146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罚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起数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罚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9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责令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三停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”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（家）</w:t>
            </w:r>
          </w:p>
        </w:tc>
        <w:tc>
          <w:tcPr>
            <w:tcW w:w="200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临时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查封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处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行政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拘留（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人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2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4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发现突出风险隐患单位（家）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93" w:hRule="atLeast"/>
          <w:jc w:val="center"/>
        </w:trPr>
        <w:tc>
          <w:tcPr>
            <w:tcW w:w="116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00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52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80" w:hRule="atLeast"/>
          <w:jc w:val="center"/>
        </w:trPr>
        <w:tc>
          <w:tcPr>
            <w:tcW w:w="15164" w:type="dxa"/>
            <w:gridSpan w:val="3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1"/>
                <w:lang w:eastAsia="zh-CN"/>
              </w:rPr>
              <w:t>当日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1"/>
              </w:rPr>
              <w:t>检查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1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50" w:hRule="atLeast"/>
          <w:jc w:val="center"/>
        </w:trPr>
        <w:tc>
          <w:tcPr>
            <w:tcW w:w="2527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使用天然气管道的餐饮场所或厨房（家）</w:t>
            </w:r>
          </w:p>
        </w:tc>
        <w:tc>
          <w:tcPr>
            <w:tcW w:w="252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使用液化石油气瓶的餐饮场所或厨房（家）</w:t>
            </w:r>
          </w:p>
        </w:tc>
        <w:tc>
          <w:tcPr>
            <w:tcW w:w="252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使用电等其它加热方式的餐饮场所或厨房（家）</w:t>
            </w:r>
          </w:p>
        </w:tc>
        <w:tc>
          <w:tcPr>
            <w:tcW w:w="252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单位内部食堂厨房（家）</w:t>
            </w:r>
          </w:p>
        </w:tc>
        <w:tc>
          <w:tcPr>
            <w:tcW w:w="25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经营性餐饮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场所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（家）</w:t>
            </w:r>
          </w:p>
        </w:tc>
        <w:tc>
          <w:tcPr>
            <w:tcW w:w="252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检查（家）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发现隐患（处）</w:t>
            </w:r>
          </w:p>
        </w:tc>
        <w:tc>
          <w:tcPr>
            <w:tcW w:w="8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整改（处）</w:t>
            </w:r>
          </w:p>
        </w:tc>
        <w:tc>
          <w:tcPr>
            <w:tcW w:w="8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检查（家）</w:t>
            </w:r>
          </w:p>
        </w:tc>
        <w:tc>
          <w:tcPr>
            <w:tcW w:w="8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发现隐患（处）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整改（处）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检查（家）</w:t>
            </w:r>
          </w:p>
        </w:tc>
        <w:tc>
          <w:tcPr>
            <w:tcW w:w="776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发现隐患（处）</w:t>
            </w:r>
          </w:p>
        </w:tc>
        <w:tc>
          <w:tcPr>
            <w:tcW w:w="9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整改（处）</w:t>
            </w:r>
          </w:p>
        </w:tc>
        <w:tc>
          <w:tcPr>
            <w:tcW w:w="88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检查（家）</w:t>
            </w:r>
          </w:p>
        </w:tc>
        <w:tc>
          <w:tcPr>
            <w:tcW w:w="8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发现隐患（处）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整改（处）</w:t>
            </w:r>
          </w:p>
        </w:tc>
        <w:tc>
          <w:tcPr>
            <w:tcW w:w="84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检查（家）</w:t>
            </w: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发现隐患（处）</w:t>
            </w:r>
          </w:p>
        </w:tc>
        <w:tc>
          <w:tcPr>
            <w:tcW w:w="8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整改（处）</w:t>
            </w:r>
          </w:p>
        </w:tc>
        <w:tc>
          <w:tcPr>
            <w:tcW w:w="843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检查（家）</w:t>
            </w:r>
          </w:p>
        </w:tc>
        <w:tc>
          <w:tcPr>
            <w:tcW w:w="8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发现隐患（处）</w:t>
            </w:r>
          </w:p>
        </w:tc>
        <w:tc>
          <w:tcPr>
            <w:tcW w:w="8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整改（处）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50" w:hRule="atLeast"/>
          <w:jc w:val="center"/>
        </w:trPr>
        <w:tc>
          <w:tcPr>
            <w:tcW w:w="8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3" w:hRule="atLeast"/>
          <w:jc w:val="center"/>
        </w:trPr>
        <w:tc>
          <w:tcPr>
            <w:tcW w:w="15164" w:type="dxa"/>
            <w:gridSpan w:val="30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1"/>
                <w:lang w:eastAsia="zh-CN"/>
              </w:rPr>
              <w:t>当日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1"/>
              </w:rPr>
              <w:t>执法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1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50" w:hRule="atLeast"/>
          <w:jc w:val="center"/>
        </w:trPr>
        <w:tc>
          <w:tcPr>
            <w:tcW w:w="368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罚款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99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责令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三停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”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（家）</w:t>
            </w:r>
          </w:p>
        </w:tc>
        <w:tc>
          <w:tcPr>
            <w:tcW w:w="303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临时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查封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处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92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行政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拘留（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人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54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发现突出风险隐患单位（家）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20" w:hRule="atLeast"/>
          <w:jc w:val="center"/>
        </w:trPr>
        <w:tc>
          <w:tcPr>
            <w:tcW w:w="3681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996" w:type="dxa"/>
            <w:gridSpan w:val="7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30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92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52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pStyle w:val="4"/>
        <w:rPr>
          <w:rFonts w:hint="eastAsia" w:ascii="黑体" w:hAnsi="黑体"/>
          <w:color w:val="auto"/>
        </w:rPr>
      </w:pPr>
    </w:p>
    <w:p>
      <w:pPr>
        <w:pStyle w:val="4"/>
        <w:rPr>
          <w:rFonts w:hint="eastAsia" w:ascii="黑体" w:hAnsi="黑体" w:eastAsia="黑体" w:cs="Times New Roman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>
      <w:pPr>
        <w:spacing w:line="560" w:lineRule="exact"/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</w:p>
    <w:p>
      <w:pPr>
        <w:pStyle w:val="2"/>
        <w:spacing w:after="0"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餐饮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场所消防安全突出风险隐患台账</w:t>
      </w:r>
    </w:p>
    <w:p>
      <w:pPr>
        <w:spacing w:line="560" w:lineRule="exact"/>
        <w:jc w:val="left"/>
        <w:rPr>
          <w:rStyle w:val="14"/>
          <w:u w:val="none"/>
          <w:lang w:val="en-US" w:eastAsia="zh-CN"/>
        </w:rPr>
      </w:pPr>
    </w:p>
    <w:p>
      <w:pPr>
        <w:spacing w:line="560" w:lineRule="exact"/>
        <w:jc w:val="left"/>
        <w:rPr>
          <w:rFonts w:hint="default" w:ascii="楷体_GB2312" w:hAnsi="Times New Roman" w:eastAsia="楷体_GB2312" w:cs="Times New Roman"/>
          <w:sz w:val="32"/>
          <w:szCs w:val="44"/>
          <w:u w:val="none"/>
          <w:lang w:val="en-US" w:eastAsia="zh-CN"/>
        </w:rPr>
      </w:pPr>
      <w:r>
        <w:rPr>
          <w:rStyle w:val="14"/>
          <w:u w:val="none"/>
          <w:lang w:val="en-US" w:eastAsia="zh-CN"/>
        </w:rPr>
        <w:t>填报单位：                  填报人：                联系方式：             填报时间</w:t>
      </w:r>
      <w:r>
        <w:rPr>
          <w:rStyle w:val="14"/>
          <w:rFonts w:hint="eastAsia"/>
          <w:u w:val="none"/>
          <w:lang w:val="en-US" w:eastAsia="zh-CN"/>
        </w:rPr>
        <w:t>：</w:t>
      </w:r>
      <w:r>
        <w:rPr>
          <w:rFonts w:hint="eastAsia" w:ascii="楷体_GB2312" w:hAnsi="Times New Roman" w:eastAsia="楷体_GB2312" w:cs="Times New Roman"/>
          <w:sz w:val="21"/>
          <w:szCs w:val="21"/>
          <w:u w:val="none"/>
          <w:lang w:val="en-US" w:eastAsia="zh-CN"/>
        </w:rPr>
        <w:t xml:space="preserve">               </w:t>
      </w:r>
    </w:p>
    <w:tbl>
      <w:tblPr>
        <w:tblStyle w:val="6"/>
        <w:tblpPr w:leftFromText="180" w:rightFromText="180" w:vertAnchor="text" w:horzAnchor="page" w:tblpX="1640" w:tblpY="223"/>
        <w:tblOverlap w:val="never"/>
        <w:tblW w:w="13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797"/>
        <w:gridCol w:w="1351"/>
        <w:gridCol w:w="1626"/>
        <w:gridCol w:w="3543"/>
        <w:gridCol w:w="2269"/>
        <w:gridCol w:w="184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tblHeader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区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隐患场所名称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使用性质</w:t>
            </w:r>
          </w:p>
          <w:p>
            <w:pPr>
              <w:spacing w:line="260" w:lineRule="exact"/>
              <w:jc w:val="both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（经营性餐饮场所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/单位内部自用食堂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建筑（场所）</w:t>
            </w:r>
          </w:p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基本情况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火灾风险</w:t>
            </w:r>
          </w:p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隐患问题描述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整改措施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整改进度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销账时间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line="220" w:lineRule="exact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color w:val="auto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textAlignment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textAlignment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textAlignment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textAlignment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textAlignment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rPr>
          <w:rFonts w:hint="eastAsia" w:ascii="黑体" w:hAnsi="黑体" w:eastAsia="黑体" w:cs="Times New Roman"/>
          <w:sz w:val="32"/>
          <w:szCs w:val="32"/>
        </w:rPr>
      </w:pPr>
    </w:p>
    <w:p>
      <w:pPr>
        <w:pStyle w:val="4"/>
        <w:rPr>
          <w:rFonts w:hint="eastAsia" w:ascii="黑体" w:hAnsi="黑体" w:eastAsia="黑体" w:cs="Times New Roman"/>
          <w:sz w:val="32"/>
          <w:szCs w:val="32"/>
        </w:rPr>
      </w:pPr>
    </w:p>
    <w:p>
      <w:pPr>
        <w:pStyle w:val="4"/>
        <w:rPr>
          <w:rFonts w:hint="eastAsia" w:ascii="黑体" w:hAnsi="黑体" w:eastAsia="黑体" w:cs="Times New Roman"/>
          <w:sz w:val="32"/>
          <w:szCs w:val="32"/>
        </w:rPr>
      </w:pPr>
    </w:p>
    <w:p>
      <w:pPr>
        <w:pStyle w:val="4"/>
        <w:rPr>
          <w:rFonts w:hint="eastAsia" w:ascii="黑体" w:hAnsi="黑体" w:eastAsia="黑体" w:cs="Times New Roman"/>
          <w:sz w:val="32"/>
          <w:szCs w:val="32"/>
        </w:rPr>
      </w:pPr>
    </w:p>
    <w:p>
      <w:pPr>
        <w:pStyle w:val="4"/>
        <w:rPr>
          <w:rFonts w:hint="eastAsia" w:ascii="黑体" w:hAnsi="黑体" w:eastAsia="黑体" w:cs="Times New Roman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>
      <w:pPr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default" w:ascii="Times New Roman" w:hAnsi="Times New Roman" w:eastAsia="宋体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 xml:space="preserve">  </w:t>
      </w: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pStyle w:val="10"/>
        <w:rPr>
          <w:rFonts w:hint="eastAsia" w:ascii="Times New Roman" w:hAnsi="Times New Roman"/>
          <w:szCs w:val="32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pict>
          <v:line id="直线 16" o:spid="_x0000_s1028" o:spt="20" style="position:absolute;left:0pt;margin-left:-1.65pt;margin-top:2.85pt;height:0.05pt;width:451.5pt;z-index:25166131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pict>
          <v:line id="直线 15" o:spid="_x0000_s1029" o:spt="20" style="position:absolute;left:0pt;margin-left:-1.5pt;margin-top:28.25pt;height:0.05pt;width:451.5pt;z-index:25166028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北京市防火安全委员会办公室　　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　 2023年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0"/>
          <w:szCs w:val="30"/>
        </w:rPr>
        <w:t>日印发</w:t>
      </w:r>
    </w:p>
    <w:sectPr>
      <w:footerReference r:id="rId5" w:type="default"/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细黑">
    <w:altName w:val="汉仪中等线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Noto Serif CJK JP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58" o:spid="_x0000_s205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878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97B17F"/>
    <w:multiLevelType w:val="singleLevel"/>
    <w:tmpl w:val="6497B17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JiMTJmMjQ0NzRiOWIyYjZiMDFjODk4ZTYwNDY1ZjMifQ=="/>
  </w:docVars>
  <w:rsids>
    <w:rsidRoot w:val="00000000"/>
    <w:rsid w:val="019A362C"/>
    <w:rsid w:val="02510BDC"/>
    <w:rsid w:val="03632E04"/>
    <w:rsid w:val="039A65F4"/>
    <w:rsid w:val="087216C1"/>
    <w:rsid w:val="0A8308D6"/>
    <w:rsid w:val="0C786A02"/>
    <w:rsid w:val="0E80265B"/>
    <w:rsid w:val="0F251AE4"/>
    <w:rsid w:val="0FEB602A"/>
    <w:rsid w:val="103E38B5"/>
    <w:rsid w:val="10EE01D6"/>
    <w:rsid w:val="11337646"/>
    <w:rsid w:val="131C7166"/>
    <w:rsid w:val="13511BBE"/>
    <w:rsid w:val="140754DE"/>
    <w:rsid w:val="15813708"/>
    <w:rsid w:val="1703033E"/>
    <w:rsid w:val="188B43D5"/>
    <w:rsid w:val="1994246A"/>
    <w:rsid w:val="19B802BF"/>
    <w:rsid w:val="19F710A8"/>
    <w:rsid w:val="1EFF9E0A"/>
    <w:rsid w:val="1FA173F5"/>
    <w:rsid w:val="20051698"/>
    <w:rsid w:val="21677A3C"/>
    <w:rsid w:val="216F5067"/>
    <w:rsid w:val="26477D5E"/>
    <w:rsid w:val="27A83F1D"/>
    <w:rsid w:val="28030DB3"/>
    <w:rsid w:val="295B4BE8"/>
    <w:rsid w:val="29EC66D5"/>
    <w:rsid w:val="2C210873"/>
    <w:rsid w:val="2D3C4843"/>
    <w:rsid w:val="2F793DEE"/>
    <w:rsid w:val="300914DE"/>
    <w:rsid w:val="33D9BDEC"/>
    <w:rsid w:val="356E6D37"/>
    <w:rsid w:val="35833459"/>
    <w:rsid w:val="359D4003"/>
    <w:rsid w:val="37434503"/>
    <w:rsid w:val="37C2178A"/>
    <w:rsid w:val="38FE3710"/>
    <w:rsid w:val="39E67BEC"/>
    <w:rsid w:val="3AD57A93"/>
    <w:rsid w:val="3B314929"/>
    <w:rsid w:val="3C4334ED"/>
    <w:rsid w:val="3CFB7418"/>
    <w:rsid w:val="3D382B00"/>
    <w:rsid w:val="3D9979A8"/>
    <w:rsid w:val="3DFE37C3"/>
    <w:rsid w:val="3E4C0E0E"/>
    <w:rsid w:val="3EFD56C5"/>
    <w:rsid w:val="3FA128A0"/>
    <w:rsid w:val="406E60B3"/>
    <w:rsid w:val="40807FDE"/>
    <w:rsid w:val="41C218EF"/>
    <w:rsid w:val="45643FE4"/>
    <w:rsid w:val="47FF71AB"/>
    <w:rsid w:val="489C032E"/>
    <w:rsid w:val="4A7D0844"/>
    <w:rsid w:val="4A9713EE"/>
    <w:rsid w:val="4C721BF8"/>
    <w:rsid w:val="4ED8856F"/>
    <w:rsid w:val="51241F2C"/>
    <w:rsid w:val="548206B4"/>
    <w:rsid w:val="54BF0519"/>
    <w:rsid w:val="54EA3069"/>
    <w:rsid w:val="55A41A91"/>
    <w:rsid w:val="56D432EF"/>
    <w:rsid w:val="56E15C15"/>
    <w:rsid w:val="573D64FE"/>
    <w:rsid w:val="57487219"/>
    <w:rsid w:val="587A7F35"/>
    <w:rsid w:val="594B060D"/>
    <w:rsid w:val="5AF7F2BD"/>
    <w:rsid w:val="5BEF40E4"/>
    <w:rsid w:val="5C591764"/>
    <w:rsid w:val="5C7D02B1"/>
    <w:rsid w:val="5E4D7446"/>
    <w:rsid w:val="5F6D1A9C"/>
    <w:rsid w:val="5F8B48CF"/>
    <w:rsid w:val="5FC0298E"/>
    <w:rsid w:val="5FE252DE"/>
    <w:rsid w:val="60F22548"/>
    <w:rsid w:val="61017934"/>
    <w:rsid w:val="614D1FB2"/>
    <w:rsid w:val="62B71584"/>
    <w:rsid w:val="63105496"/>
    <w:rsid w:val="63723EB5"/>
    <w:rsid w:val="66720F9F"/>
    <w:rsid w:val="677EEBC7"/>
    <w:rsid w:val="681306CB"/>
    <w:rsid w:val="697A6D19"/>
    <w:rsid w:val="6991693E"/>
    <w:rsid w:val="6A0D758C"/>
    <w:rsid w:val="6AAB290E"/>
    <w:rsid w:val="6B01111E"/>
    <w:rsid w:val="6B1A5310"/>
    <w:rsid w:val="6BAF6BE0"/>
    <w:rsid w:val="6E025E88"/>
    <w:rsid w:val="6EDF7DF5"/>
    <w:rsid w:val="6EEF1D13"/>
    <w:rsid w:val="6FE86616"/>
    <w:rsid w:val="6FF6260A"/>
    <w:rsid w:val="721B72C2"/>
    <w:rsid w:val="72701EDF"/>
    <w:rsid w:val="73AC41D5"/>
    <w:rsid w:val="74152900"/>
    <w:rsid w:val="76AD3743"/>
    <w:rsid w:val="776677F4"/>
    <w:rsid w:val="78503950"/>
    <w:rsid w:val="79B93E1C"/>
    <w:rsid w:val="7D7D15ED"/>
    <w:rsid w:val="7DB54FCA"/>
    <w:rsid w:val="7DC80BC5"/>
    <w:rsid w:val="7E3B0727"/>
    <w:rsid w:val="7EEFEE6E"/>
    <w:rsid w:val="7F05654C"/>
    <w:rsid w:val="7F2870AA"/>
    <w:rsid w:val="7FA57CF9"/>
    <w:rsid w:val="7FAA4181"/>
    <w:rsid w:val="AFFDD938"/>
    <w:rsid w:val="B9FAEFD2"/>
    <w:rsid w:val="BFEB1B5A"/>
    <w:rsid w:val="C5A7CD1E"/>
    <w:rsid w:val="D7EF762D"/>
    <w:rsid w:val="DFF9A8F3"/>
    <w:rsid w:val="E5F41AED"/>
    <w:rsid w:val="EBEE23E0"/>
    <w:rsid w:val="EEFF90AA"/>
    <w:rsid w:val="FAF5FFA2"/>
    <w:rsid w:val="FDDD8387"/>
    <w:rsid w:val="FEDB0D83"/>
    <w:rsid w:val="FEFF437F"/>
    <w:rsid w:val="FFEF76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360" w:lineRule="auto"/>
    </w:pPr>
    <w:rPr>
      <w:rFonts w:eastAsia="黑体" w:cs="黑体"/>
    </w:r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="Verdana" w:cs="Verdana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rFonts w:ascii="Verdana" w:hAnsi="Verdana" w:eastAsia="仿宋_GB2312" w:cs="Verdana"/>
      <w:color w:val="0000FF"/>
      <w:kern w:val="0"/>
      <w:sz w:val="24"/>
      <w:u w:val="single"/>
      <w:lang w:eastAsia="en-US"/>
    </w:rPr>
  </w:style>
  <w:style w:type="paragraph" w:customStyle="1" w:styleId="9">
    <w:name w:val="PlainText"/>
    <w:basedOn w:val="1"/>
    <w:qFormat/>
    <w:uiPriority w:val="0"/>
    <w:pPr>
      <w:textAlignment w:val="baseline"/>
    </w:pPr>
    <w:rPr>
      <w:rFonts w:ascii="宋体" w:hAnsi="Courier New" w:eastAsia="宋体"/>
      <w:sz w:val="21"/>
    </w:rPr>
  </w:style>
  <w:style w:type="paragraph" w:customStyle="1" w:styleId="10">
    <w:name w:val="Default"/>
    <w:basedOn w:val="1"/>
    <w:qFormat/>
    <w:uiPriority w:val="0"/>
    <w:pPr>
      <w:autoSpaceDE w:val="0"/>
      <w:autoSpaceDN w:val="0"/>
      <w:adjustRightInd w:val="0"/>
    </w:pPr>
    <w:rPr>
      <w:rFonts w:ascii="Calibri" w:hAnsi="Calibri"/>
      <w:color w:val="000000"/>
      <w:kern w:val="0"/>
      <w:sz w:val="24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character" w:customStyle="1" w:styleId="12">
    <w:name w:val="font31"/>
    <w:basedOn w:val="7"/>
    <w:qFormat/>
    <w:uiPriority w:val="0"/>
    <w:rPr>
      <w:rFonts w:ascii="楷体_GB2312" w:eastAsia="楷体_GB2312" w:cs="楷体_GB2312"/>
      <w:color w:val="000000"/>
      <w:sz w:val="24"/>
      <w:szCs w:val="24"/>
      <w:u w:val="none"/>
    </w:rPr>
  </w:style>
  <w:style w:type="character" w:customStyle="1" w:styleId="13">
    <w:name w:val="font5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4">
    <w:name w:val="font71"/>
    <w:basedOn w:val="7"/>
    <w:qFormat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table" w:customStyle="1" w:styleId="15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 w:eastAsia="宋体" w:cs="黑体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8" textRotate="1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3008</Words>
  <Characters>3064</Characters>
  <Lines>0</Lines>
  <Paragraphs>0</Paragraphs>
  <TotalTime>0</TotalTime>
  <ScaleCrop>false</ScaleCrop>
  <LinksUpToDate>false</LinksUpToDate>
  <CharactersWithSpaces>3391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2023-06-24T16:12:00Z</dcterms:created>
  <dc:creator>win</dc:creator>
  <cp:lastModifiedBy>uos</cp:lastModifiedBy>
  <cp:lastPrinted>2023-06-30T11:55:00Z</cp:lastPrinted>
  <dcterms:modified xsi:type="dcterms:W3CDTF">2023-07-05T16:17:21Z</dcterms:modified>
  <dc:title>为深刻吸取xx市高新区“9、28”重大火灾事故惨痛教训，根据省、市工作安排，xx市政府决定在全市范围内开展餐饮类场所消防安全专项治理，特制定本方案。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39C41ADECE294FF09F85E710E86DFF3A_12</vt:lpwstr>
  </property>
</Properties>
</file>