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正高工评审拟申报专业与本人现高工专业比对审核表</w:t>
      </w:r>
    </w:p>
    <w:tbl>
      <w:tblPr>
        <w:tblStyle w:val="3"/>
        <w:tblW w:w="15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53"/>
        <w:gridCol w:w="1374"/>
        <w:gridCol w:w="4400"/>
        <w:gridCol w:w="4872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2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高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相同专业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可申报的相近专业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可申报的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不符合申报的专业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风景园林（景观设计）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风景园林（景观设计）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园林绿化、工程景观、建筑施工、建筑设计、城乡规划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地质勘查、基础地质、土木工程、工程勘察、爆破工程、采矿工程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建设行业内其他专业并取得土木工程师（岩土）国家注册类执业资格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岩土工程、勘查技术与工程、土木工程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建设行业内其他专业并取得土木工程师（岩土）国家注册类执业资格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市政工程、市政工程设计、道路桥梁、道路交通设计、道路与交通工程、给排水、建筑施工、建筑工程、土木工程、桥梁工程设计、桥梁与结构设计、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公路工程、隧道工程、桥隧工程、交通工程、城市地铁、机场工程、城乡规划、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交通土建工程、工民建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建设行业内其他专业并取得建造师（市政）、土木工程师（道路工程）等国家注册类执业资格之一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建筑工程管理、建筑装饰、建筑安装、土木工程、市政工程、风景园林、钢结构、机场工程、工民建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建设行业内其他专业并取得建造师（建筑）国家注册类执业资格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暖通工程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暖通工程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机电，机电设备、建筑安装、暖通空调、供热通风与空调工程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建设行业内其他专业并取得公用设备工程师（暖通）国家注册类执业资格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建筑机械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特种设备、机械设备管理、机械与设备技术、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机电、建筑安装、机电设备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建设行业内其他专业并取得设备监理工程师、建造师（机电）等国家注册类执业资格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建筑工程管理、材料检测、试验检测、无机非金属材料、材料与化工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城市燃气、建筑安装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建设行业内其他专业并取得消防工程师、安全工程师、公用设备工程师（动力）等国家注册类执业资格之一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建筑电气（建筑智能化）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建筑电气（建筑智能化）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建筑施工、建筑安装、工业自动化、工业电器、通信工程、广播视听设备、照明器具、轻工自动化、机电工程、电气安装、电气工程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建设行业内其他专业并取得电气工程师、建造师（机电）等国家注册类执业资格之一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工程监理、工程造价、建筑施工、建筑工程、建筑装饰、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建筑安装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"/>
              </w:rPr>
              <w:t>、土木工程、材料及试验检测、市政工程、工民建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建设行业内其他专业并取得监理工程师、建造师、造价工程师、建筑师、安全工程师、土木工程师、公用设备工程师、安全工程师、电气工程师、结构工程师、咨询工程师等国家注册类执业资格之一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建筑设计、钢结构、城乡规划、结构设计、结构工程、道桥设计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建设行业内其他专业并取得结构工程师、土木工程师（岩土）等国家注册类执业资格之一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市政道路、环境工程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建设行业内其他专业并取得公用设备工程师（给排水）国家注册类执业资格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建筑施工、建筑设计、建筑安装、家具制造、幕墙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建设行业内其他专业并取得建造师（建筑）国家注册类执业资格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建筑学、建筑结构、建筑装饰、城乡规划、风景园林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建设行业内其他专业并取得建筑师国家注册类执业资格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造价咨询、建筑工程管理、建筑施工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建设行业内其他专业并取得造价工程师、咨询工程师等国家注册类执业资格之一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白蚁防治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白蚁防治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无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未列入本表三、四、五项内的专业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注：1.建设行业内专业指本表第二项所列17个申报专业；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2.现专业与申报专业不相近的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eastAsia="zh-CN"/>
        </w:rPr>
        <w:t>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取得与申报专业相关的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eastAsia="zh-CN"/>
        </w:rPr>
        <w:t>国家注册类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执业资格；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3.未在本表中体现的个别专业，由评委办另行研究确定并补充完善。</w:t>
      </w:r>
    </w:p>
    <w:p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C30C51-6633-4F49-9B54-2F080987BC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19F29F-A0C5-4115-A558-89EB8733C0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639C3B-C00B-4D68-9AF4-07A7A9E0BF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9F16EA6-29EF-491C-B8AA-BD436D9555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ZmMGQ0ZDE2Y2VmMGU4ZDM3OTIxNTAzYjcyYjUifQ=="/>
  </w:docVars>
  <w:rsids>
    <w:rsidRoot w:val="00000000"/>
    <w:rsid w:val="68A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2024-05-09T09:27:16Z</dcterms:created>
  <dc:creator>Administrator</dc:creator>
  <cp:lastModifiedBy>chen</cp:lastModifiedBy>
  <dcterms:modified xsi:type="dcterms:W3CDTF">2024-05-09T09:27:45Z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47059FFA502347829533C41F2CF2F46D_12</vt:lpwstr>
  </property>
</Properties>
</file>