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Toc8209"/>
    </w:p>
    <w:p>
      <w:pPr>
        <w:bidi w:val="0"/>
      </w:pPr>
    </w:p>
    <w:bookmarkEnd w:id="0"/>
    <w:p>
      <w:pPr>
        <w:pStyle w:val="29"/>
        <w:bidi w:val="0"/>
        <w:rPr>
          <w:rFonts w:hint="eastAsia"/>
          <w:lang w:val="en-US" w:eastAsia="zh-CN"/>
        </w:rPr>
      </w:pPr>
      <w:bookmarkStart w:id="1" w:name="_Toc605"/>
      <w:bookmarkStart w:id="2" w:name="_Toc21336"/>
      <w:r>
        <w:rPr>
          <w:rFonts w:hint="eastAsia"/>
          <w:lang w:val="en-US" w:eastAsia="zh-CN"/>
        </w:rPr>
        <w:t>电动自行车停车场（棚）防火设计导则</w:t>
      </w:r>
      <w:bookmarkEnd w:id="1"/>
      <w:bookmarkEnd w:id="2"/>
    </w:p>
    <w:p>
      <w:pPr>
        <w:bidi w:val="0"/>
        <w:jc w:val="center"/>
        <w:rPr>
          <w:rFonts w:hint="default"/>
          <w:lang w:val="en-US" w:eastAsia="zh-CN"/>
        </w:rPr>
      </w:pPr>
      <w:r>
        <w:rPr>
          <w:rFonts w:hint="eastAsia"/>
          <w:lang w:val="en-US" w:eastAsia="zh-CN"/>
        </w:rPr>
        <w:t>（征求意见稿</w:t>
      </w:r>
      <w:bookmarkStart w:id="78" w:name="_GoBack"/>
      <w:bookmarkEnd w:id="78"/>
      <w:r>
        <w:rPr>
          <w:rFonts w:hint="eastAsia"/>
          <w:lang w:val="en-US" w:eastAsia="zh-CN"/>
        </w:rPr>
        <w:t>）</w:t>
      </w:r>
    </w:p>
    <w:p>
      <w:pPr>
        <w:spacing w:line="240" w:lineRule="auto"/>
        <w:rPr>
          <w:rFonts w:asciiTheme="minorEastAsia" w:hAnsiTheme="minorEastAsia" w:eastAsiaTheme="minorEastAsia" w:cstheme="minorEastAsia"/>
          <w:sz w:val="21"/>
          <w:szCs w:val="21"/>
        </w:rPr>
      </w:pPr>
    </w:p>
    <w:p/>
    <w:p/>
    <w:p/>
    <w:p/>
    <w:p/>
    <w:p/>
    <w:p/>
    <w:p/>
    <w:p/>
    <w:p/>
    <w:p/>
    <w:p/>
    <w:p/>
    <w:p/>
    <w:p/>
    <w:p/>
    <w:p>
      <w:pPr>
        <w:jc w:val="center"/>
        <w:rPr>
          <w:rFonts w:hint="default" w:eastAsia="黑体"/>
          <w:lang w:val="en-US" w:eastAsia="zh-CN"/>
        </w:rPr>
        <w:sectPr>
          <w:headerReference r:id="rId5" w:type="default"/>
          <w:footerReference r:id="rId6" w:type="default"/>
          <w:pgSz w:w="11906" w:h="16838"/>
          <w:pgMar w:top="1417" w:right="1417" w:bottom="1417" w:left="1587" w:header="935" w:footer="992" w:gutter="0"/>
          <w:pgNumType w:start="1"/>
          <w:cols w:space="0" w:num="1"/>
          <w:docGrid w:type="lines" w:linePitch="312" w:charSpace="0"/>
        </w:sectPr>
      </w:pP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val="en-US" w:eastAsia="zh-CN"/>
        </w:rPr>
        <w:t>4月</w:t>
      </w:r>
    </w:p>
    <w:sdt>
      <w:sdtPr>
        <w:rPr>
          <w:rFonts w:hint="eastAsia"/>
          <w:b/>
          <w:bCs/>
          <w:sz w:val="30"/>
          <w:szCs w:val="30"/>
        </w:rPr>
        <w:id w:val="147471776"/>
        <w:docPartObj>
          <w:docPartGallery w:val="Table of Contents"/>
          <w:docPartUnique/>
        </w:docPartObj>
      </w:sdtPr>
      <w:sdtEndPr>
        <w:rPr>
          <w:rFonts w:hint="eastAsia" w:ascii="宋体" w:hAnsi="宋体" w:eastAsia="宋体" w:cs="Times New Roman"/>
          <w:b/>
          <w:bCs/>
          <w:sz w:val="21"/>
          <w:szCs w:val="24"/>
        </w:rPr>
      </w:sdtEndPr>
      <w:sdtContent>
        <w:p>
          <w:pPr>
            <w:bidi w:val="0"/>
            <w:jc w:val="center"/>
            <w:rPr>
              <w:sz w:val="30"/>
              <w:szCs w:val="30"/>
            </w:rPr>
          </w:pPr>
          <w:r>
            <w:rPr>
              <w:rFonts w:ascii="宋体" w:hAnsi="宋体" w:eastAsia="宋体"/>
              <w:sz w:val="30"/>
              <w:szCs w:val="30"/>
            </w:rPr>
            <w:t>目</w:t>
          </w:r>
          <w:r>
            <w:rPr>
              <w:rFonts w:hint="eastAsia" w:ascii="宋体" w:hAnsi="宋体" w:eastAsia="宋体"/>
              <w:sz w:val="30"/>
              <w:szCs w:val="30"/>
              <w:lang w:val="en-US" w:eastAsia="zh-CN"/>
            </w:rPr>
            <w:t xml:space="preserve">  </w:t>
          </w:r>
          <w:r>
            <w:rPr>
              <w:rFonts w:ascii="宋体" w:hAnsi="宋体" w:eastAsia="宋体"/>
              <w:sz w:val="30"/>
              <w:szCs w:val="30"/>
            </w:rPr>
            <w:t>录</w:t>
          </w:r>
        </w:p>
        <w:p>
          <w:pPr>
            <w:pStyle w:val="13"/>
            <w:tabs>
              <w:tab w:val="right" w:leader="dot" w:pos="8902"/>
              <w:tab w:val="clear" w:pos="420"/>
              <w:tab w:val="clear" w:pos="8607"/>
            </w:tabs>
          </w:pPr>
          <w:r>
            <w:fldChar w:fldCharType="begin"/>
          </w:r>
          <w:r>
            <w:instrText xml:space="preserve">TOC \o "1-3" \h \u </w:instrText>
          </w:r>
          <w:r>
            <w:fldChar w:fldCharType="separate"/>
          </w:r>
          <w:r>
            <w:fldChar w:fldCharType="begin"/>
          </w:r>
          <w:r>
            <w:instrText xml:space="preserve"> HYPERLINK \l _Toc13421 </w:instrText>
          </w:r>
          <w:r>
            <w:fldChar w:fldCharType="separate"/>
          </w:r>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总则</w:t>
          </w:r>
          <w:r>
            <w:tab/>
          </w:r>
          <w:r>
            <w:fldChar w:fldCharType="begin"/>
          </w:r>
          <w:r>
            <w:instrText xml:space="preserve"> PAGEREF _Toc13421 \h </w:instrText>
          </w:r>
          <w:r>
            <w:fldChar w:fldCharType="separate"/>
          </w:r>
          <w:r>
            <w:t>1</w:t>
          </w:r>
          <w:r>
            <w:fldChar w:fldCharType="end"/>
          </w:r>
          <w:r>
            <w:fldChar w:fldCharType="end"/>
          </w:r>
        </w:p>
        <w:p>
          <w:pPr>
            <w:pStyle w:val="13"/>
            <w:tabs>
              <w:tab w:val="right" w:leader="dot" w:pos="8902"/>
              <w:tab w:val="clear" w:pos="420"/>
              <w:tab w:val="clear" w:pos="8607"/>
            </w:tabs>
          </w:pPr>
          <w:r>
            <w:fldChar w:fldCharType="begin"/>
          </w:r>
          <w:r>
            <w:instrText xml:space="preserve"> HYPERLINK \l _Toc10746 </w:instrText>
          </w:r>
          <w:r>
            <w:fldChar w:fldCharType="separate"/>
          </w:r>
          <w:r>
            <w:rPr>
              <w:rFonts w:hint="eastAsia" w:ascii="宋体" w:hAnsi="宋体" w:eastAsia="宋体" w:cs="宋体"/>
              <w:lang w:val="en-US" w:eastAsia="zh-CN"/>
            </w:rPr>
            <w:t>2 术语</w:t>
          </w:r>
          <w:r>
            <w:tab/>
          </w:r>
          <w:r>
            <w:fldChar w:fldCharType="begin"/>
          </w:r>
          <w:r>
            <w:instrText xml:space="preserve"> PAGEREF _Toc10746 \h </w:instrText>
          </w:r>
          <w:r>
            <w:fldChar w:fldCharType="separate"/>
          </w:r>
          <w:r>
            <w:t>2</w:t>
          </w:r>
          <w:r>
            <w:fldChar w:fldCharType="end"/>
          </w:r>
          <w:r>
            <w:fldChar w:fldCharType="end"/>
          </w:r>
        </w:p>
        <w:p>
          <w:pPr>
            <w:pStyle w:val="13"/>
            <w:tabs>
              <w:tab w:val="right" w:leader="dot" w:pos="8902"/>
              <w:tab w:val="clear" w:pos="420"/>
              <w:tab w:val="clear" w:pos="8607"/>
            </w:tabs>
          </w:pPr>
          <w:r>
            <w:fldChar w:fldCharType="begin"/>
          </w:r>
          <w:r>
            <w:instrText xml:space="preserve"> HYPERLINK \l _Toc16520 </w:instrText>
          </w:r>
          <w:r>
            <w:fldChar w:fldCharType="separate"/>
          </w:r>
          <w:r>
            <w:rPr>
              <w:rFonts w:hint="eastAsia" w:ascii="宋体" w:hAnsi="宋体" w:eastAsia="宋体" w:cs="宋体"/>
              <w:lang w:val="en-US" w:eastAsia="zh-CN"/>
            </w:rPr>
            <w:t>3 基本规定</w:t>
          </w:r>
          <w:r>
            <w:tab/>
          </w:r>
          <w:r>
            <w:fldChar w:fldCharType="begin"/>
          </w:r>
          <w:r>
            <w:instrText xml:space="preserve"> PAGEREF _Toc16520 \h </w:instrText>
          </w:r>
          <w:r>
            <w:fldChar w:fldCharType="separate"/>
          </w:r>
          <w:r>
            <w:t>3</w:t>
          </w:r>
          <w:r>
            <w:fldChar w:fldCharType="end"/>
          </w:r>
          <w:r>
            <w:fldChar w:fldCharType="end"/>
          </w:r>
        </w:p>
        <w:p>
          <w:pPr>
            <w:pStyle w:val="13"/>
            <w:tabs>
              <w:tab w:val="right" w:leader="dot" w:pos="8902"/>
              <w:tab w:val="clear" w:pos="420"/>
              <w:tab w:val="clear" w:pos="8607"/>
            </w:tabs>
          </w:pPr>
          <w:r>
            <w:fldChar w:fldCharType="begin"/>
          </w:r>
          <w:r>
            <w:instrText xml:space="preserve"> HYPERLINK \l _Toc27820 </w:instrText>
          </w:r>
          <w:r>
            <w:fldChar w:fldCharType="separate"/>
          </w:r>
          <w:r>
            <w:rPr>
              <w:rFonts w:hint="eastAsia" w:ascii="宋体" w:hAnsi="宋体" w:eastAsia="宋体" w:cs="宋体"/>
              <w:lang w:val="en-US" w:eastAsia="zh-CN"/>
            </w:rPr>
            <w:t>4 建筑</w:t>
          </w:r>
          <w:r>
            <w:tab/>
          </w:r>
          <w:r>
            <w:fldChar w:fldCharType="begin"/>
          </w:r>
          <w:r>
            <w:instrText xml:space="preserve"> PAGEREF _Toc27820 \h </w:instrText>
          </w:r>
          <w:r>
            <w:fldChar w:fldCharType="separate"/>
          </w:r>
          <w:r>
            <w:t>5</w:t>
          </w:r>
          <w:r>
            <w:fldChar w:fldCharType="end"/>
          </w:r>
          <w:r>
            <w:fldChar w:fldCharType="end"/>
          </w:r>
        </w:p>
        <w:p>
          <w:pPr>
            <w:pStyle w:val="14"/>
            <w:tabs>
              <w:tab w:val="right" w:leader="dot" w:pos="8902"/>
              <w:tab w:val="clear" w:pos="8607"/>
            </w:tabs>
          </w:pPr>
          <w:r>
            <w:fldChar w:fldCharType="begin"/>
          </w:r>
          <w:r>
            <w:instrText xml:space="preserve"> HYPERLINK \l _Toc22667 </w:instrText>
          </w:r>
          <w:r>
            <w:fldChar w:fldCharType="separate"/>
          </w:r>
          <w:r>
            <w:rPr>
              <w:rFonts w:hint="eastAsia" w:ascii="宋体" w:hAnsi="宋体" w:eastAsia="宋体" w:cs="宋体"/>
            </w:rPr>
            <w:t xml:space="preserve">4.1 </w:t>
          </w:r>
          <w:r>
            <w:rPr>
              <w:rFonts w:hint="eastAsia" w:ascii="宋体" w:hAnsi="宋体" w:eastAsia="宋体" w:cs="宋体"/>
              <w:lang w:val="en-US" w:eastAsia="zh-CN"/>
            </w:rPr>
            <w:t>总平面布置</w:t>
          </w:r>
          <w:r>
            <w:tab/>
          </w:r>
          <w:r>
            <w:fldChar w:fldCharType="begin"/>
          </w:r>
          <w:r>
            <w:instrText xml:space="preserve"> PAGEREF _Toc22667 \h </w:instrText>
          </w:r>
          <w:r>
            <w:fldChar w:fldCharType="separate"/>
          </w:r>
          <w:r>
            <w:t>5</w:t>
          </w:r>
          <w:r>
            <w:fldChar w:fldCharType="end"/>
          </w:r>
          <w:r>
            <w:fldChar w:fldCharType="end"/>
          </w:r>
        </w:p>
        <w:p>
          <w:pPr>
            <w:pStyle w:val="14"/>
            <w:tabs>
              <w:tab w:val="right" w:leader="dot" w:pos="8902"/>
              <w:tab w:val="clear" w:pos="8607"/>
            </w:tabs>
          </w:pPr>
          <w:r>
            <w:fldChar w:fldCharType="begin"/>
          </w:r>
          <w:r>
            <w:instrText xml:space="preserve"> HYPERLINK \l _Toc17660 </w:instrText>
          </w:r>
          <w:r>
            <w:fldChar w:fldCharType="separate"/>
          </w:r>
          <w:r>
            <w:rPr>
              <w:rFonts w:hint="eastAsia" w:ascii="宋体" w:hAnsi="宋体" w:eastAsia="宋体" w:cs="宋体"/>
            </w:rPr>
            <w:t xml:space="preserve">4.2 </w:t>
          </w:r>
          <w:r>
            <w:rPr>
              <w:rFonts w:hint="eastAsia" w:ascii="宋体" w:hAnsi="宋体" w:eastAsia="宋体" w:cs="宋体"/>
              <w:lang w:val="en-US" w:eastAsia="zh-CN"/>
            </w:rPr>
            <w:t>平面布置和防火构造</w:t>
          </w:r>
          <w:r>
            <w:tab/>
          </w:r>
          <w:r>
            <w:fldChar w:fldCharType="begin"/>
          </w:r>
          <w:r>
            <w:instrText xml:space="preserve"> PAGEREF _Toc17660 \h </w:instrText>
          </w:r>
          <w:r>
            <w:fldChar w:fldCharType="separate"/>
          </w:r>
          <w:r>
            <w:t>7</w:t>
          </w:r>
          <w:r>
            <w:fldChar w:fldCharType="end"/>
          </w:r>
          <w:r>
            <w:fldChar w:fldCharType="end"/>
          </w:r>
        </w:p>
        <w:p>
          <w:pPr>
            <w:pStyle w:val="14"/>
            <w:tabs>
              <w:tab w:val="right" w:leader="dot" w:pos="8902"/>
              <w:tab w:val="clear" w:pos="8607"/>
            </w:tabs>
          </w:pPr>
          <w:r>
            <w:fldChar w:fldCharType="begin"/>
          </w:r>
          <w:r>
            <w:instrText xml:space="preserve"> HYPERLINK \l _Toc11439 </w:instrText>
          </w:r>
          <w:r>
            <w:fldChar w:fldCharType="separate"/>
          </w:r>
          <w:r>
            <w:rPr>
              <w:rFonts w:hint="eastAsia" w:ascii="宋体" w:hAnsi="宋体" w:eastAsia="宋体" w:cs="宋体"/>
            </w:rPr>
            <w:t xml:space="preserve">4.3 </w:t>
          </w:r>
          <w:r>
            <w:rPr>
              <w:rFonts w:hint="eastAsia" w:ascii="宋体" w:hAnsi="宋体" w:eastAsia="宋体" w:cs="宋体"/>
              <w:lang w:val="en-US" w:eastAsia="zh-CN"/>
            </w:rPr>
            <w:t>安全疏散</w:t>
          </w:r>
          <w:r>
            <w:tab/>
          </w:r>
          <w:r>
            <w:fldChar w:fldCharType="begin"/>
          </w:r>
          <w:r>
            <w:instrText xml:space="preserve"> PAGEREF _Toc11439 \h </w:instrText>
          </w:r>
          <w:r>
            <w:fldChar w:fldCharType="separate"/>
          </w:r>
          <w:r>
            <w:t>8</w:t>
          </w:r>
          <w:r>
            <w:fldChar w:fldCharType="end"/>
          </w:r>
          <w:r>
            <w:fldChar w:fldCharType="end"/>
          </w:r>
        </w:p>
        <w:p>
          <w:pPr>
            <w:pStyle w:val="13"/>
            <w:tabs>
              <w:tab w:val="right" w:leader="dot" w:pos="8902"/>
              <w:tab w:val="clear" w:pos="420"/>
              <w:tab w:val="clear" w:pos="8607"/>
            </w:tabs>
          </w:pPr>
          <w:r>
            <w:fldChar w:fldCharType="begin"/>
          </w:r>
          <w:r>
            <w:instrText xml:space="preserve"> HYPERLINK \l _Toc30448 </w:instrText>
          </w:r>
          <w:r>
            <w:fldChar w:fldCharType="separate"/>
          </w:r>
          <w:r>
            <w:rPr>
              <w:rFonts w:hint="eastAsia" w:ascii="宋体" w:hAnsi="宋体" w:eastAsia="宋体" w:cs="宋体"/>
              <w:lang w:val="en-US" w:eastAsia="zh-CN"/>
            </w:rPr>
            <w:t>5 消防给水和灭火设施</w:t>
          </w:r>
          <w:r>
            <w:tab/>
          </w:r>
          <w:r>
            <w:fldChar w:fldCharType="begin"/>
          </w:r>
          <w:r>
            <w:instrText xml:space="preserve"> PAGEREF _Toc30448 \h </w:instrText>
          </w:r>
          <w:r>
            <w:fldChar w:fldCharType="separate"/>
          </w:r>
          <w:r>
            <w:t>9</w:t>
          </w:r>
          <w:r>
            <w:fldChar w:fldCharType="end"/>
          </w:r>
          <w:r>
            <w:fldChar w:fldCharType="end"/>
          </w:r>
        </w:p>
        <w:p>
          <w:pPr>
            <w:pStyle w:val="14"/>
            <w:tabs>
              <w:tab w:val="right" w:leader="dot" w:pos="8902"/>
              <w:tab w:val="clear" w:pos="8607"/>
            </w:tabs>
          </w:pPr>
          <w:r>
            <w:fldChar w:fldCharType="begin"/>
          </w:r>
          <w:r>
            <w:instrText xml:space="preserve"> HYPERLINK \l _Toc15054 </w:instrText>
          </w:r>
          <w:r>
            <w:fldChar w:fldCharType="separate"/>
          </w:r>
          <w:r>
            <w:rPr>
              <w:rFonts w:hint="eastAsia" w:ascii="宋体" w:hAnsi="宋体" w:eastAsia="宋体" w:cs="宋体"/>
            </w:rPr>
            <w:t>5.1 室外消火栓</w:t>
          </w:r>
          <w:r>
            <w:tab/>
          </w:r>
          <w:r>
            <w:fldChar w:fldCharType="begin"/>
          </w:r>
          <w:r>
            <w:instrText xml:space="preserve"> PAGEREF _Toc15054 \h </w:instrText>
          </w:r>
          <w:r>
            <w:fldChar w:fldCharType="separate"/>
          </w:r>
          <w:r>
            <w:t>9</w:t>
          </w:r>
          <w:r>
            <w:fldChar w:fldCharType="end"/>
          </w:r>
          <w:r>
            <w:fldChar w:fldCharType="end"/>
          </w:r>
        </w:p>
        <w:p>
          <w:pPr>
            <w:pStyle w:val="14"/>
            <w:tabs>
              <w:tab w:val="right" w:leader="dot" w:pos="8902"/>
              <w:tab w:val="clear" w:pos="8607"/>
            </w:tabs>
          </w:pPr>
          <w:r>
            <w:fldChar w:fldCharType="begin"/>
          </w:r>
          <w:r>
            <w:instrText xml:space="preserve"> HYPERLINK \l _Toc21310 </w:instrText>
          </w:r>
          <w:r>
            <w:fldChar w:fldCharType="separate"/>
          </w:r>
          <w:r>
            <w:rPr>
              <w:rFonts w:hint="eastAsia" w:ascii="宋体" w:hAnsi="宋体" w:eastAsia="宋体" w:cs="宋体"/>
            </w:rPr>
            <w:t>5.2室内消火栓</w:t>
          </w:r>
          <w:r>
            <w:tab/>
          </w:r>
          <w:r>
            <w:fldChar w:fldCharType="begin"/>
          </w:r>
          <w:r>
            <w:instrText xml:space="preserve"> PAGEREF _Toc21310 \h </w:instrText>
          </w:r>
          <w:r>
            <w:fldChar w:fldCharType="separate"/>
          </w:r>
          <w:r>
            <w:t>9</w:t>
          </w:r>
          <w:r>
            <w:fldChar w:fldCharType="end"/>
          </w:r>
          <w:r>
            <w:fldChar w:fldCharType="end"/>
          </w:r>
        </w:p>
        <w:p>
          <w:pPr>
            <w:pStyle w:val="14"/>
            <w:tabs>
              <w:tab w:val="right" w:leader="dot" w:pos="8902"/>
              <w:tab w:val="clear" w:pos="8607"/>
            </w:tabs>
          </w:pPr>
          <w:r>
            <w:fldChar w:fldCharType="begin"/>
          </w:r>
          <w:r>
            <w:instrText xml:space="preserve"> HYPERLINK \l _Toc14852 </w:instrText>
          </w:r>
          <w:r>
            <w:fldChar w:fldCharType="separate"/>
          </w:r>
          <w:r>
            <w:rPr>
              <w:rFonts w:hint="eastAsia" w:ascii="宋体" w:hAnsi="宋体" w:eastAsia="宋体" w:cs="宋体"/>
            </w:rPr>
            <w:t>5.3 自动灭火设施</w:t>
          </w:r>
          <w:r>
            <w:tab/>
          </w:r>
          <w:r>
            <w:fldChar w:fldCharType="begin"/>
          </w:r>
          <w:r>
            <w:instrText xml:space="preserve"> PAGEREF _Toc14852 \h </w:instrText>
          </w:r>
          <w:r>
            <w:fldChar w:fldCharType="separate"/>
          </w:r>
          <w:r>
            <w:t>10</w:t>
          </w:r>
          <w:r>
            <w:fldChar w:fldCharType="end"/>
          </w:r>
          <w:r>
            <w:fldChar w:fldCharType="end"/>
          </w:r>
        </w:p>
        <w:p>
          <w:pPr>
            <w:pStyle w:val="14"/>
            <w:tabs>
              <w:tab w:val="right" w:leader="dot" w:pos="8902"/>
              <w:tab w:val="clear" w:pos="8607"/>
            </w:tabs>
          </w:pPr>
          <w:r>
            <w:fldChar w:fldCharType="begin"/>
          </w:r>
          <w:r>
            <w:instrText xml:space="preserve"> HYPERLINK \l _Toc8421 </w:instrText>
          </w:r>
          <w:r>
            <w:fldChar w:fldCharType="separate"/>
          </w:r>
          <w:r>
            <w:rPr>
              <w:rFonts w:hint="eastAsia" w:ascii="宋体" w:hAnsi="宋体" w:eastAsia="宋体" w:cs="宋体"/>
            </w:rPr>
            <w:t>5.4 建筑灭火器</w:t>
          </w:r>
          <w:r>
            <w:tab/>
          </w:r>
          <w:r>
            <w:fldChar w:fldCharType="begin"/>
          </w:r>
          <w:r>
            <w:instrText xml:space="preserve"> PAGEREF _Toc8421 \h </w:instrText>
          </w:r>
          <w:r>
            <w:fldChar w:fldCharType="separate"/>
          </w:r>
          <w:r>
            <w:t>10</w:t>
          </w:r>
          <w:r>
            <w:fldChar w:fldCharType="end"/>
          </w:r>
          <w:r>
            <w:fldChar w:fldCharType="end"/>
          </w:r>
        </w:p>
        <w:p>
          <w:pPr>
            <w:pStyle w:val="13"/>
            <w:tabs>
              <w:tab w:val="right" w:leader="dot" w:pos="8902"/>
              <w:tab w:val="clear" w:pos="420"/>
              <w:tab w:val="clear" w:pos="8607"/>
            </w:tabs>
          </w:pPr>
          <w:r>
            <w:fldChar w:fldCharType="begin"/>
          </w:r>
          <w:r>
            <w:instrText xml:space="preserve"> HYPERLINK \l _Toc22613 </w:instrText>
          </w:r>
          <w:r>
            <w:fldChar w:fldCharType="separate"/>
          </w:r>
          <w:r>
            <w:rPr>
              <w:rFonts w:hint="eastAsia" w:ascii="宋体" w:hAnsi="宋体" w:eastAsia="宋体" w:cs="宋体"/>
              <w:lang w:val="en-US" w:eastAsia="zh-CN"/>
            </w:rPr>
            <w:t>6电气防火</w:t>
          </w:r>
          <w:r>
            <w:tab/>
          </w:r>
          <w:r>
            <w:fldChar w:fldCharType="begin"/>
          </w:r>
          <w:r>
            <w:instrText xml:space="preserve"> PAGEREF _Toc22613 \h </w:instrText>
          </w:r>
          <w:r>
            <w:fldChar w:fldCharType="separate"/>
          </w:r>
          <w:r>
            <w:t>11</w:t>
          </w:r>
          <w:r>
            <w:fldChar w:fldCharType="end"/>
          </w:r>
          <w:r>
            <w:fldChar w:fldCharType="end"/>
          </w:r>
        </w:p>
        <w:p>
          <w:pPr>
            <w:pStyle w:val="14"/>
            <w:tabs>
              <w:tab w:val="right" w:leader="dot" w:pos="8902"/>
              <w:tab w:val="clear" w:pos="8607"/>
            </w:tabs>
          </w:pPr>
          <w:r>
            <w:fldChar w:fldCharType="begin"/>
          </w:r>
          <w:r>
            <w:instrText xml:space="preserve"> HYPERLINK \l _Toc29878 </w:instrText>
          </w:r>
          <w:r>
            <w:fldChar w:fldCharType="separate"/>
          </w:r>
          <w:r>
            <w:rPr>
              <w:rFonts w:hint="eastAsia" w:ascii="宋体" w:hAnsi="宋体" w:eastAsia="宋体" w:cs="宋体"/>
            </w:rPr>
            <w:t>6.1 供配电系统</w:t>
          </w:r>
          <w:r>
            <w:tab/>
          </w:r>
          <w:r>
            <w:fldChar w:fldCharType="begin"/>
          </w:r>
          <w:r>
            <w:instrText xml:space="preserve"> PAGEREF _Toc29878 \h </w:instrText>
          </w:r>
          <w:r>
            <w:fldChar w:fldCharType="separate"/>
          </w:r>
          <w:r>
            <w:t>11</w:t>
          </w:r>
          <w:r>
            <w:fldChar w:fldCharType="end"/>
          </w:r>
          <w:r>
            <w:fldChar w:fldCharType="end"/>
          </w:r>
        </w:p>
        <w:p>
          <w:pPr>
            <w:pStyle w:val="14"/>
            <w:tabs>
              <w:tab w:val="right" w:leader="dot" w:pos="8902"/>
              <w:tab w:val="clear" w:pos="8607"/>
            </w:tabs>
          </w:pPr>
          <w:r>
            <w:fldChar w:fldCharType="begin"/>
          </w:r>
          <w:r>
            <w:instrText xml:space="preserve"> HYPERLINK \l _Toc688 </w:instrText>
          </w:r>
          <w:r>
            <w:fldChar w:fldCharType="separate"/>
          </w:r>
          <w:r>
            <w:rPr>
              <w:rFonts w:hint="eastAsia" w:ascii="宋体" w:hAnsi="宋体" w:eastAsia="宋体" w:cs="宋体"/>
            </w:rPr>
            <w:t>6.2线缆选型及敷设</w:t>
          </w:r>
          <w:r>
            <w:tab/>
          </w:r>
          <w:r>
            <w:fldChar w:fldCharType="begin"/>
          </w:r>
          <w:r>
            <w:instrText xml:space="preserve"> PAGEREF _Toc688 \h </w:instrText>
          </w:r>
          <w:r>
            <w:fldChar w:fldCharType="separate"/>
          </w:r>
          <w:r>
            <w:t>11</w:t>
          </w:r>
          <w:r>
            <w:fldChar w:fldCharType="end"/>
          </w:r>
          <w:r>
            <w:fldChar w:fldCharType="end"/>
          </w:r>
        </w:p>
        <w:p>
          <w:pPr>
            <w:pStyle w:val="14"/>
            <w:tabs>
              <w:tab w:val="right" w:leader="dot" w:pos="8902"/>
              <w:tab w:val="clear" w:pos="8607"/>
            </w:tabs>
          </w:pPr>
          <w:r>
            <w:fldChar w:fldCharType="begin"/>
          </w:r>
          <w:r>
            <w:instrText xml:space="preserve"> HYPERLINK \l _Toc28124 </w:instrText>
          </w:r>
          <w:r>
            <w:fldChar w:fldCharType="separate"/>
          </w:r>
          <w:r>
            <w:rPr>
              <w:rFonts w:hint="eastAsia" w:ascii="宋体" w:hAnsi="宋体" w:eastAsia="宋体" w:cs="宋体"/>
            </w:rPr>
            <w:t>6.3 火灾自动报警系统</w:t>
          </w:r>
          <w:r>
            <w:tab/>
          </w:r>
          <w:r>
            <w:fldChar w:fldCharType="begin"/>
          </w:r>
          <w:r>
            <w:instrText xml:space="preserve"> PAGEREF _Toc28124 \h </w:instrText>
          </w:r>
          <w:r>
            <w:fldChar w:fldCharType="separate"/>
          </w:r>
          <w:r>
            <w:t>11</w:t>
          </w:r>
          <w:r>
            <w:fldChar w:fldCharType="end"/>
          </w:r>
          <w:r>
            <w:fldChar w:fldCharType="end"/>
          </w:r>
        </w:p>
        <w:p>
          <w:pPr>
            <w:pStyle w:val="14"/>
            <w:tabs>
              <w:tab w:val="right" w:leader="dot" w:pos="8902"/>
              <w:tab w:val="clear" w:pos="8607"/>
            </w:tabs>
          </w:pPr>
          <w:r>
            <w:fldChar w:fldCharType="begin"/>
          </w:r>
          <w:r>
            <w:instrText xml:space="preserve"> HYPERLINK \l _Toc29116 </w:instrText>
          </w:r>
          <w:r>
            <w:fldChar w:fldCharType="separate"/>
          </w:r>
          <w:r>
            <w:rPr>
              <w:rFonts w:hint="eastAsia"/>
            </w:rPr>
            <w:t>6.</w:t>
          </w:r>
          <w:r>
            <w:t>4</w:t>
          </w:r>
          <w:r>
            <w:rPr>
              <w:rFonts w:hint="eastAsia"/>
            </w:rPr>
            <w:t xml:space="preserve"> 充电设施及场所防火</w:t>
          </w:r>
          <w:r>
            <w:tab/>
          </w:r>
          <w:r>
            <w:fldChar w:fldCharType="begin"/>
          </w:r>
          <w:r>
            <w:instrText xml:space="preserve"> PAGEREF _Toc29116 \h </w:instrText>
          </w:r>
          <w:r>
            <w:fldChar w:fldCharType="separate"/>
          </w:r>
          <w:r>
            <w:t>11</w:t>
          </w:r>
          <w:r>
            <w:fldChar w:fldCharType="end"/>
          </w:r>
          <w:r>
            <w:fldChar w:fldCharType="end"/>
          </w:r>
        </w:p>
        <w:p>
          <w:pPr>
            <w:pStyle w:val="13"/>
            <w:tabs>
              <w:tab w:val="right" w:leader="dot" w:pos="8902"/>
              <w:tab w:val="clear" w:pos="420"/>
              <w:tab w:val="clear" w:pos="8607"/>
            </w:tabs>
          </w:pPr>
          <w:r>
            <w:fldChar w:fldCharType="begin"/>
          </w:r>
          <w:r>
            <w:instrText xml:space="preserve"> HYPERLINK \l _Toc18403 </w:instrText>
          </w:r>
          <w:r>
            <w:fldChar w:fldCharType="separate"/>
          </w:r>
          <w:r>
            <w:rPr>
              <w:rFonts w:hint="eastAsia" w:ascii="宋体" w:hAnsi="宋体" w:eastAsia="宋体" w:cs="宋体"/>
              <w:lang w:val="en-US" w:eastAsia="zh-CN"/>
            </w:rPr>
            <w:t>用词说明</w:t>
          </w:r>
          <w:r>
            <w:tab/>
          </w:r>
          <w:r>
            <w:fldChar w:fldCharType="begin"/>
          </w:r>
          <w:r>
            <w:instrText xml:space="preserve"> PAGEREF _Toc18403 \h </w:instrText>
          </w:r>
          <w:r>
            <w:fldChar w:fldCharType="separate"/>
          </w:r>
          <w:r>
            <w:t>13</w:t>
          </w:r>
          <w:r>
            <w:fldChar w:fldCharType="end"/>
          </w:r>
          <w:r>
            <w:fldChar w:fldCharType="end"/>
          </w:r>
        </w:p>
        <w:p>
          <w:pPr>
            <w:pStyle w:val="13"/>
            <w:tabs>
              <w:tab w:val="right" w:leader="dot" w:pos="8902"/>
              <w:tab w:val="clear" w:pos="420"/>
              <w:tab w:val="clear" w:pos="8607"/>
            </w:tabs>
          </w:pPr>
          <w:r>
            <w:fldChar w:fldCharType="begin"/>
          </w:r>
          <w:r>
            <w:instrText xml:space="preserve"> HYPERLINK \l _Toc19023 </w:instrText>
          </w:r>
          <w:r>
            <w:fldChar w:fldCharType="separate"/>
          </w:r>
          <w:r>
            <w:rPr>
              <w:rFonts w:hint="eastAsia" w:ascii="宋体" w:hAnsi="宋体" w:eastAsia="宋体" w:cs="宋体"/>
              <w:lang w:val="en-US" w:eastAsia="zh-CN"/>
            </w:rPr>
            <w:t>引用标准名录</w:t>
          </w:r>
          <w:r>
            <w:tab/>
          </w:r>
          <w:r>
            <w:fldChar w:fldCharType="begin"/>
          </w:r>
          <w:r>
            <w:instrText xml:space="preserve"> PAGEREF _Toc19023 \h </w:instrText>
          </w:r>
          <w:r>
            <w:fldChar w:fldCharType="separate"/>
          </w:r>
          <w:r>
            <w:t>14</w:t>
          </w:r>
          <w:r>
            <w:fldChar w:fldCharType="end"/>
          </w:r>
          <w:r>
            <w:fldChar w:fldCharType="end"/>
          </w:r>
        </w:p>
        <w:p>
          <w:pPr>
            <w:spacing w:line="240" w:lineRule="auto"/>
            <w:jc w:val="center"/>
            <w:rPr>
              <w:rFonts w:ascii="宋体" w:hAnsi="宋体" w:eastAsia="宋体"/>
              <w:sz w:val="21"/>
            </w:rPr>
          </w:pPr>
          <w:r>
            <w:fldChar w:fldCharType="end"/>
          </w:r>
        </w:p>
      </w:sdtContent>
    </w:sdt>
    <w:p/>
    <w:p/>
    <w:p/>
    <w:p/>
    <w:p/>
    <w:p/>
    <w:p/>
    <w:p>
      <w:pPr>
        <w:pStyle w:val="2"/>
        <w:numPr>
          <w:ilvl w:val="0"/>
          <w:numId w:val="0"/>
        </w:numPr>
        <w:spacing w:before="156" w:beforeLines="50" w:after="156" w:afterLines="50" w:line="560" w:lineRule="atLeast"/>
        <w:jc w:val="center"/>
        <w:rPr>
          <w:rFonts w:hint="eastAsia" w:ascii="仿宋" w:hAnsi="仿宋" w:eastAsia="仿宋" w:cs="仿宋"/>
          <w:lang w:val="en-US" w:eastAsia="zh-CN"/>
        </w:rPr>
        <w:sectPr>
          <w:headerReference r:id="rId7" w:type="default"/>
          <w:footerReference r:id="rId8" w:type="default"/>
          <w:pgSz w:w="11906" w:h="16838"/>
          <w:pgMar w:top="1417" w:right="1417" w:bottom="1417" w:left="1587" w:header="0" w:footer="0" w:gutter="0"/>
          <w:pgNumType w:start="1"/>
          <w:cols w:space="0" w:num="1"/>
          <w:docGrid w:type="lines" w:linePitch="312" w:charSpace="0"/>
        </w:sectPr>
      </w:pPr>
    </w:p>
    <w:p>
      <w:pPr>
        <w:pStyle w:val="2"/>
        <w:numPr>
          <w:ilvl w:val="0"/>
          <w:numId w:val="0"/>
        </w:numPr>
        <w:spacing w:before="156" w:beforeLines="50" w:after="156" w:afterLines="50" w:line="560" w:lineRule="atLeast"/>
        <w:jc w:val="center"/>
        <w:rPr>
          <w:rFonts w:hint="eastAsia" w:ascii="宋体" w:hAnsi="宋体" w:eastAsia="宋体" w:cs="宋体"/>
          <w:lang w:val="en-US" w:eastAsia="zh-CN"/>
        </w:rPr>
      </w:pPr>
      <w:bookmarkStart w:id="3" w:name="_Toc13421"/>
      <w:bookmarkStart w:id="4" w:name="_Toc30773"/>
      <w:bookmarkStart w:id="5" w:name="_Toc25014"/>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总则</w:t>
      </w:r>
      <w:bookmarkEnd w:id="3"/>
      <w:bookmarkEnd w:id="4"/>
      <w:bookmarkEnd w:id="5"/>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1.0.1</w:t>
      </w:r>
      <w:r>
        <w:rPr>
          <w:rFonts w:hint="eastAsia" w:ascii="宋体" w:hAnsi="宋体" w:eastAsia="宋体" w:cs="宋体"/>
          <w:sz w:val="28"/>
          <w:szCs w:val="28"/>
          <w:lang w:eastAsia="zh-CN"/>
        </w:rPr>
        <w:t xml:space="preserve">  为防止和减少电动自行车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的火灾危险和危害，加强电动自行车</w:t>
      </w:r>
      <w:r>
        <w:rPr>
          <w:rFonts w:hint="eastAsia" w:ascii="宋体" w:hAnsi="宋体" w:eastAsia="宋体" w:cs="宋体"/>
          <w:sz w:val="28"/>
          <w:szCs w:val="28"/>
          <w:lang w:val="en-US" w:eastAsia="zh-CN"/>
        </w:rPr>
        <w:t>停车场（棚）的</w:t>
      </w:r>
      <w:r>
        <w:rPr>
          <w:rFonts w:hint="eastAsia" w:ascii="宋体" w:hAnsi="宋体" w:eastAsia="宋体" w:cs="宋体"/>
          <w:sz w:val="28"/>
          <w:szCs w:val="28"/>
          <w:lang w:eastAsia="zh-CN"/>
        </w:rPr>
        <w:t>安全</w:t>
      </w:r>
      <w:r>
        <w:rPr>
          <w:rFonts w:hint="eastAsia" w:ascii="宋体" w:hAnsi="宋体" w:eastAsia="宋体" w:cs="宋体"/>
          <w:sz w:val="28"/>
          <w:szCs w:val="28"/>
          <w:lang w:val="en-US" w:eastAsia="zh-CN"/>
        </w:rPr>
        <w:t>设计</w:t>
      </w:r>
      <w:r>
        <w:rPr>
          <w:rFonts w:hint="eastAsia" w:ascii="宋体" w:hAnsi="宋体" w:eastAsia="宋体" w:cs="宋体"/>
          <w:sz w:val="28"/>
          <w:szCs w:val="28"/>
          <w:lang w:eastAsia="zh-CN"/>
        </w:rPr>
        <w:t>，保护人身和财产安全，制定本导则。</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1.0.2</w:t>
      </w:r>
      <w:r>
        <w:rPr>
          <w:rFonts w:hint="eastAsia" w:ascii="宋体" w:hAnsi="宋体" w:eastAsia="宋体" w:cs="宋体"/>
          <w:sz w:val="28"/>
          <w:szCs w:val="28"/>
          <w:lang w:eastAsia="zh-CN"/>
        </w:rPr>
        <w:t xml:space="preserve">  本导则适用于安徽省新建、改建、扩建的电动自行车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的防火设计，既有建筑、老旧小区配建的电动自行车</w:t>
      </w:r>
      <w:r>
        <w:rPr>
          <w:rFonts w:hint="eastAsia" w:ascii="宋体" w:hAnsi="宋体" w:eastAsia="宋体" w:cs="宋体"/>
          <w:sz w:val="28"/>
          <w:szCs w:val="28"/>
          <w:lang w:val="en-US" w:eastAsia="zh-CN"/>
        </w:rPr>
        <w:t>停车场（棚）应按此导则</w:t>
      </w:r>
      <w:r>
        <w:rPr>
          <w:rFonts w:hint="eastAsia" w:ascii="宋体" w:hAnsi="宋体" w:eastAsia="宋体" w:cs="宋体"/>
          <w:sz w:val="28"/>
          <w:szCs w:val="28"/>
          <w:lang w:eastAsia="zh-CN"/>
        </w:rPr>
        <w:t>执行。</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1.0.3</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的防火设计应结合电动自行车停放充电场所的特点采取有效的防火措施，做到安全可靠、技术先进、经济合理、使用便捷。</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1.0.</w:t>
      </w:r>
      <w:r>
        <w:rPr>
          <w:rFonts w:hint="eastAsia" w:ascii="宋体" w:hAnsi="宋体" w:eastAsia="宋体" w:cs="宋体"/>
          <w:b/>
          <w:bCs/>
          <w:sz w:val="28"/>
          <w:szCs w:val="28"/>
          <w:lang w:val="en-US" w:eastAsia="zh-CN"/>
        </w:rPr>
        <w:t>4</w:t>
      </w:r>
      <w:r>
        <w:rPr>
          <w:rFonts w:hint="eastAsia" w:ascii="宋体" w:hAnsi="宋体" w:eastAsia="宋体" w:cs="宋体"/>
          <w:sz w:val="28"/>
          <w:szCs w:val="28"/>
          <w:lang w:eastAsia="zh-CN"/>
        </w:rPr>
        <w:t xml:space="preserve">  除符合国家机动车标准并已列入工业和信息化部《道路机动车辆生产企业及产品公告》的电动汽车外，靠电力装置驱动或助动的电动三轮车、电动轮椅车、电动轻便摩托车、电动摩托车等</w:t>
      </w:r>
      <w:r>
        <w:rPr>
          <w:rFonts w:hint="eastAsia" w:ascii="宋体" w:hAnsi="宋体" w:eastAsia="宋体" w:cs="宋体"/>
          <w:sz w:val="28"/>
          <w:szCs w:val="28"/>
          <w:lang w:val="en-US" w:eastAsia="zh-CN"/>
        </w:rPr>
        <w:t>电动车停车场（棚）应</w:t>
      </w:r>
      <w:r>
        <w:rPr>
          <w:rFonts w:hint="eastAsia" w:ascii="宋体" w:hAnsi="宋体" w:eastAsia="宋体" w:cs="宋体"/>
          <w:sz w:val="28"/>
          <w:szCs w:val="28"/>
          <w:lang w:eastAsia="zh-CN"/>
        </w:rPr>
        <w:t>参照本导则执行。</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1.0.</w:t>
      </w:r>
      <w:r>
        <w:rPr>
          <w:rFonts w:hint="eastAsia" w:ascii="宋体" w:hAnsi="宋体" w:eastAsia="宋体" w:cs="宋体"/>
          <w:b/>
          <w:bCs/>
          <w:sz w:val="28"/>
          <w:szCs w:val="28"/>
          <w:lang w:val="en-US" w:eastAsia="zh-CN"/>
        </w:rPr>
        <w:t>5</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的设计除应执行本导则外，尚应符合国家、行业和安徽省现行有关规定、标准、规范的要求。</w:t>
      </w:r>
    </w:p>
    <w:p>
      <w:pPr>
        <w:spacing w:before="65" w:line="360" w:lineRule="auto"/>
        <w:ind w:right="47"/>
        <w:rPr>
          <w:rFonts w:hint="eastAsia" w:ascii="宋体" w:hAnsi="宋体" w:eastAsia="宋体" w:cs="宋体"/>
          <w:color w:val="auto"/>
          <w:sz w:val="20"/>
          <w:szCs w:val="20"/>
          <w:lang w:eastAsia="zh-CN"/>
        </w:rPr>
      </w:pPr>
    </w:p>
    <w:p>
      <w:pPr>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pStyle w:val="2"/>
        <w:spacing w:before="156" w:beforeLines="50" w:after="156" w:afterLines="50" w:line="560" w:lineRule="atLeast"/>
        <w:rPr>
          <w:rFonts w:hint="eastAsia" w:ascii="宋体" w:hAnsi="宋体" w:eastAsia="宋体" w:cs="宋体"/>
        </w:rPr>
      </w:pPr>
      <w:bookmarkStart w:id="6" w:name="_Toc23639"/>
      <w:bookmarkStart w:id="7" w:name="_Toc10399"/>
      <w:bookmarkStart w:id="8" w:name="_Toc10746"/>
      <w:r>
        <w:rPr>
          <w:rFonts w:hint="eastAsia" w:ascii="宋体" w:hAnsi="宋体" w:eastAsia="宋体" w:cs="宋体"/>
          <w:lang w:val="en-US" w:eastAsia="zh-CN"/>
        </w:rPr>
        <w:t>2 术语</w:t>
      </w:r>
      <w:bookmarkEnd w:id="6"/>
      <w:bookmarkEnd w:id="7"/>
      <w:bookmarkEnd w:id="8"/>
    </w:p>
    <w:p>
      <w:pPr>
        <w:bidi w:val="0"/>
        <w:rPr>
          <w:rFonts w:hint="eastAsia" w:ascii="黑体" w:hAnsi="黑体" w:eastAsia="黑体" w:cs="黑体"/>
          <w:sz w:val="28"/>
          <w:szCs w:val="28"/>
          <w:lang w:eastAsia="zh-CN"/>
        </w:rPr>
      </w:pPr>
      <w:r>
        <w:rPr>
          <w:rFonts w:hint="eastAsia" w:ascii="黑体" w:hAnsi="黑体" w:eastAsia="黑体" w:cs="黑体"/>
          <w:sz w:val="28"/>
          <w:szCs w:val="28"/>
          <w:lang w:eastAsia="zh-CN"/>
        </w:rPr>
        <w:t>2.0.1  电动自行车</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以车载蓄电池为辅助能源，具有脚踏骑行能力，能实现电助动或电驱动功能并符合《电动自行车安全技术规范》GB17761要求的两轮自行车。</w:t>
      </w:r>
    </w:p>
    <w:p>
      <w:pPr>
        <w:bidi w:val="0"/>
        <w:rPr>
          <w:rFonts w:hint="eastAsia" w:ascii="黑体" w:hAnsi="黑体" w:eastAsia="黑体" w:cs="黑体"/>
          <w:sz w:val="28"/>
          <w:szCs w:val="28"/>
          <w:lang w:eastAsia="zh-CN"/>
        </w:rPr>
      </w:pPr>
      <w:r>
        <w:rPr>
          <w:rFonts w:hint="eastAsia" w:ascii="黑体" w:hAnsi="黑体" w:eastAsia="黑体" w:cs="黑体"/>
          <w:sz w:val="28"/>
          <w:szCs w:val="28"/>
          <w:lang w:eastAsia="zh-CN"/>
        </w:rPr>
        <w:t>2.0.2  电动自行车停放充电场所</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用于电动自行车停放或充电的场所。</w:t>
      </w:r>
    </w:p>
    <w:p>
      <w:pPr>
        <w:bidi w:val="0"/>
        <w:rPr>
          <w:rFonts w:hint="eastAsia" w:ascii="黑体" w:hAnsi="黑体" w:eastAsia="黑体" w:cs="黑体"/>
          <w:sz w:val="28"/>
          <w:szCs w:val="28"/>
          <w:lang w:eastAsia="zh-CN"/>
        </w:rPr>
      </w:pPr>
      <w:r>
        <w:rPr>
          <w:rFonts w:hint="eastAsia" w:ascii="黑体" w:hAnsi="黑体" w:eastAsia="黑体" w:cs="黑体"/>
          <w:sz w:val="28"/>
          <w:szCs w:val="28"/>
          <w:lang w:eastAsia="zh-CN"/>
        </w:rPr>
        <w:t>2.0.</w:t>
      </w:r>
      <w:r>
        <w:rPr>
          <w:rFonts w:hint="eastAsia" w:ascii="黑体" w:hAnsi="黑体" w:eastAsia="黑体" w:cs="黑体"/>
          <w:sz w:val="28"/>
          <w:szCs w:val="28"/>
          <w:lang w:val="en-US" w:eastAsia="zh-CN"/>
        </w:rPr>
        <w:t>3</w:t>
      </w:r>
      <w:r>
        <w:rPr>
          <w:rFonts w:hint="eastAsia" w:ascii="黑体" w:hAnsi="黑体" w:eastAsia="黑体" w:cs="黑体"/>
          <w:sz w:val="28"/>
          <w:szCs w:val="28"/>
          <w:lang w:eastAsia="zh-CN"/>
        </w:rPr>
        <w:t xml:space="preserve">  电动自行车停车场（棚）</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用于电动自行车停放或充电的室外场地。</w:t>
      </w:r>
      <w:bookmarkStart w:id="9" w:name="bookmark6"/>
      <w:bookmarkEnd w:id="9"/>
      <w:r>
        <w:rPr>
          <w:rFonts w:hint="eastAsia" w:ascii="宋体" w:hAnsi="宋体" w:eastAsia="宋体" w:cs="宋体"/>
          <w:sz w:val="28"/>
          <w:szCs w:val="28"/>
          <w:lang w:eastAsia="zh-CN"/>
        </w:rPr>
        <w:t>一般可具有顶棚、围墙(栏)等围护设施，但无外墙、外窗等围护结构。</w:t>
      </w:r>
    </w:p>
    <w:p>
      <w:pPr>
        <w:bidi w:val="0"/>
        <w:rPr>
          <w:rFonts w:hint="eastAsia" w:ascii="黑体" w:hAnsi="黑体" w:eastAsia="黑体" w:cs="黑体"/>
          <w:sz w:val="28"/>
          <w:szCs w:val="28"/>
          <w:lang w:eastAsia="zh-CN"/>
        </w:rPr>
      </w:pPr>
      <w:r>
        <w:rPr>
          <w:rFonts w:hint="eastAsia" w:ascii="黑体" w:hAnsi="黑体" w:eastAsia="黑体" w:cs="黑体"/>
          <w:sz w:val="28"/>
          <w:szCs w:val="28"/>
          <w:lang w:eastAsia="zh-CN"/>
        </w:rPr>
        <w:t>2.0.</w:t>
      </w:r>
      <w:r>
        <w:rPr>
          <w:rFonts w:hint="eastAsia" w:ascii="黑体" w:hAnsi="黑体" w:eastAsia="黑体" w:cs="黑体"/>
          <w:sz w:val="28"/>
          <w:szCs w:val="28"/>
          <w:lang w:val="en-US" w:eastAsia="zh-CN"/>
        </w:rPr>
        <w:t>4</w:t>
      </w:r>
      <w:r>
        <w:rPr>
          <w:rFonts w:hint="eastAsia" w:ascii="黑体" w:hAnsi="黑体" w:eastAsia="黑体" w:cs="黑体"/>
          <w:sz w:val="28"/>
          <w:szCs w:val="28"/>
          <w:lang w:eastAsia="zh-CN"/>
        </w:rPr>
        <w:t xml:space="preserve">  电动自行车充电设备</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与电动自行车动力蓄电池相连接，并为其提供电能的设备。一般包含充电柜、充电插座及其配套的配电箱、线缆等。</w:t>
      </w:r>
    </w:p>
    <w:p>
      <w:pPr>
        <w:bidi w:val="0"/>
        <w:rPr>
          <w:rFonts w:hint="eastAsia" w:ascii="黑体" w:hAnsi="黑体" w:eastAsia="黑体" w:cs="黑体"/>
          <w:sz w:val="28"/>
          <w:szCs w:val="28"/>
          <w:lang w:val="en-US" w:eastAsia="zh-CN"/>
        </w:rPr>
      </w:pPr>
      <w:r>
        <w:rPr>
          <w:rFonts w:hint="eastAsia" w:ascii="黑体" w:hAnsi="黑体" w:eastAsia="黑体" w:cs="黑体"/>
          <w:sz w:val="28"/>
          <w:szCs w:val="28"/>
          <w:lang w:eastAsia="zh-CN"/>
        </w:rPr>
        <w:t>2.0.</w:t>
      </w:r>
      <w:r>
        <w:rPr>
          <w:rFonts w:hint="eastAsia" w:ascii="黑体" w:hAnsi="黑体" w:eastAsia="黑体" w:cs="黑体"/>
          <w:sz w:val="28"/>
          <w:szCs w:val="28"/>
          <w:lang w:val="en-US" w:eastAsia="zh-CN"/>
        </w:rPr>
        <w:t>5</w:t>
      </w:r>
      <w:r>
        <w:rPr>
          <w:rFonts w:hint="eastAsia" w:ascii="黑体" w:hAnsi="黑体" w:eastAsia="黑体" w:cs="黑体"/>
          <w:sz w:val="28"/>
          <w:szCs w:val="28"/>
          <w:lang w:eastAsia="zh-CN"/>
        </w:rPr>
        <w:t xml:space="preserve">  电动自行车库</w:t>
      </w:r>
      <w:r>
        <w:rPr>
          <w:rFonts w:hint="eastAsia" w:ascii="黑体" w:hAnsi="黑体" w:eastAsia="黑体" w:cs="黑体"/>
          <w:sz w:val="28"/>
          <w:szCs w:val="28"/>
          <w:lang w:val="en-US" w:eastAsia="zh-CN"/>
        </w:rPr>
        <w:t xml:space="preserve">  </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设置在建筑物内用于电动自行车停放或充电的场所。</w:t>
      </w:r>
    </w:p>
    <w:p>
      <w:pPr>
        <w:bidi w:val="0"/>
        <w:rPr>
          <w:rFonts w:hint="eastAsia" w:ascii="黑体" w:hAnsi="黑体" w:eastAsia="黑体" w:cs="黑体"/>
          <w:sz w:val="28"/>
          <w:szCs w:val="28"/>
          <w:lang w:val="en-US" w:eastAsia="zh-CN"/>
        </w:rPr>
      </w:pPr>
      <w:r>
        <w:rPr>
          <w:rFonts w:hint="eastAsia" w:ascii="黑体" w:hAnsi="黑体" w:eastAsia="黑体" w:cs="黑体"/>
          <w:sz w:val="28"/>
          <w:szCs w:val="28"/>
          <w:lang w:eastAsia="zh-CN"/>
        </w:rPr>
        <w:t>2.0.</w:t>
      </w:r>
      <w:r>
        <w:rPr>
          <w:rFonts w:hint="eastAsia" w:ascii="黑体" w:hAnsi="黑体" w:eastAsia="黑体" w:cs="黑体"/>
          <w:sz w:val="28"/>
          <w:szCs w:val="28"/>
          <w:lang w:val="en-US" w:eastAsia="zh-CN"/>
        </w:rPr>
        <w:t>6</w:t>
      </w:r>
      <w:r>
        <w:rPr>
          <w:rFonts w:hint="eastAsia" w:ascii="黑体" w:hAnsi="黑体" w:eastAsia="黑体" w:cs="黑体"/>
          <w:sz w:val="28"/>
          <w:szCs w:val="28"/>
          <w:lang w:eastAsia="zh-CN"/>
        </w:rPr>
        <w:t xml:space="preserve">  敞开式电动自行车库</w:t>
      </w:r>
    </w:p>
    <w:p>
      <w:pPr>
        <w:bidi w:val="0"/>
        <w:rPr>
          <w:rFonts w:hint="eastAsia" w:ascii="宋体" w:hAnsi="宋体" w:eastAsia="宋体" w:cs="宋体"/>
          <w:sz w:val="28"/>
          <w:szCs w:val="28"/>
          <w:lang w:eastAsia="zh-CN"/>
        </w:rPr>
      </w:pPr>
      <w:r>
        <w:rPr>
          <w:rFonts w:hint="eastAsia" w:ascii="宋体" w:hAnsi="宋体" w:eastAsia="宋体" w:cs="宋体"/>
          <w:sz w:val="28"/>
          <w:szCs w:val="28"/>
          <w:lang w:eastAsia="zh-CN"/>
        </w:rPr>
        <w:t>任一层电动自行车库外墙敞开面积大于该层四周外墙体总面积的25%，敞开区域均匀布置在外墙上且其长度大于车库周长的50%的电动自行车库。</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lang w:val="en-US" w:eastAsia="zh-CN"/>
        </w:rPr>
      </w:pPr>
      <w:bookmarkStart w:id="10" w:name="_Toc12145"/>
      <w:bookmarkStart w:id="11" w:name="_Toc16520"/>
      <w:bookmarkStart w:id="12" w:name="_Toc27315"/>
      <w:r>
        <w:rPr>
          <w:rFonts w:hint="eastAsia" w:ascii="宋体" w:hAnsi="宋体" w:eastAsia="宋体" w:cs="宋体"/>
          <w:lang w:val="en-US" w:eastAsia="zh-CN"/>
        </w:rPr>
        <w:t>3 基本规定</w:t>
      </w:r>
      <w:bookmarkEnd w:id="10"/>
      <w:bookmarkEnd w:id="11"/>
      <w:bookmarkEnd w:id="12"/>
    </w:p>
    <w:p>
      <w:pPr>
        <w:bidi w:val="0"/>
        <w:rPr>
          <w:rFonts w:hint="eastAsia" w:ascii="宋体" w:hAnsi="宋体" w:eastAsia="宋体" w:cs="宋体"/>
          <w:color w:val="auto"/>
          <w:sz w:val="28"/>
          <w:szCs w:val="28"/>
          <w:lang w:val="en-US" w:eastAsia="zh-CN"/>
        </w:rPr>
      </w:pPr>
      <w:r>
        <w:rPr>
          <w:rFonts w:hint="eastAsia" w:ascii="宋体" w:hAnsi="宋体" w:eastAsia="宋体" w:cs="宋体"/>
          <w:b/>
          <w:bCs/>
          <w:sz w:val="28"/>
          <w:szCs w:val="28"/>
          <w:lang w:val="en-US" w:eastAsia="zh-CN"/>
        </w:rPr>
        <w:t>3.0.1</w:t>
      </w:r>
      <w:r>
        <w:rPr>
          <w:rFonts w:hint="eastAsia" w:ascii="宋体" w:hAnsi="宋体" w:eastAsia="宋体" w:cs="宋体"/>
          <w:sz w:val="28"/>
          <w:szCs w:val="28"/>
          <w:lang w:val="en-US" w:eastAsia="zh-CN"/>
        </w:rPr>
        <w:t xml:space="preserve">  电动自</w:t>
      </w:r>
      <w:r>
        <w:rPr>
          <w:rFonts w:hint="eastAsia" w:ascii="宋体" w:hAnsi="宋体" w:eastAsia="宋体" w:cs="宋体"/>
          <w:color w:val="auto"/>
          <w:sz w:val="28"/>
          <w:szCs w:val="28"/>
          <w:lang w:val="en-US" w:eastAsia="zh-CN"/>
        </w:rPr>
        <w:t>行车场（棚）的等级应按照停车数量和建筑面积的规模划分为大型、中型、小型、微型，并应符合表3.0.1的规定。</w:t>
      </w:r>
    </w:p>
    <w:p>
      <w:pPr>
        <w:bidi w:val="0"/>
        <w:jc w:val="center"/>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表3.0.1 电动自行车停放充电场所按照规模分类</w:t>
      </w:r>
    </w:p>
    <w:tbl>
      <w:tblPr>
        <w:tblStyle w:val="16"/>
        <w:tblW w:w="0" w:type="auto"/>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1822"/>
        <w:gridCol w:w="1829"/>
        <w:gridCol w:w="1822"/>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等级</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大型</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中型</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小型</w:t>
            </w:r>
          </w:p>
        </w:tc>
        <w:tc>
          <w:tcPr>
            <w:tcW w:w="1784"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微型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停车数（辆）</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＞400</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201～400</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21～200</w:t>
            </w:r>
          </w:p>
        </w:tc>
        <w:tc>
          <w:tcPr>
            <w:tcW w:w="1784"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建筑面积S（㎡）</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＞1000</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500＜S≤1000</w:t>
            </w:r>
          </w:p>
        </w:tc>
        <w:tc>
          <w:tcPr>
            <w:tcW w:w="1893"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50＜S≤500</w:t>
            </w:r>
          </w:p>
        </w:tc>
        <w:tc>
          <w:tcPr>
            <w:tcW w:w="1784" w:type="dxa"/>
            <w:noWrap w:val="0"/>
            <w:vAlign w:val="top"/>
          </w:tcPr>
          <w:p>
            <w:pPr>
              <w:bidi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≤50</w:t>
            </w:r>
          </w:p>
        </w:tc>
      </w:tr>
    </w:tbl>
    <w:p>
      <w:pPr>
        <w:bidi w:val="0"/>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注：电动自行车场（棚）的停车数和建筑面积任一项符合上表规定时，应按相应等级确定。</w:t>
      </w:r>
    </w:p>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3.0.2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电动自行车车型的外廓尺寸可按表3.0.2的规定取值，</w:t>
      </w:r>
      <w:r>
        <w:rPr>
          <w:rFonts w:hint="eastAsia" w:ascii="宋体" w:hAnsi="宋体" w:eastAsia="宋体" w:cs="宋体"/>
          <w:sz w:val="28"/>
          <w:szCs w:val="28"/>
          <w:lang w:val="en-US" w:eastAsia="zh-CN"/>
        </w:rPr>
        <w:t>单个停车位的面积不宜小于2.5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电动非机动车、电动轮椅车、电动三轮车的车辆换算当量系数应符合《车库建筑设计规范》 JGJ 100-2015的规定。</w:t>
      </w:r>
    </w:p>
    <w:p>
      <w:pPr>
        <w:bidi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表3.0.2 电动自行车车型外廓尺寸</w:t>
      </w:r>
    </w:p>
    <w:tbl>
      <w:tblPr>
        <w:tblStyle w:val="16"/>
        <w:tblW w:w="0" w:type="auto"/>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2314"/>
        <w:gridCol w:w="2239"/>
        <w:gridCol w:w="2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vMerge w:val="restart"/>
            <w:noWrap w:val="0"/>
            <w:vAlign w:val="center"/>
          </w:tcPr>
          <w:p>
            <w:pPr>
              <w:bidi w:val="0"/>
              <w:jc w:val="center"/>
              <w:rPr>
                <w:rFonts w:hint="eastAsia" w:ascii="宋体" w:hAnsi="宋体" w:eastAsia="宋体" w:cs="宋体"/>
              </w:rPr>
            </w:pPr>
            <w:r>
              <w:rPr>
                <w:rFonts w:hint="eastAsia" w:ascii="宋体" w:hAnsi="宋体" w:eastAsia="宋体" w:cs="宋体"/>
              </w:rPr>
              <w:t>车型</w:t>
            </w:r>
          </w:p>
        </w:tc>
        <w:tc>
          <w:tcPr>
            <w:tcW w:w="7042" w:type="dxa"/>
            <w:gridSpan w:val="3"/>
            <w:noWrap w:val="0"/>
            <w:vAlign w:val="top"/>
          </w:tcPr>
          <w:p>
            <w:pPr>
              <w:bidi w:val="0"/>
              <w:jc w:val="center"/>
              <w:rPr>
                <w:rFonts w:hint="eastAsia" w:ascii="宋体" w:hAnsi="宋体" w:eastAsia="宋体" w:cs="宋体"/>
              </w:rPr>
            </w:pPr>
            <w:r>
              <w:rPr>
                <w:rFonts w:hint="eastAsia" w:ascii="宋体" w:hAnsi="宋体" w:eastAsia="宋体" w:cs="宋体"/>
              </w:rPr>
              <w:t>车辆几何尺寸（m）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vMerge w:val="continue"/>
            <w:noWrap w:val="0"/>
            <w:vAlign w:val="top"/>
          </w:tcPr>
          <w:p>
            <w:pPr>
              <w:bidi w:val="0"/>
              <w:jc w:val="center"/>
              <w:rPr>
                <w:rFonts w:hint="eastAsia" w:ascii="宋体" w:hAnsi="宋体" w:eastAsia="宋体" w:cs="宋体"/>
              </w:rPr>
            </w:pPr>
          </w:p>
        </w:tc>
        <w:tc>
          <w:tcPr>
            <w:tcW w:w="2400" w:type="dxa"/>
            <w:noWrap w:val="0"/>
            <w:vAlign w:val="top"/>
          </w:tcPr>
          <w:p>
            <w:pPr>
              <w:bidi w:val="0"/>
              <w:jc w:val="center"/>
              <w:rPr>
                <w:rFonts w:hint="eastAsia" w:ascii="宋体" w:hAnsi="宋体" w:eastAsia="宋体" w:cs="宋体"/>
              </w:rPr>
            </w:pPr>
            <w:r>
              <w:rPr>
                <w:rFonts w:hint="eastAsia" w:ascii="宋体" w:hAnsi="宋体" w:eastAsia="宋体" w:cs="宋体"/>
              </w:rPr>
              <w:t>长度</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宽度</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noWrap w:val="0"/>
            <w:vAlign w:val="top"/>
          </w:tcPr>
          <w:p>
            <w:pPr>
              <w:bidi w:val="0"/>
              <w:jc w:val="center"/>
              <w:rPr>
                <w:rFonts w:hint="eastAsia" w:ascii="宋体" w:hAnsi="宋体" w:eastAsia="宋体" w:cs="宋体"/>
              </w:rPr>
            </w:pPr>
            <w:r>
              <w:rPr>
                <w:rFonts w:hint="eastAsia" w:ascii="宋体" w:hAnsi="宋体" w:eastAsia="宋体" w:cs="宋体"/>
              </w:rPr>
              <w:t>电动自行车</w:t>
            </w:r>
          </w:p>
        </w:tc>
        <w:tc>
          <w:tcPr>
            <w:tcW w:w="2400" w:type="dxa"/>
            <w:noWrap w:val="0"/>
            <w:vAlign w:val="top"/>
          </w:tcPr>
          <w:p>
            <w:pPr>
              <w:bidi w:val="0"/>
              <w:jc w:val="center"/>
              <w:rPr>
                <w:rFonts w:hint="eastAsia" w:ascii="宋体" w:hAnsi="宋体" w:eastAsia="宋体" w:cs="宋体"/>
              </w:rPr>
            </w:pPr>
            <w:r>
              <w:rPr>
                <w:rFonts w:hint="eastAsia" w:ascii="宋体" w:hAnsi="宋体" w:eastAsia="宋体" w:cs="宋体"/>
              </w:rPr>
              <w:t>2.00</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0.80</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314" w:type="dxa"/>
            <w:noWrap w:val="0"/>
            <w:vAlign w:val="top"/>
          </w:tcPr>
          <w:p>
            <w:pPr>
              <w:bidi w:val="0"/>
              <w:jc w:val="center"/>
              <w:rPr>
                <w:rFonts w:hint="eastAsia" w:ascii="宋体" w:hAnsi="宋体" w:eastAsia="宋体" w:cs="宋体"/>
              </w:rPr>
            </w:pPr>
            <w:r>
              <w:rPr>
                <w:rFonts w:hint="eastAsia" w:ascii="宋体" w:hAnsi="宋体" w:eastAsia="宋体" w:cs="宋体"/>
              </w:rPr>
              <w:t>电动轮椅车</w:t>
            </w:r>
          </w:p>
        </w:tc>
        <w:tc>
          <w:tcPr>
            <w:tcW w:w="2400" w:type="dxa"/>
            <w:noWrap w:val="0"/>
            <w:vAlign w:val="top"/>
          </w:tcPr>
          <w:p>
            <w:pPr>
              <w:bidi w:val="0"/>
              <w:jc w:val="center"/>
              <w:rPr>
                <w:rFonts w:hint="eastAsia" w:ascii="宋体" w:hAnsi="宋体" w:eastAsia="宋体" w:cs="宋体"/>
              </w:rPr>
            </w:pPr>
            <w:r>
              <w:rPr>
                <w:rFonts w:hint="eastAsia" w:ascii="宋体" w:hAnsi="宋体" w:eastAsia="宋体" w:cs="宋体"/>
              </w:rPr>
              <w:t>2.00</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1.00</w:t>
            </w:r>
          </w:p>
        </w:tc>
        <w:tc>
          <w:tcPr>
            <w:tcW w:w="2321" w:type="dxa"/>
            <w:noWrap w:val="0"/>
            <w:vAlign w:val="top"/>
          </w:tcPr>
          <w:p>
            <w:pPr>
              <w:bidi w:val="0"/>
              <w:jc w:val="center"/>
              <w:rPr>
                <w:rFonts w:hint="eastAsia" w:ascii="宋体" w:hAnsi="宋体" w:eastAsia="宋体" w:cs="宋体"/>
              </w:rPr>
            </w:pPr>
            <w:r>
              <w:rPr>
                <w:rFonts w:hint="eastAsia" w:ascii="宋体" w:hAnsi="宋体" w:eastAsia="宋体" w:cs="宋体"/>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14" w:type="dxa"/>
            <w:noWrap w:val="0"/>
            <w:vAlign w:val="top"/>
          </w:tcPr>
          <w:p>
            <w:pPr>
              <w:bidi w:val="0"/>
              <w:jc w:val="center"/>
              <w:rPr>
                <w:rFonts w:hint="eastAsia" w:ascii="宋体" w:hAnsi="宋体" w:eastAsia="宋体" w:cs="宋体"/>
                <w:lang w:val="en-US" w:eastAsia="zh-CN"/>
              </w:rPr>
            </w:pPr>
            <w:r>
              <w:rPr>
                <w:rFonts w:hint="eastAsia" w:ascii="宋体" w:hAnsi="宋体" w:eastAsia="宋体" w:cs="宋体"/>
                <w:lang w:val="en-US" w:eastAsia="zh-CN"/>
              </w:rPr>
              <w:t>电动三轮车</w:t>
            </w:r>
          </w:p>
        </w:tc>
        <w:tc>
          <w:tcPr>
            <w:tcW w:w="2400" w:type="dxa"/>
            <w:noWrap w:val="0"/>
            <w:vAlign w:val="top"/>
          </w:tcPr>
          <w:p>
            <w:pPr>
              <w:bidi w:val="0"/>
              <w:jc w:val="center"/>
              <w:rPr>
                <w:rFonts w:hint="eastAsia" w:ascii="宋体" w:hAnsi="宋体" w:eastAsia="宋体" w:cs="宋体"/>
                <w:lang w:val="en-US" w:eastAsia="zh-CN"/>
              </w:rPr>
            </w:pPr>
            <w:r>
              <w:rPr>
                <w:rFonts w:hint="eastAsia" w:ascii="宋体" w:hAnsi="宋体" w:eastAsia="宋体" w:cs="宋体"/>
                <w:lang w:val="en-US" w:eastAsia="zh-CN"/>
              </w:rPr>
              <w:t>2.50</w:t>
            </w:r>
          </w:p>
        </w:tc>
        <w:tc>
          <w:tcPr>
            <w:tcW w:w="2321" w:type="dxa"/>
            <w:noWrap w:val="0"/>
            <w:vAlign w:val="top"/>
          </w:tcPr>
          <w:p>
            <w:pPr>
              <w:bidi w:val="0"/>
              <w:jc w:val="center"/>
              <w:rPr>
                <w:rFonts w:hint="eastAsia" w:ascii="宋体" w:hAnsi="宋体" w:eastAsia="宋体" w:cs="宋体"/>
                <w:lang w:val="en-US" w:eastAsia="zh-CN"/>
              </w:rPr>
            </w:pPr>
            <w:r>
              <w:rPr>
                <w:rFonts w:hint="eastAsia" w:ascii="宋体" w:hAnsi="宋体" w:eastAsia="宋体" w:cs="宋体"/>
                <w:lang w:val="en-US" w:eastAsia="zh-CN"/>
              </w:rPr>
              <w:t>1.20</w:t>
            </w:r>
          </w:p>
        </w:tc>
        <w:tc>
          <w:tcPr>
            <w:tcW w:w="2321" w:type="dxa"/>
            <w:noWrap w:val="0"/>
            <w:vAlign w:val="top"/>
          </w:tcPr>
          <w:p>
            <w:pPr>
              <w:bidi w:val="0"/>
              <w:jc w:val="center"/>
              <w:rPr>
                <w:rFonts w:hint="eastAsia" w:ascii="宋体" w:hAnsi="宋体" w:eastAsia="宋体" w:cs="宋体"/>
                <w:lang w:val="en-US" w:eastAsia="zh-CN"/>
              </w:rPr>
            </w:pPr>
            <w:r>
              <w:rPr>
                <w:rFonts w:hint="eastAsia" w:ascii="宋体" w:hAnsi="宋体" w:eastAsia="宋体" w:cs="宋体"/>
                <w:lang w:val="en-US" w:eastAsia="zh-CN"/>
              </w:rPr>
              <w:t>1.20</w:t>
            </w:r>
          </w:p>
        </w:tc>
      </w:tr>
    </w:tbl>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3.0.3</w:t>
      </w:r>
      <w:r>
        <w:rPr>
          <w:rFonts w:hint="eastAsia" w:ascii="宋体" w:hAnsi="宋体" w:eastAsia="宋体" w:cs="宋体"/>
          <w:sz w:val="28"/>
          <w:szCs w:val="28"/>
          <w:lang w:val="en-US" w:eastAsia="zh-CN"/>
        </w:rPr>
        <w:t xml:space="preserve">  电动自行车停放充电场所按照室内、室外设置场所划分为电动自行车停车场（棚）和电动自行车库。电动自行车停车场（棚）分为露天停车场和有构筑物的停车棚。</w:t>
      </w:r>
    </w:p>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 xml:space="preserve">3.0.4 </w:t>
      </w:r>
      <w:r>
        <w:rPr>
          <w:rFonts w:hint="eastAsia" w:ascii="宋体" w:hAnsi="宋体" w:eastAsia="宋体" w:cs="宋体"/>
          <w:sz w:val="28"/>
          <w:szCs w:val="28"/>
          <w:lang w:val="en-US" w:eastAsia="zh-CN"/>
        </w:rPr>
        <w:t xml:space="preserve"> 新建电动自行车停车场（棚）宜集中设置在室外</w:t>
      </w:r>
      <w:r>
        <w:rPr>
          <w:rFonts w:hint="eastAsia" w:ascii="宋体" w:hAnsi="宋体" w:eastAsia="宋体" w:cs="宋体"/>
          <w:color w:val="auto"/>
          <w:sz w:val="28"/>
          <w:szCs w:val="28"/>
          <w:highlight w:val="none"/>
          <w:lang w:val="en-US" w:eastAsia="zh-CN"/>
        </w:rPr>
        <w:t xml:space="preserve">。确有困难需要设置在建筑内时，应按照本导则要求采取相应的防火技术措施，确保消防安全。 </w:t>
      </w:r>
    </w:p>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3.0.5</w:t>
      </w:r>
      <w:r>
        <w:rPr>
          <w:rFonts w:hint="eastAsia" w:ascii="宋体" w:hAnsi="宋体" w:eastAsia="宋体" w:cs="宋体"/>
          <w:sz w:val="28"/>
          <w:szCs w:val="28"/>
          <w:lang w:val="en-US" w:eastAsia="zh-CN"/>
        </w:rPr>
        <w:t xml:space="preserve"> 既有建筑配建电动自行车停车场（棚）应当遵循“因地制宜、安全适用、经济合理”的原则，优先选择设置在室外露天区域。</w:t>
      </w:r>
    </w:p>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3.0.6</w:t>
      </w:r>
      <w:r>
        <w:rPr>
          <w:rFonts w:hint="eastAsia" w:ascii="宋体" w:hAnsi="宋体" w:eastAsia="宋体" w:cs="宋体"/>
          <w:sz w:val="28"/>
          <w:szCs w:val="28"/>
          <w:lang w:val="en-US" w:eastAsia="zh-CN"/>
        </w:rPr>
        <w:t xml:space="preserve">  电动自行车与其他非机动车混合停放充电的停车场（棚），应符合本导则的规定。</w:t>
      </w:r>
    </w:p>
    <w:p>
      <w:pP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3.0.7</w:t>
      </w:r>
      <w:r>
        <w:rPr>
          <w:rFonts w:hint="eastAsia" w:ascii="宋体" w:hAnsi="宋体" w:eastAsia="宋体" w:cs="宋体"/>
          <w:sz w:val="28"/>
          <w:szCs w:val="28"/>
          <w:lang w:val="en-US" w:eastAsia="zh-CN"/>
        </w:rPr>
        <w:t xml:space="preserve"> 电动自行车充电设施应符合现行国家标准《电动自行车集中充电设施第1部分：技术规范》GB/T42236.1及《低压用户配电装置规程》DG/TJ08-100的相关规定。</w:t>
      </w:r>
      <w:bookmarkStart w:id="13" w:name="_Toc4240"/>
      <w:bookmarkStart w:id="14" w:name="_Toc20219"/>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pStyle w:val="2"/>
        <w:jc w:val="center"/>
        <w:rPr>
          <w:rFonts w:hint="eastAsia" w:ascii="宋体" w:hAnsi="宋体" w:eastAsia="宋体" w:cs="宋体"/>
        </w:rPr>
      </w:pPr>
      <w:bookmarkStart w:id="15" w:name="_Toc27820"/>
      <w:r>
        <w:rPr>
          <w:rFonts w:hint="eastAsia" w:ascii="宋体" w:hAnsi="宋体" w:eastAsia="宋体" w:cs="宋体"/>
          <w:lang w:val="en-US" w:eastAsia="zh-CN"/>
        </w:rPr>
        <w:t>4 建筑</w:t>
      </w:r>
      <w:bookmarkEnd w:id="13"/>
      <w:bookmarkEnd w:id="14"/>
      <w:bookmarkEnd w:id="15"/>
    </w:p>
    <w:p>
      <w:pPr>
        <w:pStyle w:val="3"/>
        <w:numPr>
          <w:ilvl w:val="1"/>
          <w:numId w:val="0"/>
        </w:numPr>
        <w:spacing w:before="312" w:after="93"/>
        <w:rPr>
          <w:rFonts w:hint="eastAsia" w:ascii="宋体" w:hAnsi="宋体" w:eastAsia="宋体" w:cs="宋体"/>
          <w:lang w:val="en-US" w:eastAsia="zh-CN"/>
        </w:rPr>
      </w:pPr>
      <w:bookmarkStart w:id="16" w:name="_Toc22667"/>
      <w:bookmarkStart w:id="17" w:name="_Toc4897"/>
      <w:bookmarkStart w:id="18" w:name="_Toc5579"/>
      <w:r>
        <w:rPr>
          <w:rFonts w:hint="eastAsia" w:ascii="宋体" w:hAnsi="宋体" w:eastAsia="宋体" w:cs="宋体"/>
        </w:rPr>
        <w:t xml:space="preserve">4.1 </w:t>
      </w:r>
      <w:r>
        <w:rPr>
          <w:rFonts w:hint="eastAsia" w:ascii="宋体" w:hAnsi="宋体" w:eastAsia="宋体" w:cs="宋体"/>
          <w:lang w:val="en-US" w:eastAsia="zh-CN"/>
        </w:rPr>
        <w:t>总平面布置</w:t>
      </w:r>
      <w:bookmarkEnd w:id="16"/>
      <w:bookmarkEnd w:id="17"/>
      <w:bookmarkEnd w:id="18"/>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4.1.</w:t>
      </w:r>
      <w:r>
        <w:rPr>
          <w:rFonts w:hint="eastAsia" w:ascii="宋体" w:hAnsi="宋体" w:eastAsia="宋体" w:cs="宋体"/>
          <w:b/>
          <w:bCs/>
          <w:sz w:val="28"/>
          <w:szCs w:val="28"/>
          <w:lang w:val="en-US" w:eastAsia="zh-CN"/>
        </w:rPr>
        <w:t>1</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不应占用消防车道、消防车登高操作场地，不应影响消防设备、安全疏散设施的正常使用，电动自行车</w:t>
      </w:r>
      <w:r>
        <w:rPr>
          <w:rFonts w:hint="eastAsia" w:ascii="宋体" w:hAnsi="宋体" w:eastAsia="宋体" w:cs="宋体"/>
          <w:sz w:val="28"/>
          <w:szCs w:val="28"/>
          <w:lang w:val="en-US" w:eastAsia="zh-CN"/>
        </w:rPr>
        <w:t>停车棚不应影响消防救援</w:t>
      </w:r>
      <w:r>
        <w:rPr>
          <w:rFonts w:hint="eastAsia" w:ascii="宋体" w:hAnsi="宋体" w:eastAsia="宋体" w:cs="宋体"/>
          <w:sz w:val="28"/>
          <w:szCs w:val="28"/>
          <w:lang w:eastAsia="zh-CN"/>
        </w:rPr>
        <w:t>。</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4.1.</w:t>
      </w:r>
      <w:r>
        <w:rPr>
          <w:rFonts w:hint="eastAsia" w:ascii="宋体" w:hAnsi="宋体" w:eastAsia="宋体" w:cs="宋体"/>
          <w:b/>
          <w:bCs/>
          <w:sz w:val="28"/>
          <w:szCs w:val="28"/>
          <w:lang w:val="en-US" w:eastAsia="zh-CN"/>
        </w:rPr>
        <w:t>2</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不应设置在高温、易积水和易燃易爆场所。</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4.1.</w:t>
      </w:r>
      <w:r>
        <w:rPr>
          <w:rFonts w:hint="eastAsia" w:ascii="宋体" w:hAnsi="宋体" w:eastAsia="宋体" w:cs="宋体"/>
          <w:b/>
          <w:bCs/>
          <w:sz w:val="28"/>
          <w:szCs w:val="28"/>
          <w:lang w:val="en-US" w:eastAsia="zh-CN"/>
        </w:rPr>
        <w:t>3</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停车场（棚）不应</w:t>
      </w:r>
      <w:r>
        <w:rPr>
          <w:rFonts w:hint="eastAsia" w:ascii="宋体" w:hAnsi="宋体" w:eastAsia="宋体" w:cs="宋体"/>
          <w:sz w:val="28"/>
          <w:szCs w:val="28"/>
          <w:lang w:eastAsia="zh-CN"/>
        </w:rPr>
        <w:t>与甲、乙类火灾危险性厂房、仓库贴邻设置，</w:t>
      </w:r>
      <w:r>
        <w:rPr>
          <w:rFonts w:hint="eastAsia" w:ascii="宋体" w:hAnsi="宋体" w:eastAsia="宋体" w:cs="宋体"/>
          <w:sz w:val="28"/>
          <w:szCs w:val="28"/>
          <w:lang w:val="en-US" w:eastAsia="zh-CN"/>
        </w:rPr>
        <w:t>宜</w:t>
      </w:r>
      <w:r>
        <w:rPr>
          <w:rFonts w:hint="eastAsia" w:ascii="宋体" w:hAnsi="宋体" w:eastAsia="宋体" w:cs="宋体"/>
          <w:sz w:val="28"/>
          <w:szCs w:val="28"/>
          <w:lang w:eastAsia="zh-CN"/>
        </w:rPr>
        <w:t>布置在厂区生活、办公等非生产区域。</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4.1.</w:t>
      </w:r>
      <w:r>
        <w:rPr>
          <w:rFonts w:hint="eastAsia" w:ascii="宋体" w:hAnsi="宋体" w:eastAsia="宋体" w:cs="宋体"/>
          <w:b/>
          <w:bCs/>
          <w:sz w:val="28"/>
          <w:szCs w:val="28"/>
          <w:lang w:val="en-US" w:eastAsia="zh-CN"/>
        </w:rPr>
        <w:t>4</w:t>
      </w:r>
      <w:r>
        <w:rPr>
          <w:rFonts w:hint="eastAsia" w:ascii="宋体" w:hAnsi="宋体" w:eastAsia="宋体" w:cs="宋体"/>
          <w:sz w:val="28"/>
          <w:szCs w:val="28"/>
          <w:lang w:eastAsia="zh-CN"/>
        </w:rPr>
        <w:t xml:space="preserve">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不应与托儿所、幼儿园及其活动场所，老年人照料设施，中小学教学楼、宿舍楼，医院病房楼、门诊楼等贴邻设置。</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4.1.</w:t>
      </w:r>
      <w:r>
        <w:rPr>
          <w:rFonts w:hint="eastAsia" w:ascii="宋体" w:hAnsi="宋体" w:eastAsia="宋体" w:cs="宋体"/>
          <w:b/>
          <w:bCs/>
          <w:sz w:val="28"/>
          <w:szCs w:val="28"/>
          <w:lang w:val="en-US" w:eastAsia="zh-CN"/>
        </w:rPr>
        <w:t>5</w:t>
      </w:r>
      <w:r>
        <w:rPr>
          <w:rFonts w:hint="eastAsia" w:ascii="宋体" w:hAnsi="宋体" w:eastAsia="宋体" w:cs="宋体"/>
          <w:sz w:val="28"/>
          <w:szCs w:val="28"/>
          <w:lang w:eastAsia="zh-CN"/>
        </w:rPr>
        <w:t xml:space="preserve">  当住宅小区、公共建筑配建多个停放充电场所时，宜采用纯停场所、充电场所组合布置的方式，</w:t>
      </w:r>
      <w:r>
        <w:rPr>
          <w:rFonts w:hint="eastAsia" w:ascii="宋体" w:hAnsi="宋体" w:eastAsia="宋体" w:cs="宋体"/>
          <w:sz w:val="28"/>
          <w:szCs w:val="28"/>
          <w:lang w:val="en-US" w:eastAsia="zh-CN"/>
        </w:rPr>
        <w:t>便于</w:t>
      </w:r>
      <w:r>
        <w:rPr>
          <w:rFonts w:hint="eastAsia" w:ascii="宋体" w:hAnsi="宋体" w:eastAsia="宋体" w:cs="宋体"/>
          <w:sz w:val="28"/>
          <w:szCs w:val="28"/>
          <w:lang w:eastAsia="zh-CN"/>
        </w:rPr>
        <w:t>充电设施的便捷和集中使用。</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6</w:t>
      </w:r>
      <w:r>
        <w:rPr>
          <w:rFonts w:hint="eastAsia" w:ascii="宋体" w:hAnsi="宋体" w:eastAsia="宋体" w:cs="宋体"/>
          <w:sz w:val="28"/>
          <w:szCs w:val="28"/>
          <w:lang w:eastAsia="zh-CN"/>
        </w:rPr>
        <w:t xml:space="preserve"> 电动自行车停车场（棚）</w:t>
      </w:r>
      <w:r>
        <w:rPr>
          <w:rFonts w:hint="eastAsia" w:ascii="宋体" w:hAnsi="宋体" w:eastAsia="宋体" w:cs="宋体"/>
          <w:sz w:val="28"/>
          <w:szCs w:val="28"/>
          <w:lang w:val="en-US" w:eastAsia="zh-CN"/>
        </w:rPr>
        <w:t>与</w:t>
      </w:r>
      <w:r>
        <w:rPr>
          <w:rFonts w:hint="eastAsia" w:ascii="宋体" w:hAnsi="宋体" w:eastAsia="宋体" w:cs="宋体"/>
          <w:sz w:val="28"/>
          <w:szCs w:val="28"/>
          <w:lang w:eastAsia="zh-CN"/>
        </w:rPr>
        <w:t>厂房、仓库、民用建筑、独立式电动自行车库的防火间距不应小于表4.</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的规定。</w:t>
      </w: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表4.</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6</w:t>
      </w:r>
      <w:r>
        <w:rPr>
          <w:rFonts w:hint="eastAsia" w:ascii="宋体" w:hAnsi="宋体" w:eastAsia="宋体" w:cs="宋体"/>
          <w:b/>
          <w:bCs/>
          <w:sz w:val="28"/>
          <w:szCs w:val="28"/>
          <w:lang w:eastAsia="zh-CN"/>
        </w:rPr>
        <w:t xml:space="preserve"> 电动自行车停车场（棚）</w:t>
      </w:r>
      <w:r>
        <w:rPr>
          <w:rFonts w:hint="eastAsia" w:ascii="宋体" w:hAnsi="宋体" w:eastAsia="宋体" w:cs="宋体"/>
          <w:b/>
          <w:bCs/>
          <w:sz w:val="28"/>
          <w:szCs w:val="28"/>
          <w:lang w:val="en-US" w:eastAsia="zh-CN"/>
        </w:rPr>
        <w:t>与</w:t>
      </w:r>
      <w:r>
        <w:rPr>
          <w:rFonts w:hint="eastAsia" w:ascii="宋体" w:hAnsi="宋体" w:eastAsia="宋体" w:cs="宋体"/>
          <w:b/>
          <w:bCs/>
          <w:sz w:val="28"/>
          <w:szCs w:val="28"/>
          <w:lang w:eastAsia="zh-CN"/>
        </w:rPr>
        <w:t>厂房、仓库、民用建筑、独立式电动自行车库的防火间距（m）</w:t>
      </w:r>
    </w:p>
    <w:tbl>
      <w:tblPr>
        <w:tblStyle w:val="16"/>
        <w:tblW w:w="480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699"/>
        <w:gridCol w:w="853"/>
        <w:gridCol w:w="608"/>
        <w:gridCol w:w="698"/>
        <w:gridCol w:w="750"/>
        <w:gridCol w:w="530"/>
        <w:gridCol w:w="697"/>
        <w:gridCol w:w="692"/>
        <w:gridCol w:w="635"/>
        <w:gridCol w:w="658"/>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pct"/>
            <w:vMerge w:val="restart"/>
            <w:noWrap w:val="0"/>
            <w:vAlign w:val="center"/>
          </w:tcPr>
          <w:p>
            <w:pPr>
              <w:bidi w:val="0"/>
              <w:jc w:val="center"/>
              <w:rPr>
                <w:rFonts w:hint="eastAsia" w:ascii="宋体" w:hAnsi="宋体" w:eastAsia="宋体" w:cs="宋体"/>
                <w:lang w:val="en-US" w:eastAsia="zh-CN"/>
              </w:rPr>
            </w:pPr>
            <w:r>
              <w:rPr>
                <w:rFonts w:hint="eastAsia" w:ascii="宋体" w:hAnsi="宋体" w:eastAsia="宋体" w:cs="宋体"/>
              </w:rPr>
              <w:t>名称</w:t>
            </w:r>
            <w:r>
              <w:rPr>
                <w:rFonts w:hint="eastAsia" w:ascii="宋体" w:hAnsi="宋体" w:eastAsia="宋体" w:cs="宋体"/>
                <w:lang w:val="en-US" w:eastAsia="zh-CN"/>
              </w:rPr>
              <w:t>与耐火等级</w:t>
            </w:r>
          </w:p>
        </w:tc>
        <w:tc>
          <w:tcPr>
            <w:tcW w:w="398" w:type="pct"/>
            <w:noWrap w:val="0"/>
            <w:vAlign w:val="center"/>
          </w:tcPr>
          <w:p>
            <w:pPr>
              <w:bidi w:val="0"/>
              <w:jc w:val="center"/>
              <w:rPr>
                <w:rFonts w:hint="eastAsia" w:ascii="宋体" w:hAnsi="宋体" w:eastAsia="宋体" w:cs="宋体"/>
              </w:rPr>
            </w:pPr>
            <w:r>
              <w:rPr>
                <w:rFonts w:hint="eastAsia" w:ascii="宋体" w:hAnsi="宋体" w:eastAsia="宋体" w:cs="宋体"/>
              </w:rPr>
              <w:t>甲类厂房</w:t>
            </w:r>
          </w:p>
        </w:tc>
        <w:tc>
          <w:tcPr>
            <w:tcW w:w="1231" w:type="pct"/>
            <w:gridSpan w:val="3"/>
            <w:noWrap w:val="0"/>
            <w:vAlign w:val="center"/>
          </w:tcPr>
          <w:p>
            <w:pPr>
              <w:bidi w:val="0"/>
              <w:jc w:val="center"/>
              <w:rPr>
                <w:rFonts w:hint="eastAsia" w:ascii="宋体" w:hAnsi="宋体" w:eastAsia="宋体" w:cs="宋体"/>
              </w:rPr>
            </w:pPr>
            <w:r>
              <w:rPr>
                <w:rFonts w:hint="eastAsia" w:ascii="宋体" w:hAnsi="宋体" w:eastAsia="宋体" w:cs="宋体"/>
              </w:rPr>
              <w:t>乙类厂房（仓库）</w:t>
            </w:r>
          </w:p>
        </w:tc>
        <w:tc>
          <w:tcPr>
            <w:tcW w:w="1127" w:type="pct"/>
            <w:gridSpan w:val="3"/>
            <w:vMerge w:val="restar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丙、丁、戊厂房</w:t>
            </w:r>
          </w:p>
          <w:p>
            <w:pPr>
              <w:bidi w:val="0"/>
              <w:jc w:val="center"/>
              <w:rPr>
                <w:rFonts w:hint="eastAsia" w:ascii="宋体" w:hAnsi="宋体" w:eastAsia="宋体" w:cs="宋体"/>
                <w:lang w:eastAsia="zh-CN"/>
              </w:rPr>
            </w:pPr>
            <w:r>
              <w:rPr>
                <w:rFonts w:hint="eastAsia" w:ascii="宋体" w:hAnsi="宋体" w:eastAsia="宋体" w:cs="宋体"/>
                <w:lang w:eastAsia="zh-CN"/>
              </w:rPr>
              <w:t>（仓库）</w:t>
            </w:r>
          </w:p>
        </w:tc>
        <w:tc>
          <w:tcPr>
            <w:tcW w:w="1520" w:type="pct"/>
            <w:gridSpan w:val="4"/>
            <w:noWrap w:val="0"/>
            <w:vAlign w:val="center"/>
          </w:tcPr>
          <w:p>
            <w:pPr>
              <w:bidi w:val="0"/>
              <w:jc w:val="center"/>
              <w:rPr>
                <w:rFonts w:hint="eastAsia" w:ascii="宋体" w:hAnsi="宋体" w:eastAsia="宋体" w:cs="宋体"/>
                <w:lang w:val="en-US" w:eastAsia="zh-CN"/>
              </w:rPr>
            </w:pPr>
            <w:r>
              <w:rPr>
                <w:rFonts w:hint="eastAsia" w:ascii="宋体" w:hAnsi="宋体" w:eastAsia="宋体" w:cs="宋体"/>
              </w:rPr>
              <w:t>民用建筑</w:t>
            </w:r>
            <w:r>
              <w:rPr>
                <w:rFonts w:hint="eastAsia" w:ascii="宋体" w:hAnsi="宋体" w:eastAsia="宋体" w:cs="宋体"/>
                <w:lang w:eastAsia="zh-CN"/>
              </w:rPr>
              <w:t>、独立式电动自行车库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22" w:type="pct"/>
            <w:vMerge w:val="continue"/>
            <w:noWrap w:val="0"/>
            <w:vAlign w:val="center"/>
          </w:tcPr>
          <w:p>
            <w:pPr>
              <w:bidi w:val="0"/>
              <w:jc w:val="center"/>
              <w:rPr>
                <w:rFonts w:hint="eastAsia" w:ascii="宋体" w:hAnsi="宋体" w:eastAsia="宋体" w:cs="宋体"/>
              </w:rPr>
            </w:pPr>
          </w:p>
        </w:tc>
        <w:tc>
          <w:tcPr>
            <w:tcW w:w="398" w:type="pct"/>
            <w:noWrap w:val="0"/>
            <w:vAlign w:val="center"/>
          </w:tcPr>
          <w:p>
            <w:pPr>
              <w:bidi w:val="0"/>
              <w:jc w:val="center"/>
              <w:rPr>
                <w:rFonts w:hint="eastAsia" w:ascii="宋体" w:hAnsi="宋体" w:eastAsia="宋体" w:cs="宋体"/>
              </w:rPr>
            </w:pPr>
            <w:r>
              <w:rPr>
                <w:rFonts w:hint="eastAsia" w:ascii="宋体" w:hAnsi="宋体" w:eastAsia="宋体" w:cs="宋体"/>
              </w:rPr>
              <w:t>单、多层</w:t>
            </w:r>
          </w:p>
        </w:tc>
        <w:tc>
          <w:tcPr>
            <w:tcW w:w="833" w:type="pct"/>
            <w:gridSpan w:val="2"/>
            <w:noWrap w:val="0"/>
            <w:vAlign w:val="center"/>
          </w:tcPr>
          <w:p>
            <w:pPr>
              <w:bidi w:val="0"/>
              <w:jc w:val="center"/>
              <w:rPr>
                <w:rFonts w:hint="eastAsia" w:ascii="宋体" w:hAnsi="宋体" w:eastAsia="宋体" w:cs="宋体"/>
              </w:rPr>
            </w:pPr>
            <w:r>
              <w:rPr>
                <w:rFonts w:hint="eastAsia" w:ascii="宋体" w:hAnsi="宋体" w:eastAsia="宋体" w:cs="宋体"/>
              </w:rPr>
              <w:t>单、多层</w:t>
            </w:r>
          </w:p>
        </w:tc>
        <w:tc>
          <w:tcPr>
            <w:tcW w:w="398" w:type="pct"/>
            <w:noWrap w:val="0"/>
            <w:vAlign w:val="center"/>
          </w:tcPr>
          <w:p>
            <w:pPr>
              <w:bidi w:val="0"/>
              <w:jc w:val="center"/>
              <w:rPr>
                <w:rFonts w:hint="eastAsia" w:ascii="宋体" w:hAnsi="宋体" w:eastAsia="宋体" w:cs="宋体"/>
              </w:rPr>
            </w:pPr>
            <w:r>
              <w:rPr>
                <w:rFonts w:hint="eastAsia" w:ascii="宋体" w:hAnsi="宋体" w:eastAsia="宋体" w:cs="宋体"/>
              </w:rPr>
              <w:t>高层</w:t>
            </w:r>
          </w:p>
        </w:tc>
        <w:tc>
          <w:tcPr>
            <w:tcW w:w="1127" w:type="pct"/>
            <w:gridSpan w:val="3"/>
            <w:vMerge w:val="continue"/>
            <w:noWrap w:val="0"/>
            <w:vAlign w:val="center"/>
          </w:tcPr>
          <w:p>
            <w:pPr>
              <w:bidi w:val="0"/>
              <w:jc w:val="center"/>
              <w:rPr>
                <w:rFonts w:hint="eastAsia" w:ascii="宋体" w:hAnsi="宋体" w:eastAsia="宋体" w:cs="宋体"/>
              </w:rPr>
            </w:pPr>
          </w:p>
        </w:tc>
        <w:tc>
          <w:tcPr>
            <w:tcW w:w="1132" w:type="pct"/>
            <w:gridSpan w:val="3"/>
            <w:noWrap w:val="0"/>
            <w:vAlign w:val="center"/>
          </w:tcPr>
          <w:p>
            <w:pPr>
              <w:bidi w:val="0"/>
              <w:jc w:val="center"/>
              <w:rPr>
                <w:rFonts w:hint="eastAsia" w:ascii="宋体" w:hAnsi="宋体" w:eastAsia="宋体" w:cs="宋体"/>
              </w:rPr>
            </w:pPr>
            <w:r>
              <w:rPr>
                <w:rFonts w:hint="eastAsia" w:ascii="宋体" w:hAnsi="宋体" w:eastAsia="宋体" w:cs="宋体"/>
              </w:rPr>
              <w:t>裙房、单、多层</w:t>
            </w:r>
          </w:p>
        </w:tc>
        <w:tc>
          <w:tcPr>
            <w:tcW w:w="387" w:type="pct"/>
            <w:vMerge w:val="restart"/>
            <w:noWrap w:val="0"/>
            <w:vAlign w:val="center"/>
          </w:tcPr>
          <w:p>
            <w:pPr>
              <w:bidi w:val="0"/>
              <w:jc w:val="center"/>
              <w:rPr>
                <w:rFonts w:hint="eastAsia" w:ascii="宋体" w:hAnsi="宋体" w:eastAsia="宋体" w:cs="宋体"/>
              </w:rPr>
            </w:pPr>
            <w:r>
              <w:rPr>
                <w:rFonts w:hint="eastAsia" w:ascii="宋体" w:hAnsi="宋体" w:eastAsia="宋体" w:cs="宋体"/>
              </w:rPr>
              <w:t>高层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2" w:type="pct"/>
            <w:vMerge w:val="continue"/>
            <w:noWrap w:val="0"/>
            <w:vAlign w:val="center"/>
          </w:tcPr>
          <w:p>
            <w:pPr>
              <w:bidi w:val="0"/>
              <w:jc w:val="center"/>
              <w:rPr>
                <w:rFonts w:hint="eastAsia" w:ascii="宋体" w:hAnsi="宋体" w:eastAsia="宋体" w:cs="宋体"/>
              </w:rPr>
            </w:pPr>
          </w:p>
        </w:tc>
        <w:tc>
          <w:tcPr>
            <w:tcW w:w="398" w:type="pct"/>
            <w:noWrap w:val="0"/>
            <w:vAlign w:val="center"/>
          </w:tcPr>
          <w:p>
            <w:pPr>
              <w:bidi w:val="0"/>
              <w:jc w:val="center"/>
              <w:rPr>
                <w:rFonts w:hint="eastAsia" w:ascii="宋体" w:hAnsi="宋体" w:eastAsia="宋体" w:cs="宋体"/>
              </w:rPr>
            </w:pPr>
            <w:r>
              <w:rPr>
                <w:rFonts w:hint="eastAsia" w:ascii="宋体" w:hAnsi="宋体" w:eastAsia="宋体" w:cs="宋体"/>
              </w:rPr>
              <w:t>一、二级</w:t>
            </w:r>
          </w:p>
        </w:tc>
        <w:tc>
          <w:tcPr>
            <w:tcW w:w="486" w:type="pct"/>
            <w:noWrap w:val="0"/>
            <w:vAlign w:val="center"/>
          </w:tcPr>
          <w:p>
            <w:pPr>
              <w:bidi w:val="0"/>
              <w:jc w:val="center"/>
              <w:rPr>
                <w:rFonts w:hint="eastAsia" w:ascii="宋体" w:hAnsi="宋体" w:eastAsia="宋体" w:cs="宋体"/>
              </w:rPr>
            </w:pPr>
            <w:r>
              <w:rPr>
                <w:rFonts w:hint="eastAsia" w:ascii="宋体" w:hAnsi="宋体" w:eastAsia="宋体" w:cs="宋体"/>
              </w:rPr>
              <w:t>一、二级</w:t>
            </w:r>
          </w:p>
        </w:tc>
        <w:tc>
          <w:tcPr>
            <w:tcW w:w="346" w:type="pct"/>
            <w:noWrap w:val="0"/>
            <w:vAlign w:val="center"/>
          </w:tcPr>
          <w:p>
            <w:pPr>
              <w:bidi w:val="0"/>
              <w:jc w:val="center"/>
              <w:rPr>
                <w:rFonts w:hint="eastAsia" w:ascii="宋体" w:hAnsi="宋体" w:eastAsia="宋体" w:cs="宋体"/>
              </w:rPr>
            </w:pPr>
            <w:r>
              <w:rPr>
                <w:rFonts w:hint="eastAsia" w:ascii="宋体" w:hAnsi="宋体" w:eastAsia="宋体" w:cs="宋体"/>
              </w:rPr>
              <w:t>三级</w:t>
            </w:r>
          </w:p>
        </w:tc>
        <w:tc>
          <w:tcPr>
            <w:tcW w:w="398" w:type="pct"/>
            <w:noWrap w:val="0"/>
            <w:vAlign w:val="center"/>
          </w:tcPr>
          <w:p>
            <w:pPr>
              <w:bidi w:val="0"/>
              <w:jc w:val="center"/>
              <w:rPr>
                <w:rFonts w:hint="eastAsia" w:ascii="宋体" w:hAnsi="宋体" w:eastAsia="宋体" w:cs="宋体"/>
              </w:rPr>
            </w:pPr>
            <w:r>
              <w:rPr>
                <w:rFonts w:hint="eastAsia" w:ascii="宋体" w:hAnsi="宋体" w:eastAsia="宋体" w:cs="宋体"/>
              </w:rPr>
              <w:t>一、二级</w:t>
            </w:r>
          </w:p>
        </w:tc>
        <w:tc>
          <w:tcPr>
            <w:tcW w:w="427" w:type="pct"/>
            <w:noWrap w:val="0"/>
            <w:vAlign w:val="center"/>
          </w:tcPr>
          <w:p>
            <w:pPr>
              <w:bidi w:val="0"/>
              <w:jc w:val="center"/>
              <w:rPr>
                <w:rFonts w:hint="eastAsia" w:ascii="宋体" w:hAnsi="宋体" w:eastAsia="宋体" w:cs="宋体"/>
              </w:rPr>
            </w:pPr>
            <w:r>
              <w:rPr>
                <w:rFonts w:hint="eastAsia" w:ascii="宋体" w:hAnsi="宋体" w:eastAsia="宋体" w:cs="宋体"/>
              </w:rPr>
              <w:t>一、二级</w:t>
            </w:r>
          </w:p>
        </w:tc>
        <w:tc>
          <w:tcPr>
            <w:tcW w:w="302" w:type="pct"/>
            <w:noWrap w:val="0"/>
            <w:vAlign w:val="center"/>
          </w:tcPr>
          <w:p>
            <w:pPr>
              <w:bidi w:val="0"/>
              <w:jc w:val="center"/>
              <w:rPr>
                <w:rFonts w:hint="eastAsia" w:ascii="宋体" w:hAnsi="宋体" w:eastAsia="宋体" w:cs="宋体"/>
              </w:rPr>
            </w:pPr>
            <w:r>
              <w:rPr>
                <w:rFonts w:hint="eastAsia" w:ascii="宋体" w:hAnsi="宋体" w:eastAsia="宋体" w:cs="宋体"/>
              </w:rPr>
              <w:t>三级</w:t>
            </w:r>
          </w:p>
        </w:tc>
        <w:tc>
          <w:tcPr>
            <w:tcW w:w="397" w:type="pct"/>
            <w:noWrap w:val="0"/>
            <w:vAlign w:val="center"/>
          </w:tcPr>
          <w:p>
            <w:pPr>
              <w:bidi w:val="0"/>
              <w:jc w:val="center"/>
              <w:rPr>
                <w:rFonts w:hint="eastAsia" w:ascii="宋体" w:hAnsi="宋体" w:eastAsia="宋体" w:cs="宋体"/>
              </w:rPr>
            </w:pPr>
            <w:r>
              <w:rPr>
                <w:rFonts w:hint="eastAsia" w:ascii="宋体" w:hAnsi="宋体" w:eastAsia="宋体" w:cs="宋体"/>
              </w:rPr>
              <w:t>四级</w:t>
            </w:r>
          </w:p>
        </w:tc>
        <w:tc>
          <w:tcPr>
            <w:tcW w:w="394" w:type="pct"/>
            <w:noWrap w:val="0"/>
            <w:vAlign w:val="center"/>
          </w:tcPr>
          <w:p>
            <w:pPr>
              <w:bidi w:val="0"/>
              <w:jc w:val="center"/>
              <w:rPr>
                <w:rFonts w:hint="eastAsia" w:ascii="宋体" w:hAnsi="宋体" w:eastAsia="宋体" w:cs="宋体"/>
              </w:rPr>
            </w:pPr>
            <w:r>
              <w:rPr>
                <w:rFonts w:hint="eastAsia" w:ascii="宋体" w:hAnsi="宋体" w:eastAsia="宋体" w:cs="宋体"/>
              </w:rPr>
              <w:t>一、二级</w:t>
            </w:r>
          </w:p>
        </w:tc>
        <w:tc>
          <w:tcPr>
            <w:tcW w:w="362" w:type="pct"/>
            <w:noWrap w:val="0"/>
            <w:vAlign w:val="center"/>
          </w:tcPr>
          <w:p>
            <w:pPr>
              <w:bidi w:val="0"/>
              <w:jc w:val="center"/>
              <w:rPr>
                <w:rFonts w:hint="eastAsia" w:ascii="宋体" w:hAnsi="宋体" w:eastAsia="宋体" w:cs="宋体"/>
              </w:rPr>
            </w:pPr>
            <w:r>
              <w:rPr>
                <w:rFonts w:hint="eastAsia" w:ascii="宋体" w:hAnsi="宋体" w:eastAsia="宋体" w:cs="宋体"/>
              </w:rPr>
              <w:t>三级</w:t>
            </w:r>
          </w:p>
        </w:tc>
        <w:tc>
          <w:tcPr>
            <w:tcW w:w="375" w:type="pct"/>
            <w:noWrap w:val="0"/>
            <w:vAlign w:val="center"/>
          </w:tcPr>
          <w:p>
            <w:pPr>
              <w:bidi w:val="0"/>
              <w:jc w:val="center"/>
              <w:rPr>
                <w:rFonts w:hint="eastAsia" w:ascii="宋体" w:hAnsi="宋体" w:eastAsia="宋体" w:cs="宋体"/>
              </w:rPr>
            </w:pPr>
            <w:r>
              <w:rPr>
                <w:rFonts w:hint="eastAsia" w:ascii="宋体" w:hAnsi="宋体" w:eastAsia="宋体" w:cs="宋体"/>
              </w:rPr>
              <w:t>四级</w:t>
            </w:r>
          </w:p>
        </w:tc>
        <w:tc>
          <w:tcPr>
            <w:tcW w:w="387" w:type="pct"/>
            <w:vMerge w:val="continue"/>
            <w:noWrap w:val="0"/>
            <w:vAlign w:val="center"/>
          </w:tcPr>
          <w:p>
            <w:pPr>
              <w:bidi w:val="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22"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电动自行车停车场（</w:t>
            </w:r>
            <w:r>
              <w:rPr>
                <w:rFonts w:hint="eastAsia" w:ascii="宋体" w:hAnsi="宋体" w:eastAsia="宋体" w:cs="宋体"/>
                <w:lang w:val="en-US" w:eastAsia="zh-CN"/>
              </w:rPr>
              <w:t>棚</w:t>
            </w:r>
            <w:r>
              <w:rPr>
                <w:rFonts w:hint="eastAsia" w:ascii="宋体" w:hAnsi="宋体" w:eastAsia="宋体" w:cs="宋体"/>
                <w:lang w:eastAsia="zh-CN"/>
              </w:rPr>
              <w:t>）</w:t>
            </w:r>
          </w:p>
        </w:tc>
        <w:tc>
          <w:tcPr>
            <w:tcW w:w="398"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20</w:t>
            </w:r>
          </w:p>
        </w:tc>
        <w:tc>
          <w:tcPr>
            <w:tcW w:w="486"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20</w:t>
            </w:r>
          </w:p>
        </w:tc>
        <w:tc>
          <w:tcPr>
            <w:tcW w:w="346"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20</w:t>
            </w:r>
          </w:p>
        </w:tc>
        <w:tc>
          <w:tcPr>
            <w:tcW w:w="398"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25</w:t>
            </w:r>
          </w:p>
        </w:tc>
        <w:tc>
          <w:tcPr>
            <w:tcW w:w="427"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6</w:t>
            </w:r>
          </w:p>
        </w:tc>
        <w:tc>
          <w:tcPr>
            <w:tcW w:w="302"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8</w:t>
            </w:r>
          </w:p>
        </w:tc>
        <w:tc>
          <w:tcPr>
            <w:tcW w:w="397"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10</w:t>
            </w:r>
          </w:p>
        </w:tc>
        <w:tc>
          <w:tcPr>
            <w:tcW w:w="394"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6</w:t>
            </w:r>
          </w:p>
        </w:tc>
        <w:tc>
          <w:tcPr>
            <w:tcW w:w="362"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8</w:t>
            </w:r>
          </w:p>
        </w:tc>
        <w:tc>
          <w:tcPr>
            <w:tcW w:w="375"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10</w:t>
            </w:r>
          </w:p>
        </w:tc>
        <w:tc>
          <w:tcPr>
            <w:tcW w:w="387" w:type="pct"/>
            <w:noWrap w:val="0"/>
            <w:vAlign w:val="center"/>
          </w:tcPr>
          <w:p>
            <w:pPr>
              <w:bidi w:val="0"/>
              <w:jc w:val="center"/>
              <w:rPr>
                <w:rFonts w:hint="eastAsia" w:ascii="宋体" w:hAnsi="宋体" w:eastAsia="宋体" w:cs="宋体"/>
                <w:lang w:eastAsia="zh-CN"/>
              </w:rPr>
            </w:pPr>
            <w:r>
              <w:rPr>
                <w:rFonts w:hint="eastAsia" w:ascii="宋体" w:hAnsi="宋体" w:eastAsia="宋体" w:cs="宋体"/>
                <w:lang w:eastAsia="zh-CN"/>
              </w:rPr>
              <w:t>6</w:t>
            </w:r>
          </w:p>
        </w:tc>
      </w:tr>
    </w:tbl>
    <w:p>
      <w:pPr>
        <w:bidi w:val="0"/>
        <w:ind w:firstLine="480" w:firstLineChars="200"/>
        <w:rPr>
          <w:rFonts w:hint="eastAsia" w:ascii="宋体" w:hAnsi="宋体" w:eastAsia="宋体" w:cs="宋体"/>
          <w:lang w:eastAsia="zh-CN"/>
        </w:rPr>
      </w:pPr>
      <w:r>
        <w:rPr>
          <w:rFonts w:hint="eastAsia" w:ascii="宋体" w:hAnsi="宋体" w:eastAsia="宋体" w:cs="宋体"/>
          <w:lang w:eastAsia="zh-CN"/>
        </w:rPr>
        <w:t>注: 1  电动自行车停车</w:t>
      </w:r>
      <w:r>
        <w:rPr>
          <w:rFonts w:hint="eastAsia" w:ascii="宋体" w:hAnsi="宋体" w:eastAsia="宋体" w:cs="宋体"/>
          <w:lang w:val="en-US" w:eastAsia="zh-CN"/>
        </w:rPr>
        <w:t>场（</w:t>
      </w:r>
      <w:r>
        <w:rPr>
          <w:rFonts w:hint="eastAsia" w:ascii="宋体" w:hAnsi="宋体" w:eastAsia="宋体" w:cs="宋体"/>
          <w:lang w:eastAsia="zh-CN"/>
        </w:rPr>
        <w:t>棚）</w:t>
      </w:r>
      <w:r>
        <w:rPr>
          <w:rFonts w:hint="eastAsia" w:ascii="宋体" w:hAnsi="宋体" w:eastAsia="宋体" w:cs="宋体"/>
          <w:lang w:val="en-US" w:eastAsia="zh-CN"/>
        </w:rPr>
        <w:t>与</w:t>
      </w:r>
      <w:r>
        <w:rPr>
          <w:rFonts w:hint="eastAsia" w:ascii="宋体" w:hAnsi="宋体" w:eastAsia="宋体" w:cs="宋体"/>
          <w:lang w:eastAsia="zh-CN"/>
        </w:rPr>
        <w:t>相邻建筑相邻一面外墙为防火墙，或建筑相邻高出电动自行车停车棚、电动自行车停车场15m及以下范围内的外墙为防火墙时，其防火间距不限。</w:t>
      </w:r>
    </w:p>
    <w:p>
      <w:pPr>
        <w:bidi w:val="0"/>
        <w:ind w:firstLine="480" w:firstLineChars="200"/>
        <w:rPr>
          <w:rFonts w:hint="eastAsia" w:ascii="宋体" w:hAnsi="宋体" w:eastAsia="宋体" w:cs="宋体"/>
          <w:lang w:eastAsia="zh-CN"/>
        </w:rPr>
      </w:pPr>
      <w:r>
        <w:rPr>
          <w:rFonts w:hint="eastAsia" w:ascii="宋体" w:hAnsi="宋体" w:eastAsia="宋体" w:cs="宋体"/>
          <w:lang w:eastAsia="zh-CN"/>
        </w:rPr>
        <w:t>2  电动自行车停车</w:t>
      </w:r>
      <w:r>
        <w:rPr>
          <w:rFonts w:hint="eastAsia" w:ascii="宋体" w:hAnsi="宋体" w:eastAsia="宋体" w:cs="宋体"/>
          <w:lang w:val="en-US" w:eastAsia="zh-CN"/>
        </w:rPr>
        <w:t>场（</w:t>
      </w:r>
      <w:r>
        <w:rPr>
          <w:rFonts w:hint="eastAsia" w:ascii="宋体" w:hAnsi="宋体" w:eastAsia="宋体" w:cs="宋体"/>
          <w:lang w:eastAsia="zh-CN"/>
        </w:rPr>
        <w:t>棚）</w:t>
      </w:r>
      <w:r>
        <w:rPr>
          <w:rFonts w:hint="eastAsia" w:ascii="宋体" w:hAnsi="宋体" w:eastAsia="宋体" w:cs="宋体"/>
          <w:sz w:val="24"/>
          <w:szCs w:val="24"/>
          <w:lang w:val="en-US" w:eastAsia="zh-CN"/>
        </w:rPr>
        <w:t>与除火灾危险性为甲、乙类厂房和仓库外的其他</w:t>
      </w:r>
      <w:r>
        <w:rPr>
          <w:rFonts w:hint="eastAsia" w:ascii="宋体" w:hAnsi="宋体" w:eastAsia="宋体" w:cs="宋体"/>
          <w:sz w:val="24"/>
          <w:szCs w:val="24"/>
          <w:lang w:eastAsia="zh-CN"/>
        </w:rPr>
        <w:t>相邻建筑</w:t>
      </w:r>
      <w:r>
        <w:rPr>
          <w:rFonts w:hint="eastAsia" w:ascii="宋体" w:hAnsi="宋体" w:eastAsia="宋体" w:cs="宋体"/>
          <w:sz w:val="24"/>
          <w:szCs w:val="24"/>
          <w:lang w:val="en-US" w:eastAsia="zh-CN"/>
        </w:rPr>
        <w:t>较高</w:t>
      </w:r>
      <w:r>
        <w:rPr>
          <w:rFonts w:hint="eastAsia" w:ascii="宋体" w:hAnsi="宋体" w:eastAsia="宋体" w:cs="宋体"/>
          <w:sz w:val="24"/>
          <w:szCs w:val="24"/>
          <w:lang w:eastAsia="zh-CN"/>
        </w:rPr>
        <w:t>一面外墙耐火极限不低于2.00h，</w:t>
      </w:r>
      <w:r>
        <w:rPr>
          <w:rFonts w:hint="eastAsia" w:ascii="宋体" w:hAnsi="宋体" w:eastAsia="宋体" w:cs="宋体"/>
          <w:sz w:val="24"/>
          <w:szCs w:val="24"/>
          <w:lang w:val="en-US" w:eastAsia="zh-CN"/>
        </w:rPr>
        <w:t>且</w:t>
      </w:r>
      <w:r>
        <w:rPr>
          <w:rFonts w:hint="eastAsia" w:ascii="宋体" w:hAnsi="宋体" w:eastAsia="宋体" w:cs="宋体"/>
          <w:sz w:val="24"/>
          <w:szCs w:val="24"/>
          <w:lang w:eastAsia="zh-CN"/>
        </w:rPr>
        <w:t>墙上开口部位设置甲级防火门、窗时，其防火间距可</w:t>
      </w:r>
      <w:r>
        <w:rPr>
          <w:rFonts w:hint="eastAsia" w:ascii="宋体" w:hAnsi="宋体" w:eastAsia="宋体" w:cs="宋体"/>
          <w:sz w:val="24"/>
          <w:szCs w:val="24"/>
          <w:lang w:val="en-US" w:eastAsia="zh-CN"/>
        </w:rPr>
        <w:t>适当</w:t>
      </w:r>
      <w:r>
        <w:rPr>
          <w:rFonts w:hint="eastAsia" w:ascii="宋体" w:hAnsi="宋体" w:eastAsia="宋体" w:cs="宋体"/>
          <w:sz w:val="24"/>
          <w:szCs w:val="24"/>
          <w:lang w:eastAsia="zh-CN"/>
        </w:rPr>
        <w:t>减小，但不应小于4m。</w:t>
      </w:r>
    </w:p>
    <w:p>
      <w:p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3  电动自行车停车场（棚）与</w:t>
      </w:r>
      <w:r>
        <w:rPr>
          <w:rFonts w:hint="eastAsia" w:ascii="宋体" w:hAnsi="宋体" w:eastAsia="宋体" w:cs="宋体"/>
          <w:lang w:eastAsia="zh-CN"/>
        </w:rPr>
        <w:t>甲、乙类火灾危险性厂房、仓库</w:t>
      </w:r>
      <w:r>
        <w:rPr>
          <w:rFonts w:hint="eastAsia" w:ascii="宋体" w:hAnsi="宋体" w:eastAsia="宋体" w:cs="宋体"/>
          <w:lang w:val="en-US" w:eastAsia="zh-CN"/>
        </w:rPr>
        <w:t>的防火间距还应结合具体项目的安全条件评价报告，布置在位于爆炸危险区以外。</w:t>
      </w:r>
    </w:p>
    <w:p>
      <w:pPr>
        <w:bidi w:val="0"/>
        <w:ind w:firstLine="480" w:firstLineChars="200"/>
        <w:rPr>
          <w:rFonts w:hint="eastAsia" w:ascii="宋体" w:hAnsi="宋体" w:eastAsia="宋体" w:cs="宋体"/>
          <w:lang w:val="en-US" w:eastAsia="zh-CN"/>
        </w:rPr>
      </w:pPr>
      <w:r>
        <w:rPr>
          <w:rFonts w:hint="eastAsia" w:ascii="宋体" w:hAnsi="宋体" w:eastAsia="宋体" w:cs="宋体"/>
          <w:lang w:val="en-US" w:eastAsia="zh-CN"/>
        </w:rPr>
        <w:t xml:space="preserve">4  </w:t>
      </w:r>
      <w:r>
        <w:rPr>
          <w:rFonts w:hint="eastAsia" w:ascii="宋体" w:hAnsi="宋体" w:eastAsia="宋体" w:cs="宋体"/>
          <w:lang w:eastAsia="zh-CN"/>
        </w:rPr>
        <w:t>电动自行车停车</w:t>
      </w:r>
      <w:r>
        <w:rPr>
          <w:rFonts w:hint="eastAsia" w:ascii="宋体" w:hAnsi="宋体" w:eastAsia="宋体" w:cs="宋体"/>
          <w:lang w:val="en-US" w:eastAsia="zh-CN"/>
        </w:rPr>
        <w:t>场（</w:t>
      </w:r>
      <w:r>
        <w:rPr>
          <w:rFonts w:hint="eastAsia" w:ascii="宋体" w:hAnsi="宋体" w:eastAsia="宋体" w:cs="宋体"/>
          <w:lang w:eastAsia="zh-CN"/>
        </w:rPr>
        <w:t>棚）</w:t>
      </w:r>
      <w:r>
        <w:rPr>
          <w:rFonts w:hint="eastAsia" w:ascii="宋体" w:hAnsi="宋体" w:eastAsia="宋体" w:cs="宋体"/>
          <w:lang w:val="en-US" w:eastAsia="zh-CN"/>
        </w:rPr>
        <w:t>与</w:t>
      </w:r>
      <w:r>
        <w:rPr>
          <w:rFonts w:hint="eastAsia" w:ascii="宋体" w:hAnsi="宋体" w:eastAsia="宋体" w:cs="宋体"/>
          <w:lang w:eastAsia="zh-CN"/>
        </w:rPr>
        <w:t>相邻建筑</w:t>
      </w:r>
      <w:r>
        <w:rPr>
          <w:rFonts w:hint="eastAsia" w:ascii="宋体" w:hAnsi="宋体" w:eastAsia="宋体" w:cs="宋体"/>
          <w:lang w:val="en-US" w:eastAsia="zh-CN"/>
        </w:rPr>
        <w:t>的防火间距，应以</w:t>
      </w:r>
      <w:r>
        <w:rPr>
          <w:rFonts w:hint="eastAsia" w:ascii="宋体" w:hAnsi="宋体" w:eastAsia="宋体" w:cs="宋体"/>
          <w:lang w:eastAsia="zh-CN"/>
        </w:rPr>
        <w:t>电动自行车停车</w:t>
      </w:r>
      <w:r>
        <w:rPr>
          <w:rFonts w:hint="eastAsia" w:ascii="宋体" w:hAnsi="宋体" w:eastAsia="宋体" w:cs="宋体"/>
          <w:lang w:val="en-US" w:eastAsia="zh-CN"/>
        </w:rPr>
        <w:t>场（</w:t>
      </w:r>
      <w:r>
        <w:rPr>
          <w:rFonts w:hint="eastAsia" w:ascii="宋体" w:hAnsi="宋体" w:eastAsia="宋体" w:cs="宋体"/>
          <w:lang w:eastAsia="zh-CN"/>
        </w:rPr>
        <w:t>棚）</w:t>
      </w:r>
      <w:r>
        <w:rPr>
          <w:rFonts w:hint="eastAsia" w:ascii="宋体" w:hAnsi="宋体" w:eastAsia="宋体" w:cs="宋体"/>
          <w:lang w:val="en-US" w:eastAsia="zh-CN"/>
        </w:rPr>
        <w:t>的停车边界计算。</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7</w:t>
      </w:r>
      <w:r>
        <w:rPr>
          <w:rFonts w:hint="eastAsia" w:ascii="宋体" w:hAnsi="宋体" w:eastAsia="宋体" w:cs="宋体"/>
          <w:sz w:val="28"/>
          <w:szCs w:val="28"/>
          <w:lang w:eastAsia="zh-CN"/>
        </w:rPr>
        <w:t xml:space="preserve"> 电动自行车停车场（棚）与可燃材料堆场、储罐（区）等之间的防火间距，应符合现行国家标准《建筑防火通用规范》GB55037</w:t>
      </w:r>
      <w:r>
        <w:rPr>
          <w:rFonts w:hint="eastAsia" w:ascii="宋体" w:hAnsi="宋体" w:eastAsia="宋体" w:cs="宋体"/>
          <w:sz w:val="28"/>
          <w:szCs w:val="28"/>
          <w:lang w:val="en-US" w:eastAsia="zh-CN"/>
        </w:rPr>
        <w:t>和</w:t>
      </w:r>
      <w:r>
        <w:rPr>
          <w:rFonts w:hint="eastAsia" w:ascii="宋体" w:hAnsi="宋体" w:eastAsia="宋体" w:cs="宋体"/>
          <w:sz w:val="28"/>
          <w:szCs w:val="28"/>
          <w:lang w:eastAsia="zh-CN"/>
        </w:rPr>
        <w:t>《建筑设计防火规范》GB50016的规定；</w:t>
      </w:r>
      <w:r>
        <w:rPr>
          <w:rFonts w:hint="eastAsia" w:ascii="宋体" w:hAnsi="宋体" w:eastAsia="宋体" w:cs="宋体"/>
          <w:sz w:val="28"/>
          <w:szCs w:val="28"/>
          <w:lang w:val="en-US" w:eastAsia="zh-CN"/>
        </w:rPr>
        <w:t>与</w:t>
      </w:r>
      <w:r>
        <w:rPr>
          <w:rFonts w:hint="eastAsia" w:ascii="宋体" w:hAnsi="宋体" w:eastAsia="宋体" w:cs="宋体"/>
          <w:sz w:val="28"/>
          <w:szCs w:val="28"/>
          <w:lang w:eastAsia="zh-CN"/>
        </w:rPr>
        <w:t>附建式电动自行车库</w:t>
      </w:r>
      <w:r>
        <w:rPr>
          <w:rFonts w:hint="eastAsia" w:ascii="宋体" w:hAnsi="宋体" w:eastAsia="宋体" w:cs="宋体"/>
          <w:sz w:val="28"/>
          <w:szCs w:val="28"/>
          <w:lang w:val="en-US" w:eastAsia="zh-CN"/>
        </w:rPr>
        <w:t>之间的防火间距应结合该主体建筑的类型、高度、耐火等级等因素确定</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w:t>
      </w:r>
      <w:r>
        <w:rPr>
          <w:rFonts w:hint="eastAsia" w:ascii="宋体" w:hAnsi="宋体" w:eastAsia="宋体" w:cs="宋体"/>
          <w:sz w:val="28"/>
          <w:szCs w:val="28"/>
          <w:lang w:eastAsia="zh-CN"/>
        </w:rPr>
        <w:t>符合现行国家标准《建筑防火通用规范》GB55037和《建筑设计防火规范》GB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50016的规定。</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8</w:t>
      </w:r>
      <w:r>
        <w:rPr>
          <w:rFonts w:hint="eastAsia" w:ascii="宋体" w:hAnsi="宋体" w:eastAsia="宋体" w:cs="宋体"/>
          <w:sz w:val="28"/>
          <w:szCs w:val="28"/>
          <w:lang w:eastAsia="zh-CN"/>
        </w:rPr>
        <w:t xml:space="preserve">  既有老旧小区增设和改造</w:t>
      </w:r>
      <w:r>
        <w:rPr>
          <w:rFonts w:hint="eastAsia" w:ascii="宋体" w:hAnsi="宋体" w:eastAsia="宋体" w:cs="宋体"/>
          <w:sz w:val="28"/>
          <w:szCs w:val="28"/>
          <w:lang w:val="en-US" w:eastAsia="zh-CN"/>
        </w:rPr>
        <w:t>停车数小于20辆的</w:t>
      </w:r>
      <w:r>
        <w:rPr>
          <w:rFonts w:hint="eastAsia" w:ascii="宋体" w:hAnsi="宋体" w:eastAsia="宋体" w:cs="宋体"/>
          <w:sz w:val="28"/>
          <w:szCs w:val="28"/>
          <w:lang w:eastAsia="zh-CN"/>
        </w:rPr>
        <w:t>微型电动自行车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，当与既有单、多层</w:t>
      </w:r>
      <w:r>
        <w:rPr>
          <w:rFonts w:hint="eastAsia" w:ascii="宋体" w:hAnsi="宋体" w:eastAsia="宋体" w:cs="宋体"/>
          <w:sz w:val="28"/>
          <w:szCs w:val="28"/>
          <w:lang w:val="en-US" w:eastAsia="zh-CN"/>
        </w:rPr>
        <w:t>民用</w:t>
      </w:r>
      <w:r>
        <w:rPr>
          <w:rFonts w:hint="eastAsia" w:ascii="宋体" w:hAnsi="宋体" w:eastAsia="宋体" w:cs="宋体"/>
          <w:sz w:val="28"/>
          <w:szCs w:val="28"/>
          <w:lang w:eastAsia="zh-CN"/>
        </w:rPr>
        <w:t>建筑的防火间距按外墙计算水平距离执行现行标准确有困难时，可按相邻</w:t>
      </w:r>
      <w:r>
        <w:rPr>
          <w:rFonts w:hint="eastAsia" w:ascii="宋体" w:hAnsi="宋体" w:eastAsia="宋体" w:cs="宋体"/>
          <w:sz w:val="28"/>
          <w:szCs w:val="28"/>
          <w:lang w:val="en-US" w:eastAsia="zh-CN"/>
        </w:rPr>
        <w:t>既有</w:t>
      </w:r>
      <w:r>
        <w:rPr>
          <w:rFonts w:hint="eastAsia" w:ascii="宋体" w:hAnsi="宋体" w:eastAsia="宋体" w:cs="宋体"/>
          <w:sz w:val="28"/>
          <w:szCs w:val="28"/>
          <w:lang w:eastAsia="zh-CN"/>
        </w:rPr>
        <w:t>建筑外墙</w:t>
      </w:r>
      <w:r>
        <w:rPr>
          <w:rFonts w:hint="eastAsia" w:ascii="宋体" w:hAnsi="宋体" w:eastAsia="宋体" w:cs="宋体"/>
          <w:sz w:val="28"/>
          <w:szCs w:val="28"/>
          <w:lang w:val="en-US" w:eastAsia="zh-CN"/>
        </w:rPr>
        <w:t>上的</w:t>
      </w:r>
      <w:r>
        <w:rPr>
          <w:rFonts w:hint="eastAsia" w:ascii="宋体" w:hAnsi="宋体" w:eastAsia="宋体" w:cs="宋体"/>
          <w:sz w:val="28"/>
          <w:szCs w:val="28"/>
          <w:lang w:eastAsia="zh-CN"/>
        </w:rPr>
        <w:t>门、窗处计算，但应同时符合以下规定：</w:t>
      </w:r>
    </w:p>
    <w:p>
      <w:pPr>
        <w:bidi w:val="0"/>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 电动自行车</w:t>
      </w:r>
      <w:r>
        <w:rPr>
          <w:rFonts w:hint="eastAsia" w:ascii="宋体" w:hAnsi="宋体" w:eastAsia="宋体" w:cs="宋体"/>
          <w:sz w:val="28"/>
          <w:szCs w:val="28"/>
          <w:lang w:val="en-US" w:eastAsia="zh-CN"/>
        </w:rPr>
        <w:t>停车场（棚）</w:t>
      </w:r>
      <w:r>
        <w:rPr>
          <w:rFonts w:hint="eastAsia" w:ascii="宋体" w:hAnsi="宋体" w:eastAsia="宋体" w:cs="宋体"/>
          <w:sz w:val="28"/>
          <w:szCs w:val="28"/>
          <w:lang w:eastAsia="zh-CN"/>
        </w:rPr>
        <w:t>与相邻既有单、多层</w:t>
      </w:r>
      <w:r>
        <w:rPr>
          <w:rFonts w:hint="eastAsia" w:ascii="宋体" w:hAnsi="宋体" w:eastAsia="宋体" w:cs="宋体"/>
          <w:sz w:val="28"/>
          <w:szCs w:val="28"/>
          <w:lang w:val="en-US" w:eastAsia="zh-CN"/>
        </w:rPr>
        <w:t>民用</w:t>
      </w:r>
      <w:r>
        <w:rPr>
          <w:rFonts w:hint="eastAsia" w:ascii="宋体" w:hAnsi="宋体" w:eastAsia="宋体" w:cs="宋体"/>
          <w:sz w:val="28"/>
          <w:szCs w:val="28"/>
          <w:lang w:eastAsia="zh-CN"/>
        </w:rPr>
        <w:t>建筑外墙的防火间距不应低于4m；</w:t>
      </w:r>
    </w:p>
    <w:p>
      <w:pPr>
        <w:bidi w:val="0"/>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 电动自行车</w:t>
      </w:r>
      <w:r>
        <w:rPr>
          <w:rFonts w:hint="eastAsia" w:ascii="宋体" w:hAnsi="宋体" w:eastAsia="宋体" w:cs="宋体"/>
          <w:sz w:val="28"/>
          <w:szCs w:val="28"/>
          <w:lang w:val="en-US" w:eastAsia="zh-CN"/>
        </w:rPr>
        <w:t>停车场（棚）的</w:t>
      </w:r>
      <w:r>
        <w:rPr>
          <w:rFonts w:hint="eastAsia" w:ascii="宋体" w:hAnsi="宋体" w:eastAsia="宋体" w:cs="宋体"/>
          <w:sz w:val="28"/>
          <w:szCs w:val="28"/>
          <w:lang w:eastAsia="zh-CN"/>
        </w:rPr>
        <w:t>停车边界与建筑物外墙门、窗、洞口等开口部位，以及安全出口之间最近边缘的水平间距不应小于6.0m；</w:t>
      </w:r>
    </w:p>
    <w:p>
      <w:pPr>
        <w:bidi w:val="0"/>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3 当建筑物外墙保温或装饰材料燃烧性能等级低于B1级时，电动自行车停车场（</w:t>
      </w:r>
      <w:r>
        <w:rPr>
          <w:rFonts w:hint="eastAsia" w:ascii="宋体" w:hAnsi="宋体" w:eastAsia="宋体" w:cs="宋体"/>
          <w:sz w:val="28"/>
          <w:szCs w:val="28"/>
          <w:lang w:val="en-US" w:eastAsia="zh-CN"/>
        </w:rPr>
        <w:t>棚</w:t>
      </w:r>
      <w:r>
        <w:rPr>
          <w:rFonts w:hint="eastAsia" w:ascii="宋体" w:hAnsi="宋体" w:eastAsia="宋体" w:cs="宋体"/>
          <w:sz w:val="28"/>
          <w:szCs w:val="28"/>
          <w:lang w:eastAsia="zh-CN"/>
        </w:rPr>
        <w:t>）边界与建筑物外墙之间最近边缘的水平间距不应小于6.0m。</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eastAsia="zh-CN"/>
        </w:rPr>
        <w:t>4.</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9</w:t>
      </w:r>
      <w:r>
        <w:rPr>
          <w:rFonts w:hint="eastAsia" w:ascii="宋体" w:hAnsi="宋体" w:eastAsia="宋体" w:cs="宋体"/>
          <w:sz w:val="28"/>
          <w:szCs w:val="28"/>
          <w:lang w:eastAsia="zh-CN"/>
        </w:rPr>
        <w:t xml:space="preserve">  室外充电柜、换电柜与相邻建（构）筑物之间的间距不应小于2.0m。当充电柜、换电柜相邻建筑外墙2.0m范围内为未设置门窗洞口的防火墙时，充电柜、换电柜与防火墙的间距不限。</w:t>
      </w:r>
    </w:p>
    <w:p>
      <w:pPr>
        <w:pStyle w:val="3"/>
        <w:numPr>
          <w:ilvl w:val="1"/>
          <w:numId w:val="0"/>
        </w:numPr>
        <w:spacing w:before="312" w:after="93"/>
        <w:rPr>
          <w:rFonts w:hint="eastAsia" w:ascii="宋体" w:hAnsi="宋体" w:eastAsia="宋体" w:cs="宋体"/>
          <w:lang w:val="en-US" w:eastAsia="zh-CN"/>
        </w:rPr>
      </w:pPr>
      <w:bookmarkStart w:id="19" w:name="_Toc19670"/>
      <w:bookmarkStart w:id="20" w:name="_Toc14868"/>
      <w:bookmarkStart w:id="21" w:name="_Toc17660"/>
      <w:r>
        <w:rPr>
          <w:rFonts w:hint="eastAsia" w:ascii="宋体" w:hAnsi="宋体" w:eastAsia="宋体" w:cs="宋体"/>
        </w:rPr>
        <w:t xml:space="preserve">4.2 </w:t>
      </w:r>
      <w:r>
        <w:rPr>
          <w:rFonts w:hint="eastAsia" w:ascii="宋体" w:hAnsi="宋体" w:eastAsia="宋体" w:cs="宋体"/>
          <w:lang w:val="en-US" w:eastAsia="zh-CN"/>
        </w:rPr>
        <w:t>平面布置</w:t>
      </w:r>
      <w:bookmarkEnd w:id="19"/>
      <w:bookmarkEnd w:id="20"/>
      <w:r>
        <w:rPr>
          <w:rFonts w:hint="eastAsia" w:ascii="宋体" w:hAnsi="宋体" w:eastAsia="宋体" w:cs="宋体"/>
          <w:lang w:val="en-US" w:eastAsia="zh-CN"/>
        </w:rPr>
        <w:t>和防火构造</w:t>
      </w:r>
      <w:bookmarkEnd w:id="21"/>
    </w:p>
    <w:p>
      <w:pPr>
        <w:bidi w:val="0"/>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.2.</w:t>
      </w:r>
      <w:r>
        <w:rPr>
          <w:rFonts w:hint="eastAsia" w:ascii="宋体" w:hAnsi="宋体" w:eastAsia="宋体" w:cs="宋体"/>
          <w:b/>
          <w:bCs/>
          <w:sz w:val="28"/>
          <w:szCs w:val="28"/>
          <w:lang w:val="en-US" w:eastAsia="zh-CN"/>
        </w:rPr>
        <w:t>1</w:t>
      </w:r>
      <w:r>
        <w:rPr>
          <w:rFonts w:hint="eastAsia" w:ascii="宋体" w:hAnsi="宋体" w:eastAsia="宋体" w:cs="宋体"/>
          <w:sz w:val="28"/>
          <w:szCs w:val="28"/>
          <w:lang w:eastAsia="zh-CN"/>
        </w:rPr>
        <w:t xml:space="preserve">  电动自行车停车场（棚）应划线限定停车场范围，停车位应分组布置，每组长度不</w:t>
      </w:r>
      <w:r>
        <w:rPr>
          <w:rFonts w:hint="eastAsia" w:ascii="宋体" w:hAnsi="宋体" w:eastAsia="宋体" w:cs="宋体"/>
          <w:sz w:val="28"/>
          <w:szCs w:val="28"/>
          <w:lang w:val="en-US" w:eastAsia="zh-CN"/>
        </w:rPr>
        <w:t>应</w:t>
      </w:r>
      <w:r>
        <w:rPr>
          <w:rFonts w:hint="eastAsia" w:ascii="宋体" w:hAnsi="宋体" w:eastAsia="宋体" w:cs="宋体"/>
          <w:sz w:val="28"/>
          <w:szCs w:val="28"/>
          <w:lang w:eastAsia="zh-CN"/>
        </w:rPr>
        <w:t>大于2</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m，</w:t>
      </w:r>
      <w:r>
        <w:rPr>
          <w:rFonts w:hint="eastAsia" w:ascii="宋体" w:hAnsi="宋体" w:eastAsia="宋体" w:cs="宋体"/>
          <w:sz w:val="28"/>
          <w:szCs w:val="28"/>
          <w:lang w:val="en-US" w:eastAsia="zh-CN"/>
        </w:rPr>
        <w:t>每组停车数不宜超25辆；</w:t>
      </w:r>
      <w:r>
        <w:rPr>
          <w:rFonts w:hint="eastAsia" w:ascii="宋体" w:hAnsi="宋体" w:eastAsia="宋体" w:cs="宋体"/>
          <w:sz w:val="28"/>
          <w:szCs w:val="28"/>
          <w:lang w:eastAsia="zh-CN"/>
        </w:rPr>
        <w:t>组与组之间应设采用高度不低于1.5m、耐火极限不低于1.00h的不燃烧体隔墙分隔。</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.2.</w:t>
      </w:r>
      <w:r>
        <w:rPr>
          <w:rFonts w:hint="eastAsia" w:ascii="宋体" w:hAnsi="宋体" w:eastAsia="宋体" w:cs="宋体"/>
          <w:b/>
          <w:bCs/>
          <w:sz w:val="28"/>
          <w:szCs w:val="28"/>
          <w:lang w:val="en-US" w:eastAsia="zh-CN"/>
        </w:rPr>
        <w:t>2</w:t>
      </w:r>
      <w:r>
        <w:rPr>
          <w:rFonts w:hint="eastAsia" w:ascii="宋体" w:hAnsi="宋体" w:eastAsia="宋体" w:cs="宋体"/>
          <w:sz w:val="28"/>
          <w:szCs w:val="28"/>
          <w:lang w:eastAsia="zh-CN"/>
        </w:rPr>
        <w:t xml:space="preserve">  电动自行停车场（棚）设置防风雨棚时，防风雨棚不应完全封闭，四周开口部位应均匀布置，开口的面积应大于该停车场四周总面积的50%，开口区域总长度应大于停车场周长的50%。当防雨棚四周开口面积不满足要求时，应按电动自行车库的相关要求执行。</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3</w:t>
      </w: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电动自行车停车棚的</w:t>
      </w:r>
      <w:r>
        <w:rPr>
          <w:rFonts w:hint="eastAsia" w:ascii="宋体" w:hAnsi="宋体" w:eastAsia="宋体" w:cs="宋体"/>
          <w:sz w:val="28"/>
          <w:szCs w:val="28"/>
          <w:lang w:eastAsia="zh-CN"/>
        </w:rPr>
        <w:t>顶棚、围护构件及承重结构应采用不燃材料。</w:t>
      </w:r>
    </w:p>
    <w:p>
      <w:pPr>
        <w:bidi w:val="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4  </w:t>
      </w:r>
      <w:r>
        <w:rPr>
          <w:rFonts w:hint="eastAsia" w:ascii="宋体" w:hAnsi="宋体" w:eastAsia="宋体" w:cs="宋体"/>
          <w:sz w:val="28"/>
          <w:szCs w:val="28"/>
          <w:lang w:eastAsia="zh-CN"/>
        </w:rPr>
        <w:t>电动自行车停放充电场所应集中布置充电设施。充电</w:t>
      </w:r>
      <w:r>
        <w:rPr>
          <w:rFonts w:hint="eastAsia" w:ascii="宋体" w:hAnsi="宋体" w:eastAsia="宋体" w:cs="宋体"/>
          <w:sz w:val="28"/>
          <w:szCs w:val="28"/>
          <w:lang w:val="en-US" w:eastAsia="zh-CN"/>
        </w:rPr>
        <w:t>柜</w:t>
      </w:r>
      <w:r>
        <w:rPr>
          <w:rFonts w:hint="eastAsia" w:ascii="宋体" w:hAnsi="宋体" w:eastAsia="宋体" w:cs="宋体"/>
          <w:sz w:val="28"/>
          <w:szCs w:val="28"/>
          <w:lang w:eastAsia="zh-CN"/>
        </w:rPr>
        <w:t>设置区域距离建筑的安全出口不应小于6m。</w:t>
      </w:r>
    </w:p>
    <w:p>
      <w:pPr>
        <w:pStyle w:val="3"/>
        <w:numPr>
          <w:ilvl w:val="1"/>
          <w:numId w:val="0"/>
        </w:numPr>
        <w:spacing w:before="312" w:after="93"/>
        <w:rPr>
          <w:rFonts w:hint="eastAsia" w:ascii="宋体" w:hAnsi="宋体" w:eastAsia="宋体" w:cs="宋体"/>
          <w:lang w:val="en-US" w:eastAsia="zh-CN"/>
        </w:rPr>
      </w:pPr>
      <w:bookmarkStart w:id="22" w:name="_Toc11439"/>
      <w:bookmarkStart w:id="23" w:name="_Toc4593"/>
      <w:bookmarkStart w:id="24" w:name="_Toc6133"/>
      <w:r>
        <w:rPr>
          <w:rFonts w:hint="eastAsia" w:ascii="宋体" w:hAnsi="宋体" w:eastAsia="宋体" w:cs="宋体"/>
        </w:rPr>
        <w:t xml:space="preserve">4.3 </w:t>
      </w:r>
      <w:r>
        <w:rPr>
          <w:rFonts w:hint="eastAsia" w:ascii="宋体" w:hAnsi="宋体" w:eastAsia="宋体" w:cs="宋体"/>
          <w:lang w:val="en-US" w:eastAsia="zh-CN"/>
        </w:rPr>
        <w:t>安全疏散</w:t>
      </w:r>
      <w:bookmarkEnd w:id="22"/>
      <w:bookmarkEnd w:id="23"/>
      <w:bookmarkEnd w:id="24"/>
    </w:p>
    <w:p>
      <w:pPr>
        <w:bidi w:val="0"/>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3</w:t>
      </w:r>
      <w:r>
        <w:rPr>
          <w:rFonts w:hint="eastAsia" w:ascii="宋体" w:hAnsi="宋体" w:eastAsia="宋体" w:cs="宋体"/>
          <w:b/>
          <w:bCs/>
          <w:sz w:val="28"/>
          <w:szCs w:val="28"/>
          <w:lang w:eastAsia="zh-CN"/>
        </w:rPr>
        <w:t>.1</w:t>
      </w:r>
      <w:r>
        <w:rPr>
          <w:rFonts w:hint="eastAsia" w:ascii="宋体" w:hAnsi="宋体" w:eastAsia="宋体" w:cs="宋体"/>
          <w:sz w:val="28"/>
          <w:szCs w:val="28"/>
          <w:lang w:eastAsia="zh-CN"/>
        </w:rPr>
        <w:t xml:space="preserve">  大型、中型电动自行车停车场（棚），停车场出入口应不少于2个，两个出入口之间的距离不应小于5.0m，出入口净宽度不应小于2.0m。</w:t>
      </w:r>
    </w:p>
    <w:p>
      <w:pPr>
        <w:bidi w:val="0"/>
        <w:rPr>
          <w:rFonts w:hint="eastAsia" w:ascii="宋体" w:hAnsi="宋体" w:eastAsia="宋体" w:cs="宋体"/>
          <w:sz w:val="28"/>
          <w:szCs w:val="28"/>
          <w:lang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3</w:t>
      </w:r>
      <w:r>
        <w:rPr>
          <w:rFonts w:hint="eastAsia" w:ascii="宋体" w:hAnsi="宋体" w:eastAsia="宋体" w:cs="宋体"/>
          <w:b/>
          <w:bCs/>
          <w:sz w:val="28"/>
          <w:szCs w:val="28"/>
          <w:lang w:eastAsia="zh-CN"/>
        </w:rPr>
        <w:t xml:space="preserve">.2 </w:t>
      </w:r>
      <w:r>
        <w:rPr>
          <w:rFonts w:hint="eastAsia" w:ascii="宋体" w:hAnsi="宋体" w:eastAsia="宋体" w:cs="宋体"/>
          <w:sz w:val="28"/>
          <w:szCs w:val="28"/>
          <w:lang w:eastAsia="zh-CN"/>
        </w:rPr>
        <w:t xml:space="preserve"> 小型、微型电动车自行车停车场（棚）可设置一个，出入口净宽度不应小于2.0m。</w:t>
      </w:r>
    </w:p>
    <w:p>
      <w:pPr>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pStyle w:val="2"/>
        <w:numPr>
          <w:ilvl w:val="0"/>
          <w:numId w:val="0"/>
        </w:numPr>
        <w:jc w:val="center"/>
        <w:rPr>
          <w:rFonts w:hint="eastAsia" w:ascii="宋体" w:hAnsi="宋体" w:eastAsia="宋体" w:cs="宋体"/>
          <w:lang w:val="en-US" w:eastAsia="zh-CN"/>
        </w:rPr>
      </w:pPr>
      <w:bookmarkStart w:id="25" w:name="_Toc17541"/>
      <w:bookmarkStart w:id="26" w:name="_Toc30448"/>
      <w:bookmarkStart w:id="27" w:name="_Toc23217"/>
      <w:r>
        <w:rPr>
          <w:rFonts w:hint="eastAsia" w:ascii="宋体" w:hAnsi="宋体" w:eastAsia="宋体" w:cs="宋体"/>
          <w:lang w:val="en-US" w:eastAsia="zh-CN"/>
        </w:rPr>
        <w:t>5 消防给水和灭火设施</w:t>
      </w:r>
      <w:bookmarkEnd w:id="25"/>
      <w:bookmarkEnd w:id="26"/>
      <w:bookmarkEnd w:id="27"/>
    </w:p>
    <w:p>
      <w:pPr>
        <w:pStyle w:val="3"/>
        <w:numPr>
          <w:ilvl w:val="1"/>
          <w:numId w:val="0"/>
        </w:numPr>
        <w:spacing w:before="312" w:after="93"/>
        <w:rPr>
          <w:rFonts w:hint="eastAsia" w:ascii="宋体" w:hAnsi="宋体" w:eastAsia="宋体" w:cs="宋体"/>
        </w:rPr>
      </w:pPr>
      <w:bookmarkStart w:id="28" w:name="_Toc27634"/>
      <w:bookmarkStart w:id="29" w:name="_Toc17956"/>
      <w:bookmarkStart w:id="30" w:name="_Toc15054"/>
      <w:bookmarkStart w:id="31" w:name="_Toc18379"/>
      <w:r>
        <w:rPr>
          <w:rFonts w:hint="eastAsia" w:ascii="宋体" w:hAnsi="宋体" w:eastAsia="宋体" w:cs="宋体"/>
        </w:rPr>
        <w:t>5.1 室外消火栓</w:t>
      </w:r>
      <w:bookmarkEnd w:id="28"/>
      <w:bookmarkEnd w:id="29"/>
      <w:bookmarkEnd w:id="30"/>
      <w:bookmarkEnd w:id="31"/>
    </w:p>
    <w:p>
      <w:pPr>
        <w:pStyle w:val="39"/>
        <w:spacing w:line="560" w:lineRule="exact"/>
        <w:rPr>
          <w:rFonts w:hint="eastAsia" w:ascii="宋体" w:hAnsi="宋体" w:eastAsia="宋体" w:cs="宋体"/>
          <w:snapToGrid/>
          <w:color w:val="auto"/>
          <w:kern w:val="2"/>
          <w:sz w:val="28"/>
          <w:szCs w:val="24"/>
          <w:lang w:eastAsia="zh-CN"/>
        </w:rPr>
      </w:pPr>
      <w:r>
        <w:rPr>
          <w:rFonts w:hint="eastAsia" w:ascii="宋体" w:hAnsi="宋体" w:eastAsia="宋体" w:cs="宋体"/>
          <w:b/>
          <w:bCs/>
          <w:snapToGrid/>
          <w:color w:val="auto"/>
          <w:kern w:val="2"/>
          <w:sz w:val="28"/>
          <w:szCs w:val="24"/>
          <w:lang w:eastAsia="zh-CN"/>
        </w:rPr>
        <w:t>5.1.1</w:t>
      </w:r>
      <w:bookmarkStart w:id="32" w:name="_Hlk162457964"/>
      <w:r>
        <w:rPr>
          <w:rFonts w:hint="eastAsia" w:ascii="宋体" w:hAnsi="宋体" w:eastAsia="宋体" w:cs="宋体"/>
          <w:snapToGrid/>
          <w:color w:val="auto"/>
          <w:kern w:val="2"/>
          <w:sz w:val="28"/>
          <w:szCs w:val="24"/>
          <w:lang w:val="en-US" w:eastAsia="zh-CN"/>
        </w:rPr>
        <w:t xml:space="preserve">  </w:t>
      </w:r>
      <w:r>
        <w:rPr>
          <w:rFonts w:hint="eastAsia" w:ascii="宋体" w:hAnsi="宋体" w:eastAsia="宋体" w:cs="宋体"/>
          <w:snapToGrid/>
          <w:color w:val="auto"/>
          <w:kern w:val="2"/>
          <w:sz w:val="28"/>
          <w:szCs w:val="24"/>
          <w:lang w:eastAsia="zh-CN"/>
        </w:rPr>
        <w:t>大、中型电动自行车停车棚</w:t>
      </w:r>
      <w:bookmarkEnd w:id="32"/>
      <w:r>
        <w:rPr>
          <w:rFonts w:hint="eastAsia" w:ascii="宋体" w:hAnsi="宋体" w:eastAsia="宋体" w:cs="宋体"/>
          <w:snapToGrid/>
          <w:color w:val="auto"/>
          <w:kern w:val="2"/>
          <w:sz w:val="28"/>
          <w:szCs w:val="24"/>
          <w:lang w:eastAsia="zh-CN"/>
        </w:rPr>
        <w:t>、电动自行车停车场应设置室外消火栓系统。在市政消火栓保护半径150m范围内的，可不设置室外消火栓。室外消火栓设计流量不应小于表8.1.1的规定。</w:t>
      </w:r>
    </w:p>
    <w:p>
      <w:pPr>
        <w:widowControl w:val="0"/>
        <w:kinsoku/>
        <w:autoSpaceDE/>
        <w:adjustRightInd/>
        <w:snapToGrid/>
        <w:spacing w:line="560" w:lineRule="exact"/>
        <w:ind w:left="960" w:firstLine="436"/>
        <w:jc w:val="center"/>
        <w:rPr>
          <w:rFonts w:hint="eastAsia" w:ascii="宋体" w:hAnsi="宋体" w:eastAsia="宋体" w:cs="宋体"/>
          <w:b/>
          <w:bCs/>
          <w:snapToGrid/>
          <w:color w:val="auto"/>
          <w:kern w:val="2"/>
          <w:sz w:val="18"/>
          <w:szCs w:val="18"/>
          <w:lang w:eastAsia="zh-CN"/>
        </w:rPr>
      </w:pPr>
      <w:r>
        <w:rPr>
          <w:rFonts w:hint="eastAsia" w:ascii="宋体" w:hAnsi="宋体" w:eastAsia="宋体" w:cs="宋体"/>
          <w:b/>
          <w:bCs/>
          <w:snapToGrid/>
          <w:color w:val="auto"/>
          <w:kern w:val="2"/>
          <w:sz w:val="18"/>
          <w:szCs w:val="18"/>
          <w:lang w:eastAsia="zh-CN"/>
        </w:rPr>
        <w:t>表5.1.1 电动自行车停车库室外消火栓设计流量（L/s）</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6"/>
              <w:jc w:val="center"/>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规模</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大型</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中型</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小型</w:t>
            </w:r>
          </w:p>
        </w:tc>
        <w:tc>
          <w:tcPr>
            <w:tcW w:w="1247" w:type="dxa"/>
            <w:tcBorders>
              <w:top w:val="single" w:color="auto" w:sz="4" w:space="0"/>
              <w:left w:val="single" w:color="auto" w:sz="4" w:space="0"/>
              <w:bottom w:val="single" w:color="auto" w:sz="4" w:space="0"/>
              <w:right w:val="single" w:color="auto" w:sz="4" w:space="0"/>
            </w:tcBorders>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6"/>
              <w:jc w:val="center"/>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水量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20</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15</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15</w:t>
            </w:r>
          </w:p>
        </w:tc>
        <w:tc>
          <w:tcPr>
            <w:tcW w:w="1247" w:type="dxa"/>
            <w:tcBorders>
              <w:top w:val="single" w:color="auto" w:sz="4" w:space="0"/>
              <w:left w:val="single" w:color="auto" w:sz="4" w:space="0"/>
              <w:bottom w:val="single" w:color="auto" w:sz="4" w:space="0"/>
              <w:right w:val="single" w:color="auto" w:sz="4" w:space="0"/>
            </w:tcBorders>
          </w:tcPr>
          <w:p>
            <w:pPr>
              <w:widowControl w:val="0"/>
              <w:kinsoku/>
              <w:autoSpaceDE/>
              <w:adjustRightInd/>
              <w:snapToGrid/>
              <w:spacing w:line="560" w:lineRule="exact"/>
              <w:ind w:left="480"/>
              <w:rPr>
                <w:rFonts w:hint="eastAsia" w:ascii="宋体" w:hAnsi="宋体" w:eastAsia="宋体" w:cs="宋体"/>
                <w:snapToGrid/>
                <w:color w:val="auto"/>
                <w:kern w:val="2"/>
                <w:lang w:eastAsia="zh-CN"/>
              </w:rPr>
            </w:pPr>
            <w:r>
              <w:rPr>
                <w:rFonts w:hint="eastAsia" w:ascii="宋体" w:hAnsi="宋体" w:eastAsia="宋体" w:cs="宋体"/>
                <w:snapToGrid/>
                <w:color w:val="auto"/>
                <w:kern w:val="2"/>
                <w:lang w:eastAsia="zh-CN"/>
              </w:rPr>
              <w:t>10</w:t>
            </w:r>
          </w:p>
        </w:tc>
      </w:tr>
    </w:tbl>
    <w:p>
      <w:pPr>
        <w:pStyle w:val="3"/>
        <w:numPr>
          <w:ilvl w:val="1"/>
          <w:numId w:val="0"/>
        </w:numPr>
        <w:spacing w:before="312" w:after="93" w:line="560" w:lineRule="exact"/>
        <w:rPr>
          <w:rFonts w:hint="eastAsia" w:ascii="宋体" w:hAnsi="宋体" w:eastAsia="宋体" w:cs="宋体"/>
        </w:rPr>
      </w:pPr>
      <w:bookmarkStart w:id="33" w:name="_Toc934"/>
      <w:bookmarkStart w:id="34" w:name="_Toc21310"/>
      <w:bookmarkStart w:id="35" w:name="_Toc17490"/>
      <w:bookmarkStart w:id="36" w:name="_Toc25719"/>
      <w:r>
        <w:rPr>
          <w:rFonts w:hint="eastAsia" w:ascii="宋体" w:hAnsi="宋体" w:eastAsia="宋体" w:cs="宋体"/>
        </w:rPr>
        <w:t>5.2室内消火栓</w:t>
      </w:r>
      <w:bookmarkEnd w:id="33"/>
      <w:bookmarkEnd w:id="34"/>
      <w:bookmarkEnd w:id="35"/>
      <w:bookmarkEnd w:id="36"/>
    </w:p>
    <w:p>
      <w:pPr>
        <w:pStyle w:val="39"/>
        <w:spacing w:line="560" w:lineRule="exact"/>
        <w:rPr>
          <w:rFonts w:hint="eastAsia" w:ascii="宋体" w:hAnsi="宋体" w:eastAsia="宋体" w:cs="宋体"/>
          <w:snapToGrid/>
          <w:color w:val="auto"/>
          <w:kern w:val="2"/>
          <w:sz w:val="28"/>
          <w:szCs w:val="24"/>
          <w:lang w:eastAsia="zh-CN"/>
        </w:rPr>
      </w:pPr>
      <w:r>
        <w:rPr>
          <w:rFonts w:hint="eastAsia" w:ascii="宋体" w:hAnsi="宋体" w:eastAsia="宋体" w:cs="宋体"/>
          <w:b/>
          <w:bCs/>
          <w:snapToGrid/>
          <w:color w:val="auto"/>
          <w:kern w:val="2"/>
          <w:sz w:val="28"/>
          <w:szCs w:val="24"/>
          <w:lang w:eastAsia="zh-CN"/>
        </w:rPr>
        <w:t>5.2.1</w:t>
      </w:r>
      <w:r>
        <w:rPr>
          <w:rFonts w:hint="eastAsia" w:ascii="宋体" w:hAnsi="宋体" w:eastAsia="宋体" w:cs="宋体"/>
          <w:snapToGrid/>
          <w:color w:val="auto"/>
          <w:kern w:val="2"/>
          <w:sz w:val="28"/>
          <w:szCs w:val="24"/>
          <w:lang w:val="en-US" w:eastAsia="zh-CN"/>
        </w:rPr>
        <w:t xml:space="preserve">  </w:t>
      </w:r>
      <w:r>
        <w:rPr>
          <w:rFonts w:hint="eastAsia" w:ascii="宋体" w:hAnsi="宋体" w:eastAsia="宋体" w:cs="宋体"/>
          <w:snapToGrid/>
          <w:color w:val="auto"/>
          <w:kern w:val="2"/>
          <w:sz w:val="28"/>
          <w:szCs w:val="24"/>
          <w:lang w:eastAsia="zh-CN"/>
        </w:rPr>
        <w:t>大、中型电动自行车停车棚应设置室内消火栓系统，并应配置消防软管卷盘；当建筑物根据国家消防技术标准不必设置室内消防给水系统时，应设置消防软管卷盘或轻便消防水龙，其布置应满足同一平面有 2支消防软管卷盘或轻便消防水龙的 2 股水柱同时到达任何部位的要求，布置间距不应大于 30.0 m。室内消火栓设计流量不应小于表8.1.2的规定。消火栓栓口动压不应小于0.25MPa,且消防水枪充实水柱应按10m计算。</w:t>
      </w:r>
    </w:p>
    <w:p>
      <w:pPr>
        <w:widowControl w:val="0"/>
        <w:kinsoku/>
        <w:autoSpaceDE/>
        <w:adjustRightInd/>
        <w:snapToGrid/>
        <w:spacing w:line="560" w:lineRule="exact"/>
        <w:ind w:left="960" w:firstLine="480"/>
        <w:jc w:val="center"/>
        <w:rPr>
          <w:rFonts w:hint="eastAsia" w:ascii="宋体" w:hAnsi="宋体" w:eastAsia="宋体" w:cs="宋体"/>
          <w:b/>
          <w:bCs/>
          <w:snapToGrid/>
          <w:color w:val="auto"/>
          <w:kern w:val="2"/>
          <w:sz w:val="18"/>
          <w:szCs w:val="18"/>
          <w:lang w:eastAsia="zh-CN"/>
        </w:rPr>
      </w:pPr>
      <w:r>
        <w:rPr>
          <w:rFonts w:hint="eastAsia" w:ascii="宋体" w:hAnsi="宋体" w:eastAsia="宋体" w:cs="宋体"/>
          <w:b/>
          <w:bCs/>
          <w:snapToGrid/>
          <w:color w:val="auto"/>
          <w:kern w:val="2"/>
          <w:sz w:val="18"/>
          <w:szCs w:val="18"/>
          <w:lang w:eastAsia="zh-CN"/>
        </w:rPr>
        <w:t>表5.1.2 电动自行车停车库室内消火栓设计流量（L/s）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1706"/>
        <w:gridCol w:w="2106"/>
        <w:gridCol w:w="1915"/>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建筑物名称</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规模</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消火栓设计流量（L/s）</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同时使用消防水枪数（支）</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每根竖管</w:t>
            </w:r>
          </w:p>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最小流量（L/s）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电动自行车停车库</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大型</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4</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kinsoku/>
              <w:autoSpaceDE/>
              <w:autoSpaceDN/>
              <w:adjustRightInd/>
              <w:snapToGrid/>
              <w:spacing w:line="560" w:lineRule="exact"/>
              <w:jc w:val="both"/>
              <w:rPr>
                <w:rFonts w:hint="eastAsia" w:ascii="宋体" w:hAnsi="宋体" w:eastAsia="宋体" w:cs="宋体"/>
                <w:color w:val="auto"/>
                <w:spacing w:val="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中型、小型、微型</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10</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2</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kinsoku/>
              <w:autoSpaceDE/>
              <w:adjustRightInd/>
              <w:snapToGrid/>
              <w:spacing w:line="560" w:lineRule="exact"/>
              <w:ind w:left="480" w:firstLine="432"/>
              <w:jc w:val="both"/>
              <w:rPr>
                <w:rFonts w:hint="eastAsia" w:ascii="宋体" w:hAnsi="宋体" w:eastAsia="宋体" w:cs="宋体"/>
                <w:color w:val="auto"/>
                <w:spacing w:val="8"/>
                <w:lang w:eastAsia="zh-CN"/>
              </w:rPr>
            </w:pPr>
            <w:r>
              <w:rPr>
                <w:rFonts w:hint="eastAsia" w:ascii="宋体" w:hAnsi="宋体" w:eastAsia="宋体" w:cs="宋体"/>
                <w:color w:val="auto"/>
                <w:spacing w:val="8"/>
                <w:lang w:eastAsia="zh-CN"/>
              </w:rPr>
              <w:t>10</w:t>
            </w:r>
          </w:p>
        </w:tc>
      </w:tr>
    </w:tbl>
    <w:p>
      <w:pPr>
        <w:pStyle w:val="3"/>
        <w:numPr>
          <w:ilvl w:val="1"/>
          <w:numId w:val="0"/>
        </w:numPr>
        <w:spacing w:before="312" w:after="93" w:line="560" w:lineRule="exact"/>
        <w:rPr>
          <w:rFonts w:hint="eastAsia" w:ascii="宋体" w:hAnsi="宋体" w:eastAsia="宋体" w:cs="宋体"/>
        </w:rPr>
      </w:pPr>
      <w:bookmarkStart w:id="37" w:name="_Toc26709"/>
      <w:bookmarkStart w:id="38" w:name="_Toc12172"/>
      <w:bookmarkStart w:id="39" w:name="_Toc31320"/>
      <w:bookmarkStart w:id="40" w:name="_Toc14852"/>
      <w:r>
        <w:rPr>
          <w:rFonts w:hint="eastAsia" w:ascii="宋体" w:hAnsi="宋体" w:eastAsia="宋体" w:cs="宋体"/>
        </w:rPr>
        <w:t>5.3 自动灭火设施</w:t>
      </w:r>
      <w:bookmarkEnd w:id="37"/>
      <w:bookmarkEnd w:id="38"/>
      <w:bookmarkEnd w:id="39"/>
      <w:bookmarkEnd w:id="40"/>
    </w:p>
    <w:p>
      <w:pPr>
        <w:pStyle w:val="9"/>
        <w:spacing w:before="65" w:line="560" w:lineRule="exact"/>
        <w:ind w:left="3"/>
        <w:outlineLvl w:val="3"/>
        <w:rPr>
          <w:rFonts w:hint="eastAsia" w:ascii="宋体" w:hAnsi="宋体" w:eastAsia="宋体" w:cs="宋体"/>
          <w:snapToGrid/>
          <w:color w:val="auto"/>
          <w:kern w:val="2"/>
          <w:szCs w:val="24"/>
          <w:lang w:eastAsia="zh-CN"/>
        </w:rPr>
      </w:pPr>
      <w:r>
        <w:rPr>
          <w:rFonts w:hint="eastAsia" w:ascii="宋体" w:hAnsi="宋体" w:eastAsia="宋体" w:cs="宋体"/>
          <w:b/>
          <w:bCs/>
          <w:snapToGrid/>
          <w:color w:val="auto"/>
          <w:kern w:val="2"/>
          <w:szCs w:val="24"/>
          <w:lang w:eastAsia="zh-CN"/>
        </w:rPr>
        <w:t xml:space="preserve">5.3.1 </w:t>
      </w:r>
      <w:r>
        <w:rPr>
          <w:rFonts w:hint="eastAsia" w:ascii="宋体" w:hAnsi="宋体" w:eastAsia="宋体" w:cs="宋体"/>
          <w:snapToGrid/>
          <w:color w:val="auto"/>
          <w:kern w:val="2"/>
          <w:szCs w:val="24"/>
          <w:lang w:eastAsia="zh-CN"/>
        </w:rPr>
        <w:t xml:space="preserve"> 大、中型电动自行车停车棚应设置自动喷水灭火系统，火灾危险等级按照中危Ⅱ级进行设计，系统的设计喷水强度不应小于8.0L/(min•㎡)，作用面积不小于160㎡，持续喷水时间不应低于1h，最不利点处洒水喷头的工作压力不应低于0.05MPa，并应采用快速响应洒水喷头。 敞开式电动自行车库的自动喷水灭火系统应采取相应的防冻措施。</w:t>
      </w:r>
    </w:p>
    <w:p>
      <w:pPr>
        <w:pStyle w:val="9"/>
        <w:spacing w:before="65" w:line="560" w:lineRule="exact"/>
        <w:ind w:left="3"/>
        <w:outlineLvl w:val="3"/>
        <w:rPr>
          <w:rFonts w:hint="eastAsia" w:ascii="宋体" w:hAnsi="宋体" w:eastAsia="宋体" w:cs="宋体"/>
          <w:snapToGrid/>
          <w:color w:val="auto"/>
          <w:kern w:val="2"/>
          <w:szCs w:val="24"/>
          <w:lang w:eastAsia="zh-CN"/>
        </w:rPr>
      </w:pPr>
      <w:r>
        <w:rPr>
          <w:rFonts w:hint="eastAsia" w:ascii="宋体" w:hAnsi="宋体" w:eastAsia="宋体" w:cs="宋体"/>
          <w:b/>
          <w:bCs/>
          <w:snapToGrid/>
          <w:color w:val="auto"/>
          <w:kern w:val="2"/>
          <w:szCs w:val="24"/>
          <w:lang w:eastAsia="zh-CN"/>
        </w:rPr>
        <w:t>5.3.2</w:t>
      </w:r>
      <w:r>
        <w:rPr>
          <w:rFonts w:hint="eastAsia" w:ascii="宋体" w:hAnsi="宋体" w:eastAsia="宋体" w:cs="宋体"/>
          <w:b/>
          <w:bCs/>
          <w:snapToGrid/>
          <w:color w:val="auto"/>
          <w:kern w:val="2"/>
          <w:szCs w:val="24"/>
          <w:lang w:val="en-US" w:eastAsia="zh-CN"/>
        </w:rPr>
        <w:t xml:space="preserve">  </w:t>
      </w:r>
      <w:r>
        <w:rPr>
          <w:rFonts w:hint="eastAsia" w:ascii="宋体" w:hAnsi="宋体" w:eastAsia="宋体" w:cs="宋体"/>
          <w:snapToGrid/>
          <w:color w:val="auto"/>
          <w:kern w:val="2"/>
          <w:szCs w:val="24"/>
          <w:lang w:eastAsia="zh-CN"/>
        </w:rPr>
        <w:t>既有住宅小区仅设有室内消火栓系统的，大、中型电动自行车停车棚除设置室内消火栓系统外，同时应设置局部应用自动喷水灭火系统，由室内消火栓系统供水，系统的设计喷水强度不应小于6.0L/(min•㎡)，作用面积不小于160㎡，持续喷水时间不应低于0.5h，最不利点处洒水喷头的工作压力不应低于0.05MPa，并应采用快速响应洒水喷头。</w:t>
      </w:r>
    </w:p>
    <w:p>
      <w:pPr>
        <w:pStyle w:val="3"/>
        <w:numPr>
          <w:ilvl w:val="1"/>
          <w:numId w:val="0"/>
        </w:numPr>
        <w:spacing w:before="312" w:after="93" w:line="560" w:lineRule="exact"/>
        <w:rPr>
          <w:rFonts w:hint="eastAsia" w:ascii="宋体" w:hAnsi="宋体" w:eastAsia="宋体" w:cs="宋体"/>
        </w:rPr>
      </w:pPr>
      <w:bookmarkStart w:id="41" w:name="_Toc28883"/>
      <w:bookmarkStart w:id="42" w:name="_Toc8421"/>
      <w:bookmarkStart w:id="43" w:name="_Toc4518"/>
      <w:bookmarkStart w:id="44" w:name="_Toc23036"/>
      <w:r>
        <w:rPr>
          <w:rFonts w:hint="eastAsia" w:ascii="宋体" w:hAnsi="宋体" w:eastAsia="宋体" w:cs="宋体"/>
        </w:rPr>
        <w:t>5.4 建筑灭火器</w:t>
      </w:r>
      <w:bookmarkEnd w:id="41"/>
      <w:bookmarkEnd w:id="42"/>
      <w:bookmarkEnd w:id="43"/>
      <w:bookmarkEnd w:id="44"/>
    </w:p>
    <w:p>
      <w:pPr>
        <w:spacing w:line="560" w:lineRule="exact"/>
        <w:rPr>
          <w:rFonts w:hint="eastAsia" w:ascii="宋体" w:hAnsi="宋体" w:eastAsia="宋体" w:cs="宋体"/>
          <w:snapToGrid/>
          <w:color w:val="auto"/>
          <w:kern w:val="2"/>
          <w:sz w:val="28"/>
          <w:szCs w:val="24"/>
          <w:lang w:eastAsia="zh-CN"/>
        </w:rPr>
      </w:pPr>
      <w:r>
        <w:rPr>
          <w:rFonts w:hint="eastAsia" w:ascii="宋体" w:hAnsi="宋体" w:eastAsia="宋体" w:cs="宋体"/>
          <w:b/>
          <w:bCs/>
          <w:snapToGrid/>
          <w:color w:val="auto"/>
          <w:kern w:val="2"/>
          <w:sz w:val="28"/>
          <w:szCs w:val="24"/>
          <w:lang w:eastAsia="zh-CN"/>
        </w:rPr>
        <w:t>5.4.1</w:t>
      </w:r>
      <w:bookmarkStart w:id="45" w:name="_Hlk161852866"/>
      <w:r>
        <w:rPr>
          <w:rFonts w:hint="eastAsia" w:ascii="宋体" w:hAnsi="宋体" w:eastAsia="宋体" w:cs="宋体"/>
          <w:snapToGrid/>
          <w:color w:val="auto"/>
          <w:kern w:val="2"/>
          <w:sz w:val="28"/>
          <w:szCs w:val="24"/>
          <w:lang w:val="en-US" w:eastAsia="zh-CN"/>
        </w:rPr>
        <w:t xml:space="preserve">  </w:t>
      </w:r>
      <w:r>
        <w:rPr>
          <w:rFonts w:hint="eastAsia" w:ascii="宋体" w:hAnsi="宋体" w:eastAsia="宋体" w:cs="宋体"/>
          <w:snapToGrid/>
          <w:color w:val="auto"/>
          <w:kern w:val="2"/>
          <w:sz w:val="28"/>
          <w:szCs w:val="24"/>
          <w:lang w:eastAsia="zh-CN"/>
        </w:rPr>
        <w:t>电动自行车停车场（棚）应配置灭火器，灭火器配置的危险等级可按严重危险级确定，单具灭火器的灭火级别应不小于3A，灭火器宜采用能适用于A、E类火灾的灭火器，灭火器配置应符合现行国家标准《建筑灭火器配置设计规范》GB50140的规定。</w:t>
      </w:r>
      <w:bookmarkEnd w:id="45"/>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pStyle w:val="2"/>
        <w:numPr>
          <w:ilvl w:val="0"/>
          <w:numId w:val="0"/>
        </w:numPr>
        <w:jc w:val="center"/>
        <w:rPr>
          <w:rFonts w:hint="eastAsia" w:ascii="宋体" w:hAnsi="宋体" w:eastAsia="宋体" w:cs="宋体"/>
          <w:lang w:val="en-US" w:eastAsia="zh-CN"/>
        </w:rPr>
      </w:pPr>
      <w:r>
        <w:rPr>
          <w:rFonts w:hint="eastAsia" w:ascii="宋体" w:hAnsi="宋体" w:eastAsia="宋体" w:cs="宋体"/>
          <w:lang w:val="en-US" w:eastAsia="zh-CN"/>
        </w:rPr>
        <w:t xml:space="preserve"> </w:t>
      </w:r>
      <w:bookmarkStart w:id="46" w:name="_Toc27964"/>
      <w:bookmarkStart w:id="47" w:name="_Toc24917"/>
      <w:bookmarkStart w:id="48" w:name="_Toc22613"/>
      <w:r>
        <w:rPr>
          <w:rFonts w:hint="eastAsia" w:ascii="宋体" w:hAnsi="宋体" w:eastAsia="宋体" w:cs="宋体"/>
          <w:lang w:val="en-US" w:eastAsia="zh-CN"/>
        </w:rPr>
        <w:t>6电气防火</w:t>
      </w:r>
      <w:bookmarkEnd w:id="46"/>
      <w:bookmarkEnd w:id="47"/>
      <w:bookmarkEnd w:id="48"/>
    </w:p>
    <w:p>
      <w:pPr>
        <w:pStyle w:val="3"/>
        <w:numPr>
          <w:ilvl w:val="1"/>
          <w:numId w:val="0"/>
        </w:numPr>
        <w:spacing w:before="312" w:after="93"/>
        <w:rPr>
          <w:rFonts w:ascii="宋体" w:hAnsi="宋体" w:eastAsia="宋体" w:cs="宋体"/>
        </w:rPr>
      </w:pPr>
      <w:bookmarkStart w:id="49" w:name="_Toc29878"/>
      <w:bookmarkStart w:id="50" w:name="_Toc29669"/>
      <w:bookmarkStart w:id="51" w:name="_Toc22301"/>
      <w:bookmarkStart w:id="52" w:name="_Toc17993"/>
      <w:r>
        <w:rPr>
          <w:rFonts w:hint="eastAsia" w:ascii="宋体" w:hAnsi="宋体" w:eastAsia="宋体" w:cs="宋体"/>
        </w:rPr>
        <w:t>6.1 供配电系统</w:t>
      </w:r>
      <w:bookmarkEnd w:id="49"/>
      <w:bookmarkEnd w:id="50"/>
      <w:bookmarkEnd w:id="51"/>
      <w:bookmarkEnd w:id="52"/>
    </w:p>
    <w:p>
      <w:pPr>
        <w:rPr>
          <w:rFonts w:ascii="宋体" w:hAnsi="宋体" w:eastAsia="宋体" w:cs="宋体"/>
          <w:sz w:val="28"/>
          <w:szCs w:val="28"/>
        </w:rPr>
      </w:pPr>
      <w:r>
        <w:rPr>
          <w:rFonts w:hint="eastAsia" w:ascii="宋体" w:hAnsi="宋体" w:eastAsia="宋体" w:cs="宋体"/>
          <w:b/>
          <w:bCs/>
          <w:sz w:val="28"/>
          <w:szCs w:val="28"/>
        </w:rPr>
        <w:t>6.1.1</w:t>
      </w:r>
      <w:r>
        <w:rPr>
          <w:rFonts w:hint="eastAsia" w:ascii="宋体" w:hAnsi="宋体" w:eastAsia="宋体" w:cs="宋体"/>
          <w:sz w:val="28"/>
          <w:szCs w:val="28"/>
        </w:rPr>
        <w:t xml:space="preserve">  独立建设的大型、中型电动自行车停车场（棚）消防用电设备，可按二级负荷供电，小型、微型可按三级负荷供电。</w:t>
      </w:r>
    </w:p>
    <w:p>
      <w:pPr>
        <w:rPr>
          <w:rFonts w:ascii="宋体" w:hAnsi="宋体" w:eastAsia="宋体" w:cs="宋体"/>
          <w:sz w:val="28"/>
          <w:szCs w:val="28"/>
        </w:rPr>
      </w:pPr>
      <w:r>
        <w:rPr>
          <w:rFonts w:hint="eastAsia" w:ascii="宋体" w:hAnsi="宋体" w:eastAsia="宋体" w:cs="宋体"/>
          <w:b/>
          <w:bCs/>
          <w:sz w:val="28"/>
          <w:szCs w:val="28"/>
        </w:rPr>
        <w:t>6.1.2</w:t>
      </w:r>
      <w:r>
        <w:rPr>
          <w:rFonts w:hint="eastAsia" w:ascii="宋体" w:hAnsi="宋体" w:eastAsia="宋体" w:cs="宋体"/>
          <w:sz w:val="28"/>
          <w:szCs w:val="28"/>
        </w:rPr>
        <w:t xml:space="preserve">  电动自行车充电区域应采用专用充电设施，供电系统的容量应满足区域内用电负荷的要求，并留有一定裕度。</w:t>
      </w:r>
    </w:p>
    <w:p>
      <w:pPr>
        <w:rPr>
          <w:rFonts w:ascii="宋体" w:hAnsi="宋体" w:eastAsia="宋体" w:cs="宋体"/>
          <w:sz w:val="28"/>
          <w:szCs w:val="28"/>
        </w:rPr>
      </w:pPr>
      <w:r>
        <w:rPr>
          <w:rFonts w:hint="eastAsia" w:ascii="宋体" w:hAnsi="宋体" w:eastAsia="宋体" w:cs="宋体"/>
          <w:b/>
          <w:bCs/>
          <w:sz w:val="28"/>
          <w:szCs w:val="28"/>
        </w:rPr>
        <w:t>6.1.3</w:t>
      </w:r>
      <w:r>
        <w:rPr>
          <w:rFonts w:hint="eastAsia" w:ascii="宋体" w:hAnsi="宋体" w:eastAsia="宋体" w:cs="宋体"/>
          <w:sz w:val="28"/>
          <w:szCs w:val="28"/>
        </w:rPr>
        <w:t xml:space="preserve">  配电箱及配电线路应安装在不燃烧材料上，总配电箱宜设置在充电区外的主出入口附近。</w:t>
      </w:r>
    </w:p>
    <w:p>
      <w:pPr>
        <w:pStyle w:val="3"/>
        <w:numPr>
          <w:ilvl w:val="1"/>
          <w:numId w:val="0"/>
        </w:numPr>
        <w:spacing w:before="312" w:after="93"/>
        <w:rPr>
          <w:rFonts w:ascii="宋体" w:hAnsi="宋体" w:eastAsia="宋体" w:cs="宋体"/>
        </w:rPr>
      </w:pPr>
      <w:bookmarkStart w:id="53" w:name="_Toc15002"/>
      <w:bookmarkStart w:id="54" w:name="_Toc7403"/>
      <w:bookmarkStart w:id="55" w:name="_Toc688"/>
      <w:bookmarkStart w:id="56" w:name="_Toc14904"/>
      <w:r>
        <w:rPr>
          <w:rFonts w:hint="eastAsia" w:ascii="宋体" w:hAnsi="宋体" w:eastAsia="宋体" w:cs="宋体"/>
        </w:rPr>
        <w:t>6.2线缆选型及敷设</w:t>
      </w:r>
      <w:bookmarkEnd w:id="53"/>
      <w:bookmarkEnd w:id="54"/>
      <w:bookmarkEnd w:id="55"/>
      <w:bookmarkEnd w:id="56"/>
    </w:p>
    <w:p>
      <w:pPr>
        <w:rPr>
          <w:rFonts w:ascii="宋体" w:hAnsi="宋体" w:eastAsia="宋体" w:cs="宋体"/>
          <w:sz w:val="28"/>
          <w:szCs w:val="28"/>
        </w:rPr>
      </w:pPr>
      <w:r>
        <w:rPr>
          <w:rFonts w:hint="eastAsia" w:ascii="宋体" w:hAnsi="宋体" w:eastAsia="宋体" w:cs="宋体"/>
          <w:b/>
          <w:bCs/>
          <w:sz w:val="28"/>
          <w:szCs w:val="28"/>
        </w:rPr>
        <w:t>6.2.1</w:t>
      </w:r>
      <w:bookmarkStart w:id="57" w:name="_Hlk162111589"/>
      <w:r>
        <w:rPr>
          <w:rFonts w:hint="eastAsia" w:ascii="宋体" w:hAnsi="宋体" w:eastAsia="宋体" w:cs="宋体"/>
          <w:sz w:val="28"/>
          <w:szCs w:val="28"/>
        </w:rPr>
        <w:t xml:space="preserve"> 电动自行车充电设备应由专业人员施工，电气产品、线缆应采用符合现行国家标准的合格产品，电气线路敷设应符合现行国家标准的规定。</w:t>
      </w:r>
      <w:bookmarkEnd w:id="57"/>
    </w:p>
    <w:p>
      <w:pPr>
        <w:pStyle w:val="3"/>
        <w:numPr>
          <w:ilvl w:val="1"/>
          <w:numId w:val="0"/>
        </w:numPr>
        <w:spacing w:before="312" w:after="93"/>
        <w:rPr>
          <w:rFonts w:ascii="宋体" w:hAnsi="宋体" w:eastAsia="宋体" w:cs="宋体"/>
        </w:rPr>
      </w:pPr>
      <w:bookmarkStart w:id="58" w:name="_Toc4457"/>
      <w:bookmarkStart w:id="59" w:name="_Toc16890"/>
      <w:bookmarkStart w:id="60" w:name="_Toc28124"/>
      <w:bookmarkStart w:id="61" w:name="_Toc5645"/>
      <w:r>
        <w:rPr>
          <w:rFonts w:hint="eastAsia" w:ascii="宋体" w:hAnsi="宋体" w:eastAsia="宋体" w:cs="宋体"/>
        </w:rPr>
        <w:t>6.3 火灾自动报警系统</w:t>
      </w:r>
      <w:bookmarkEnd w:id="58"/>
      <w:bookmarkEnd w:id="59"/>
      <w:bookmarkEnd w:id="60"/>
      <w:bookmarkEnd w:id="61"/>
    </w:p>
    <w:p>
      <w:pPr>
        <w:rPr>
          <w:rFonts w:ascii="宋体" w:hAnsi="宋体" w:eastAsia="宋体" w:cs="宋体"/>
          <w:sz w:val="28"/>
          <w:szCs w:val="28"/>
        </w:rPr>
      </w:pPr>
      <w:r>
        <w:rPr>
          <w:rFonts w:hint="eastAsia" w:ascii="宋体" w:hAnsi="宋体" w:eastAsia="宋体" w:cs="宋体"/>
          <w:b/>
          <w:bCs/>
          <w:sz w:val="28"/>
          <w:szCs w:val="28"/>
        </w:rPr>
        <w:t xml:space="preserve">6.3.1  </w:t>
      </w:r>
      <w:r>
        <w:rPr>
          <w:rFonts w:hint="eastAsia" w:ascii="宋体" w:hAnsi="宋体" w:eastAsia="宋体" w:cs="宋体"/>
          <w:sz w:val="28"/>
          <w:szCs w:val="28"/>
        </w:rPr>
        <w:t>大、中型电动自行车停车棚宜设置电气火灾监控系统，系统的设计应符合现行国家标准《火灾自动报警系统设计规范》 GB50116的相关规定。</w:t>
      </w:r>
    </w:p>
    <w:p>
      <w:pPr>
        <w:rPr>
          <w:rFonts w:ascii="宋体" w:hAnsi="宋体" w:eastAsia="宋体" w:cs="宋体"/>
          <w:sz w:val="28"/>
          <w:szCs w:val="28"/>
        </w:rPr>
      </w:pPr>
      <w:r>
        <w:rPr>
          <w:rFonts w:hint="eastAsia" w:ascii="宋体" w:hAnsi="宋体" w:eastAsia="宋体" w:cs="宋体"/>
          <w:b/>
          <w:bCs/>
          <w:sz w:val="28"/>
          <w:szCs w:val="28"/>
        </w:rPr>
        <w:t xml:space="preserve">6.3.2  </w:t>
      </w:r>
      <w:r>
        <w:rPr>
          <w:rFonts w:hint="eastAsia" w:ascii="宋体" w:hAnsi="宋体" w:eastAsia="宋体" w:cs="宋体"/>
          <w:sz w:val="28"/>
          <w:szCs w:val="28"/>
        </w:rPr>
        <w:t>电动自行车停车棚宜采用具备无线通讯功能的独立式感烟火灾探测报警器，独立式感烟火灾探测报警器的信号应反馈至消防控制室或有人值守的值班室。</w:t>
      </w:r>
    </w:p>
    <w:p>
      <w:pPr>
        <w:pStyle w:val="3"/>
        <w:numPr>
          <w:ilvl w:val="1"/>
          <w:numId w:val="0"/>
        </w:numPr>
        <w:spacing w:before="312" w:after="93"/>
      </w:pPr>
      <w:bookmarkStart w:id="62" w:name="_Toc5617"/>
      <w:bookmarkStart w:id="63" w:name="_Toc10720"/>
      <w:bookmarkStart w:id="64" w:name="_Toc29116"/>
      <w:bookmarkStart w:id="65" w:name="_Toc18500"/>
      <w:r>
        <w:rPr>
          <w:rFonts w:hint="eastAsia"/>
        </w:rPr>
        <w:t>6.</w:t>
      </w:r>
      <w:r>
        <w:t>4</w:t>
      </w:r>
      <w:r>
        <w:rPr>
          <w:rFonts w:hint="eastAsia"/>
        </w:rPr>
        <w:t xml:space="preserve"> 充电设施及场所防火</w:t>
      </w:r>
      <w:bookmarkEnd w:id="62"/>
      <w:bookmarkEnd w:id="63"/>
      <w:bookmarkEnd w:id="64"/>
      <w:bookmarkEnd w:id="65"/>
    </w:p>
    <w:p>
      <w:pPr>
        <w:rPr>
          <w:rFonts w:hint="eastAsia" w:ascii="宋体" w:hAnsi="宋体" w:eastAsia="宋体" w:cs="宋体"/>
        </w:rPr>
      </w:pPr>
      <w:r>
        <w:rPr>
          <w:rFonts w:hint="eastAsia" w:ascii="宋体" w:hAnsi="宋体" w:eastAsia="宋体" w:cs="宋体"/>
          <w:b/>
          <w:bCs/>
          <w:sz w:val="28"/>
          <w:szCs w:val="28"/>
        </w:rPr>
        <w:t>6.4.1</w:t>
      </w:r>
      <w:r>
        <w:rPr>
          <w:rFonts w:hint="eastAsia" w:ascii="宋体" w:hAnsi="宋体" w:eastAsia="宋体" w:cs="宋体"/>
          <w:sz w:val="28"/>
          <w:szCs w:val="28"/>
        </w:rPr>
        <w:t xml:space="preserve">  电动自行车集中充电设施应具备自动断电、过载保护、短路保护、剩余电流保护等功能并应符合现行有关电动自行车集中充电设施设备技术的要求。</w:t>
      </w:r>
    </w:p>
    <w:p>
      <w:pPr>
        <w:rPr>
          <w:rFonts w:ascii="宋体" w:hAnsi="宋体" w:eastAsia="宋体" w:cs="宋体"/>
          <w:color w:val="FF0000"/>
          <w:sz w:val="28"/>
          <w:szCs w:val="28"/>
        </w:rPr>
      </w:pPr>
      <w:r>
        <w:rPr>
          <w:rFonts w:hint="eastAsia" w:ascii="宋体" w:hAnsi="宋体" w:eastAsia="宋体" w:cs="宋体"/>
          <w:b/>
          <w:bCs/>
          <w:sz w:val="28"/>
          <w:szCs w:val="28"/>
        </w:rPr>
        <w:t>6.4.2</w:t>
      </w:r>
      <w:bookmarkStart w:id="66" w:name="_Hlk162111401"/>
      <w:bookmarkStart w:id="67" w:name="_Hlk162527891"/>
      <w:r>
        <w:rPr>
          <w:rFonts w:hint="eastAsia" w:ascii="宋体" w:hAnsi="宋体" w:eastAsia="宋体" w:cs="宋体"/>
          <w:sz w:val="28"/>
          <w:szCs w:val="28"/>
        </w:rPr>
        <w:t xml:space="preserve">  电动自行车停车</w:t>
      </w:r>
      <w:bookmarkEnd w:id="66"/>
      <w:r>
        <w:rPr>
          <w:rFonts w:hint="eastAsia" w:ascii="宋体" w:hAnsi="宋体" w:eastAsia="宋体" w:cs="宋体"/>
          <w:sz w:val="28"/>
          <w:szCs w:val="28"/>
        </w:rPr>
        <w:t>场（棚）</w:t>
      </w:r>
      <w:bookmarkEnd w:id="67"/>
      <w:r>
        <w:rPr>
          <w:rFonts w:hint="eastAsia" w:ascii="宋体" w:hAnsi="宋体" w:eastAsia="宋体" w:cs="宋体"/>
          <w:sz w:val="28"/>
          <w:szCs w:val="28"/>
        </w:rPr>
        <w:t>的配电箱、充电装置、线路等应具备防撞功能、应设置防水措施。 电动自行车停车棚配电箱的防护等级应不低于 IP54。</w:t>
      </w:r>
    </w:p>
    <w:p>
      <w:pPr>
        <w:rPr>
          <w:rFonts w:ascii="宋体" w:hAnsi="宋体" w:eastAsia="宋体" w:cs="宋体"/>
          <w:sz w:val="28"/>
          <w:szCs w:val="28"/>
        </w:rPr>
      </w:pPr>
      <w:r>
        <w:rPr>
          <w:rFonts w:hint="eastAsia" w:ascii="宋体" w:hAnsi="宋体" w:eastAsia="宋体" w:cs="宋体"/>
          <w:b/>
          <w:bCs/>
          <w:sz w:val="28"/>
          <w:szCs w:val="28"/>
        </w:rPr>
        <w:t>6.4.3</w:t>
      </w:r>
      <w:r>
        <w:rPr>
          <w:rFonts w:hint="eastAsia" w:ascii="宋体" w:hAnsi="宋体" w:eastAsia="宋体" w:cs="宋体"/>
          <w:sz w:val="28"/>
          <w:szCs w:val="28"/>
        </w:rPr>
        <w:t xml:space="preserve">  充电插座应选用安全型插座，充电插座的间距不应小于600mm。</w:t>
      </w:r>
    </w:p>
    <w:p>
      <w:pPr>
        <w:rPr>
          <w:rFonts w:ascii="宋体" w:hAnsi="宋体" w:eastAsia="宋体" w:cs="宋体"/>
          <w:sz w:val="28"/>
          <w:szCs w:val="28"/>
        </w:rPr>
      </w:pPr>
      <w:r>
        <w:rPr>
          <w:rFonts w:hint="eastAsia" w:ascii="宋体" w:hAnsi="宋体" w:eastAsia="宋体" w:cs="宋体"/>
          <w:b/>
          <w:bCs/>
          <w:sz w:val="28"/>
          <w:szCs w:val="28"/>
        </w:rPr>
        <w:t>6.4.4</w:t>
      </w:r>
      <w:r>
        <w:rPr>
          <w:rFonts w:hint="eastAsia" w:ascii="宋体" w:hAnsi="宋体" w:eastAsia="宋体" w:cs="宋体"/>
          <w:sz w:val="28"/>
          <w:szCs w:val="28"/>
        </w:rPr>
        <w:t xml:space="preserve">  防雷等级应按现行国家标准《建筑物防雷设计规范》GB50057计算后确定，并采取相应防雷措施。集中停放场所内的所有固定金属设备均应可靠接地。</w:t>
      </w:r>
    </w:p>
    <w:p>
      <w:pPr>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numPr>
          <w:ilvl w:val="0"/>
          <w:numId w:val="0"/>
        </w:numPr>
        <w:jc w:val="center"/>
        <w:rPr>
          <w:rFonts w:hint="eastAsia" w:ascii="宋体" w:hAnsi="宋体" w:eastAsia="宋体" w:cs="宋体"/>
          <w:lang w:val="en-US" w:eastAsia="zh-CN"/>
        </w:rPr>
      </w:pPr>
      <w:bookmarkStart w:id="68" w:name="_Toc29542"/>
      <w:bookmarkStart w:id="69" w:name="_Toc18403"/>
      <w:bookmarkStart w:id="70" w:name="_Toc27162"/>
      <w:r>
        <w:rPr>
          <w:rFonts w:hint="eastAsia" w:ascii="宋体" w:hAnsi="宋体" w:eastAsia="宋体" w:cs="宋体"/>
          <w:lang w:val="en-US" w:eastAsia="zh-CN"/>
        </w:rPr>
        <w:t>用词说明</w:t>
      </w:r>
      <w:bookmarkEnd w:id="68"/>
      <w:bookmarkEnd w:id="69"/>
      <w:bookmarkEnd w:id="70"/>
    </w:p>
    <w:p>
      <w:pPr>
        <w:pStyle w:val="38"/>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1</w:t>
      </w:r>
      <w:r>
        <w:rPr>
          <w:rFonts w:hint="eastAsia" w:ascii="宋体" w:hAnsi="宋体" w:eastAsia="宋体" w:cs="宋体"/>
          <w:color w:val="auto"/>
          <w:sz w:val="28"/>
          <w:szCs w:val="28"/>
        </w:rPr>
        <w:t xml:space="preserve"> 为便于在执行本</w:t>
      </w:r>
      <w:r>
        <w:rPr>
          <w:rFonts w:hint="eastAsia" w:ascii="宋体" w:hAnsi="宋体" w:eastAsia="宋体" w:cs="宋体"/>
          <w:color w:val="auto"/>
          <w:sz w:val="28"/>
          <w:szCs w:val="28"/>
          <w:lang w:val="en-US" w:eastAsia="zh-CN"/>
        </w:rPr>
        <w:t>导则</w:t>
      </w:r>
      <w:r>
        <w:rPr>
          <w:rFonts w:hint="eastAsia" w:ascii="宋体" w:hAnsi="宋体" w:eastAsia="宋体" w:cs="宋体"/>
          <w:color w:val="auto"/>
          <w:sz w:val="28"/>
          <w:szCs w:val="28"/>
        </w:rPr>
        <w:t xml:space="preserve">条文时区别对待，对于要求严格程度不同的用词说明如下: </w:t>
      </w:r>
    </w:p>
    <w:p>
      <w:pPr>
        <w:pStyle w:val="38"/>
        <w:spacing w:line="360" w:lineRule="auto"/>
        <w:ind w:firstLine="562" w:firstLineChars="200"/>
        <w:rPr>
          <w:rFonts w:hint="eastAsia" w:ascii="宋体" w:hAnsi="宋体" w:eastAsia="宋体" w:cs="宋体"/>
          <w:color w:val="auto"/>
          <w:sz w:val="28"/>
          <w:szCs w:val="28"/>
        </w:rPr>
      </w:pPr>
      <w:bookmarkStart w:id="71" w:name="_Toc1618"/>
      <w:r>
        <w:rPr>
          <w:rFonts w:hint="eastAsia" w:ascii="宋体" w:hAnsi="宋体" w:eastAsia="宋体" w:cs="宋体"/>
          <w:b/>
          <w:bCs/>
          <w:color w:val="auto"/>
          <w:sz w:val="28"/>
          <w:szCs w:val="28"/>
        </w:rPr>
        <w:t>1</w:t>
      </w:r>
      <w:r>
        <w:rPr>
          <w:rFonts w:hint="eastAsia" w:ascii="宋体" w:hAnsi="宋体" w:eastAsia="宋体" w:cs="宋体"/>
          <w:color w:val="auto"/>
          <w:sz w:val="28"/>
          <w:szCs w:val="28"/>
        </w:rPr>
        <w:t>）表示很严格，非这样做不可的：</w:t>
      </w:r>
      <w:bookmarkEnd w:id="71"/>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正面词采用“必须”，反面词釆用“严禁”；</w:t>
      </w:r>
    </w:p>
    <w:p>
      <w:pPr>
        <w:pStyle w:val="38"/>
        <w:spacing w:line="360" w:lineRule="auto"/>
        <w:ind w:firstLine="562" w:firstLineChars="200"/>
        <w:rPr>
          <w:rFonts w:hint="eastAsia" w:ascii="宋体" w:hAnsi="宋体" w:eastAsia="宋体" w:cs="宋体"/>
          <w:color w:val="auto"/>
          <w:sz w:val="28"/>
          <w:szCs w:val="28"/>
        </w:rPr>
      </w:pPr>
      <w:bookmarkStart w:id="72" w:name="_Toc28938"/>
      <w:r>
        <w:rPr>
          <w:rFonts w:hint="eastAsia" w:ascii="宋体" w:hAnsi="宋体" w:eastAsia="宋体" w:cs="宋体"/>
          <w:b/>
          <w:bCs/>
          <w:color w:val="auto"/>
          <w:sz w:val="28"/>
          <w:szCs w:val="28"/>
        </w:rPr>
        <w:t>2</w:t>
      </w:r>
      <w:r>
        <w:rPr>
          <w:rFonts w:hint="eastAsia" w:ascii="宋体" w:hAnsi="宋体" w:eastAsia="宋体" w:cs="宋体"/>
          <w:color w:val="auto"/>
          <w:sz w:val="28"/>
          <w:szCs w:val="28"/>
        </w:rPr>
        <w:t>）表示严格，在正常情况下均应这样做的：</w:t>
      </w:r>
      <w:bookmarkEnd w:id="72"/>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正面词采用“应”，反面词采用“不应”或“不得”；</w:t>
      </w:r>
    </w:p>
    <w:p>
      <w:pPr>
        <w:pStyle w:val="38"/>
        <w:spacing w:line="360" w:lineRule="auto"/>
        <w:ind w:firstLine="562" w:firstLineChars="200"/>
        <w:rPr>
          <w:rFonts w:hint="eastAsia" w:ascii="宋体" w:hAnsi="宋体" w:eastAsia="宋体" w:cs="宋体"/>
          <w:color w:val="auto"/>
          <w:sz w:val="28"/>
          <w:szCs w:val="28"/>
        </w:rPr>
      </w:pPr>
      <w:bookmarkStart w:id="73" w:name="_Toc19609"/>
      <w:r>
        <w:rPr>
          <w:rFonts w:hint="eastAsia" w:ascii="宋体" w:hAnsi="宋体" w:eastAsia="宋体" w:cs="宋体"/>
          <w:b/>
          <w:bCs/>
          <w:color w:val="auto"/>
          <w:sz w:val="28"/>
          <w:szCs w:val="28"/>
        </w:rPr>
        <w:t>3</w:t>
      </w:r>
      <w:r>
        <w:rPr>
          <w:rFonts w:hint="eastAsia" w:ascii="宋体" w:hAnsi="宋体" w:eastAsia="宋体" w:cs="宋体"/>
          <w:color w:val="auto"/>
          <w:sz w:val="28"/>
          <w:szCs w:val="28"/>
        </w:rPr>
        <w:t>）表示允许稍有选择，在条件许可时首先应这样做的：</w:t>
      </w:r>
      <w:bookmarkEnd w:id="73"/>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正面词采用"宜”，反面词釆用“不宜”；</w:t>
      </w:r>
    </w:p>
    <w:p>
      <w:pPr>
        <w:pStyle w:val="38"/>
        <w:spacing w:line="360" w:lineRule="auto"/>
        <w:ind w:firstLine="562" w:firstLineChars="200"/>
        <w:rPr>
          <w:rFonts w:hint="eastAsia" w:ascii="宋体" w:hAnsi="宋体" w:eastAsia="宋体" w:cs="宋体"/>
          <w:color w:val="auto"/>
          <w:sz w:val="28"/>
          <w:szCs w:val="28"/>
        </w:rPr>
      </w:pPr>
      <w:bookmarkStart w:id="74" w:name="_Toc24118"/>
      <w:r>
        <w:rPr>
          <w:rFonts w:hint="eastAsia" w:ascii="宋体" w:hAnsi="宋体" w:eastAsia="宋体" w:cs="宋体"/>
          <w:b/>
          <w:bCs/>
          <w:color w:val="auto"/>
          <w:sz w:val="28"/>
          <w:szCs w:val="28"/>
        </w:rPr>
        <w:t>4</w:t>
      </w:r>
      <w:r>
        <w:rPr>
          <w:rFonts w:hint="eastAsia" w:ascii="宋体" w:hAnsi="宋体" w:eastAsia="宋体" w:cs="宋体"/>
          <w:color w:val="auto"/>
          <w:sz w:val="28"/>
          <w:szCs w:val="28"/>
        </w:rPr>
        <w:t>）表示有选择，在一定条件下可以这样做的，采用“可”。</w:t>
      </w:r>
      <w:bookmarkEnd w:id="74"/>
    </w:p>
    <w:p>
      <w:pPr>
        <w:pStyle w:val="38"/>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2</w:t>
      </w:r>
      <w:r>
        <w:rPr>
          <w:rFonts w:hint="eastAsia" w:ascii="宋体" w:hAnsi="宋体" w:eastAsia="宋体" w:cs="宋体"/>
          <w:color w:val="auto"/>
          <w:sz w:val="28"/>
          <w:szCs w:val="28"/>
        </w:rPr>
        <w:t xml:space="preserve"> 条文中指明应按其他有关标准执行的写法为：“应符合……的规定”或“应按……执行”。</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宋体" w:hAnsi="宋体" w:eastAsia="宋体" w:cs="宋体"/>
          <w:lang w:val="en-US" w:eastAsia="zh-CN"/>
        </w:rPr>
      </w:pPr>
      <w:bookmarkStart w:id="75" w:name="_Toc19157"/>
      <w:bookmarkStart w:id="76" w:name="_Toc8058"/>
      <w:bookmarkStart w:id="77" w:name="_Toc19023"/>
      <w:r>
        <w:rPr>
          <w:rFonts w:hint="eastAsia" w:ascii="宋体" w:hAnsi="宋体" w:eastAsia="宋体" w:cs="宋体"/>
          <w:lang w:val="en-US" w:eastAsia="zh-CN"/>
        </w:rPr>
        <w:t>引用标准名录</w:t>
      </w:r>
      <w:bookmarkEnd w:id="75"/>
      <w:bookmarkEnd w:id="76"/>
      <w:bookmarkEnd w:id="77"/>
    </w:p>
    <w:p>
      <w:pPr>
        <w:pStyle w:val="38"/>
        <w:spacing w:line="360" w:lineRule="auto"/>
        <w:ind w:firstLine="560" w:firstLineChars="200"/>
        <w:rPr>
          <w:rFonts w:ascii="宋体" w:hAnsi="宋体" w:eastAsia="宋体" w:cs="宋体"/>
          <w:color w:val="auto"/>
          <w:sz w:val="28"/>
          <w:szCs w:val="28"/>
          <w:shd w:val="clear" w:color="auto" w:fill="auto"/>
        </w:rPr>
      </w:pPr>
      <w:r>
        <w:rPr>
          <w:rFonts w:hint="default" w:ascii="宋体" w:hAnsi="宋体" w:eastAsia="宋体" w:cs="宋体"/>
          <w:color w:val="auto"/>
          <w:sz w:val="28"/>
          <w:szCs w:val="28"/>
          <w:shd w:val="clear" w:color="auto" w:fill="auto"/>
          <w:lang w:val="en-US" w:eastAsia="zh-CN"/>
        </w:rPr>
        <w:t>1</w:t>
      </w:r>
      <w:r>
        <w:rPr>
          <w:rFonts w:hint="default" w:ascii="宋体" w:hAnsi="宋体" w:eastAsia="宋体" w:cs="宋体"/>
          <w:color w:val="auto"/>
          <w:sz w:val="28"/>
          <w:szCs w:val="28"/>
          <w:shd w:val="clear" w:color="auto" w:fill="auto"/>
        </w:rPr>
        <w:t>《建筑防火通用规范》GB 55073</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default" w:ascii="宋体" w:hAnsi="宋体" w:eastAsia="宋体" w:cs="宋体"/>
          <w:color w:val="auto"/>
          <w:sz w:val="28"/>
          <w:szCs w:val="28"/>
          <w:shd w:val="clear" w:color="auto" w:fill="auto"/>
          <w:lang w:val="en-US" w:eastAsia="zh-CN"/>
        </w:rPr>
        <w:t>2</w:t>
      </w:r>
      <w:r>
        <w:rPr>
          <w:rFonts w:hint="default" w:ascii="宋体" w:hAnsi="宋体" w:eastAsia="宋体" w:cs="宋体"/>
          <w:color w:val="auto"/>
          <w:sz w:val="28"/>
          <w:szCs w:val="28"/>
          <w:shd w:val="clear" w:color="auto" w:fill="auto"/>
        </w:rPr>
        <w:t>《建筑设计防火规范》GB 50016</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default" w:ascii="宋体" w:hAnsi="宋体" w:eastAsia="宋体" w:cs="宋体"/>
          <w:color w:val="auto"/>
          <w:sz w:val="28"/>
          <w:szCs w:val="28"/>
          <w:shd w:val="clear" w:color="auto" w:fill="auto"/>
          <w:lang w:val="en-US" w:eastAsia="zh-CN"/>
        </w:rPr>
        <w:t>3</w:t>
      </w:r>
      <w:r>
        <w:rPr>
          <w:rFonts w:hint="default" w:ascii="宋体" w:hAnsi="宋体" w:eastAsia="宋体" w:cs="宋体"/>
          <w:color w:val="auto"/>
          <w:sz w:val="28"/>
          <w:szCs w:val="28"/>
          <w:shd w:val="clear" w:color="auto" w:fill="auto"/>
        </w:rPr>
        <w:t>《消防设施通用规范》GB 55036</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default" w:ascii="宋体" w:hAnsi="宋体" w:eastAsia="宋体" w:cs="宋体"/>
          <w:color w:val="auto"/>
          <w:sz w:val="28"/>
          <w:szCs w:val="28"/>
          <w:shd w:val="clear" w:color="auto" w:fill="auto"/>
          <w:lang w:val="en-US" w:eastAsia="zh-CN"/>
        </w:rPr>
        <w:t>4</w:t>
      </w:r>
      <w:r>
        <w:rPr>
          <w:rFonts w:hint="default" w:ascii="宋体" w:hAnsi="宋体" w:eastAsia="宋体" w:cs="宋体"/>
          <w:color w:val="auto"/>
          <w:sz w:val="28"/>
          <w:szCs w:val="28"/>
          <w:shd w:val="clear" w:color="auto" w:fill="auto"/>
        </w:rPr>
        <w:t>《民用建筑通用规范》GB 55031</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default" w:ascii="宋体" w:hAnsi="宋体" w:eastAsia="宋体" w:cs="宋体"/>
          <w:color w:val="auto"/>
          <w:kern w:val="0"/>
          <w:sz w:val="28"/>
          <w:szCs w:val="28"/>
          <w:shd w:val="clear" w:color="auto" w:fill="auto"/>
          <w:lang w:val="en-US" w:eastAsia="zh-CN"/>
        </w:rPr>
        <w:t>5</w:t>
      </w:r>
      <w:r>
        <w:rPr>
          <w:rFonts w:hint="default" w:ascii="宋体" w:hAnsi="宋体" w:eastAsia="宋体" w:cs="宋体"/>
          <w:color w:val="auto"/>
          <w:sz w:val="28"/>
          <w:szCs w:val="28"/>
          <w:shd w:val="clear" w:color="auto" w:fill="auto"/>
        </w:rPr>
        <w:t>《民用建筑设计统一标准》GB 50352</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default" w:ascii="宋体" w:hAnsi="宋体" w:eastAsia="宋体" w:cs="宋体"/>
          <w:color w:val="auto"/>
          <w:sz w:val="28"/>
          <w:szCs w:val="28"/>
          <w:shd w:val="clear" w:color="auto" w:fill="auto"/>
          <w:lang w:val="en-US" w:eastAsia="zh-CN"/>
        </w:rPr>
        <w:t>6</w:t>
      </w:r>
      <w:r>
        <w:rPr>
          <w:rFonts w:hint="default" w:ascii="宋体" w:hAnsi="宋体" w:eastAsia="宋体" w:cs="宋体"/>
          <w:color w:val="auto"/>
          <w:sz w:val="28"/>
          <w:szCs w:val="28"/>
          <w:shd w:val="clear" w:color="auto" w:fill="auto"/>
        </w:rPr>
        <w:t>《建筑结构荷载规范》</w:t>
      </w:r>
      <w:r>
        <w:rPr>
          <w:rFonts w:hint="eastAsia" w:ascii="宋体" w:hAnsi="宋体" w:eastAsia="宋体" w:cs="宋体"/>
          <w:color w:val="auto"/>
          <w:sz w:val="28"/>
          <w:szCs w:val="28"/>
          <w:shd w:val="clear" w:color="auto" w:fill="auto"/>
          <w:lang w:val="en-US" w:eastAsia="zh-CN"/>
        </w:rPr>
        <w:t xml:space="preserve"> </w:t>
      </w:r>
      <w:r>
        <w:rPr>
          <w:rFonts w:hint="default" w:ascii="宋体" w:hAnsi="宋体" w:eastAsia="宋体" w:cs="宋体"/>
          <w:color w:val="auto"/>
          <w:sz w:val="28"/>
          <w:szCs w:val="28"/>
          <w:shd w:val="clear" w:color="auto" w:fill="auto"/>
        </w:rPr>
        <w:t>GB 50009</w:t>
      </w:r>
    </w:p>
    <w:p>
      <w:pPr>
        <w:pStyle w:val="38"/>
        <w:spacing w:line="360" w:lineRule="auto"/>
        <w:ind w:firstLine="560" w:firstLineChars="200"/>
        <w:rPr>
          <w:rFonts w:ascii="宋体" w:hAnsi="宋体" w:eastAsia="宋体" w:cs="宋体"/>
          <w:color w:val="auto"/>
          <w:spacing w:val="0"/>
          <w:position w:val="0"/>
          <w:sz w:val="28"/>
          <w:szCs w:val="28"/>
          <w:shd w:val="clear" w:color="auto" w:fill="auto"/>
        </w:rPr>
      </w:pPr>
      <w:r>
        <w:rPr>
          <w:rFonts w:hint="default" w:ascii="宋体" w:hAnsi="宋体" w:eastAsia="宋体" w:cs="宋体"/>
          <w:color w:val="auto"/>
          <w:sz w:val="28"/>
          <w:szCs w:val="28"/>
          <w:shd w:val="clear" w:color="auto" w:fill="auto"/>
          <w:lang w:val="en-US" w:eastAsia="zh-CN"/>
        </w:rPr>
        <w:t>7《</w:t>
      </w:r>
      <w:r>
        <w:rPr>
          <w:rFonts w:ascii="宋体" w:hAnsi="宋体" w:eastAsia="宋体" w:cs="宋体"/>
          <w:color w:val="auto"/>
          <w:spacing w:val="0"/>
          <w:position w:val="0"/>
          <w:sz w:val="28"/>
          <w:szCs w:val="28"/>
          <w:shd w:val="clear" w:color="auto" w:fill="auto"/>
        </w:rPr>
        <w:t>汽车库、修车库、停车场设计防火规范</w:t>
      </w:r>
      <w:r>
        <w:rPr>
          <w:rFonts w:hint="default" w:ascii="宋体" w:hAnsi="宋体" w:eastAsia="宋体" w:cs="宋体"/>
          <w:color w:val="auto"/>
          <w:sz w:val="28"/>
          <w:szCs w:val="28"/>
          <w:shd w:val="clear" w:color="auto" w:fill="auto"/>
          <w:lang w:val="en-US" w:eastAsia="zh-CN"/>
        </w:rPr>
        <w:t>》</w:t>
      </w:r>
      <w:r>
        <w:rPr>
          <w:rFonts w:ascii="宋体" w:hAnsi="宋体" w:eastAsia="宋体" w:cs="宋体"/>
          <w:color w:val="auto"/>
          <w:position w:val="0"/>
          <w:sz w:val="28"/>
          <w:szCs w:val="28"/>
          <w:shd w:val="clear" w:color="auto" w:fill="auto"/>
        </w:rPr>
        <w:t>GB</w:t>
      </w:r>
      <w:r>
        <w:rPr>
          <w:rFonts w:ascii="宋体" w:hAnsi="宋体" w:eastAsia="宋体" w:cs="宋体"/>
          <w:color w:val="auto"/>
          <w:spacing w:val="0"/>
          <w:position w:val="0"/>
          <w:sz w:val="28"/>
          <w:szCs w:val="28"/>
          <w:shd w:val="clear" w:color="auto" w:fill="auto"/>
        </w:rPr>
        <w:t xml:space="preserve"> 50067</w:t>
      </w:r>
    </w:p>
    <w:p>
      <w:pPr>
        <w:pStyle w:val="38"/>
        <w:spacing w:line="360" w:lineRule="auto"/>
        <w:ind w:firstLine="560" w:firstLineChars="200"/>
        <w:rPr>
          <w:rFonts w:hint="default" w:ascii="宋体" w:hAnsi="宋体" w:eastAsia="宋体" w:cs="宋体"/>
          <w:color w:val="auto"/>
          <w:spacing w:val="0"/>
          <w:position w:val="0"/>
          <w:sz w:val="28"/>
          <w:szCs w:val="28"/>
          <w:shd w:val="clear" w:color="auto" w:fill="auto"/>
          <w:lang w:val="en-US" w:eastAsia="zh-CN"/>
        </w:rPr>
      </w:pPr>
      <w:r>
        <w:rPr>
          <w:rFonts w:hint="default" w:ascii="宋体" w:hAnsi="宋体" w:eastAsia="宋体" w:cs="宋体"/>
          <w:color w:val="auto"/>
          <w:spacing w:val="0"/>
          <w:position w:val="0"/>
          <w:sz w:val="28"/>
          <w:szCs w:val="28"/>
          <w:shd w:val="clear" w:color="auto" w:fill="auto"/>
          <w:lang w:val="en-US" w:eastAsia="zh-CN"/>
        </w:rPr>
        <w:t>8《</w:t>
      </w:r>
      <w:r>
        <w:rPr>
          <w:rFonts w:ascii="宋体" w:hAnsi="宋体" w:eastAsia="宋体" w:cs="宋体"/>
          <w:color w:val="auto"/>
          <w:spacing w:val="0"/>
          <w:sz w:val="28"/>
          <w:szCs w:val="28"/>
          <w:shd w:val="clear" w:color="auto" w:fill="auto"/>
        </w:rPr>
        <w:t>电动自行车安全技术规范</w:t>
      </w:r>
      <w:r>
        <w:rPr>
          <w:rFonts w:hint="default" w:ascii="宋体" w:hAnsi="宋体" w:eastAsia="宋体" w:cs="宋体"/>
          <w:color w:val="auto"/>
          <w:spacing w:val="0"/>
          <w:position w:val="0"/>
          <w:sz w:val="28"/>
          <w:szCs w:val="28"/>
          <w:shd w:val="clear" w:color="auto" w:fill="auto"/>
          <w:lang w:val="en-US" w:eastAsia="zh-CN"/>
        </w:rPr>
        <w:t>》</w:t>
      </w:r>
      <w:r>
        <w:rPr>
          <w:rFonts w:ascii="宋体" w:hAnsi="宋体" w:eastAsia="宋体" w:cs="宋体"/>
          <w:color w:val="auto"/>
          <w:sz w:val="28"/>
          <w:szCs w:val="28"/>
          <w:shd w:val="clear" w:color="auto" w:fill="auto"/>
        </w:rPr>
        <w:t>GB</w:t>
      </w:r>
      <w:r>
        <w:rPr>
          <w:rFonts w:ascii="宋体" w:hAnsi="宋体" w:eastAsia="宋体" w:cs="宋体"/>
          <w:color w:val="auto"/>
          <w:spacing w:val="0"/>
          <w:sz w:val="28"/>
          <w:szCs w:val="28"/>
          <w:shd w:val="clear" w:color="auto" w:fill="auto"/>
        </w:rPr>
        <w:t xml:space="preserve"> 17761</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9</w:t>
      </w:r>
      <w:r>
        <w:rPr>
          <w:rFonts w:hint="default" w:ascii="宋体" w:hAnsi="宋体" w:eastAsia="宋体" w:cs="宋体"/>
          <w:color w:val="auto"/>
          <w:sz w:val="28"/>
          <w:szCs w:val="28"/>
          <w:shd w:val="clear" w:color="auto" w:fill="auto"/>
        </w:rPr>
        <w:t>《建筑物防雷设计规范》GB 50057</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0</w:t>
      </w:r>
      <w:r>
        <w:rPr>
          <w:rFonts w:hint="default" w:ascii="宋体" w:hAnsi="宋体" w:eastAsia="宋体" w:cs="宋体"/>
          <w:color w:val="auto"/>
          <w:sz w:val="28"/>
          <w:szCs w:val="28"/>
          <w:shd w:val="clear" w:color="auto" w:fill="auto"/>
        </w:rPr>
        <w:t>《建筑内部装修设计防火规范》</w:t>
      </w:r>
      <w:r>
        <w:rPr>
          <w:rFonts w:ascii="宋体" w:hAnsi="宋体" w:eastAsia="宋体" w:cs="宋体"/>
          <w:color w:val="auto"/>
          <w:sz w:val="28"/>
          <w:szCs w:val="28"/>
          <w:shd w:val="clear" w:color="auto" w:fill="auto"/>
        </w:rPr>
        <w:t xml:space="preserve">GB50222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1</w:t>
      </w:r>
      <w:r>
        <w:rPr>
          <w:rFonts w:hint="default" w:ascii="宋体" w:hAnsi="宋体" w:eastAsia="宋体" w:cs="宋体"/>
          <w:color w:val="auto"/>
          <w:sz w:val="28"/>
          <w:szCs w:val="28"/>
          <w:shd w:val="clear" w:color="auto" w:fill="auto"/>
        </w:rPr>
        <w:t>《自动喷水灭火系统设计规范》</w:t>
      </w:r>
      <w:r>
        <w:rPr>
          <w:rFonts w:ascii="宋体" w:hAnsi="宋体" w:eastAsia="宋体" w:cs="宋体"/>
          <w:color w:val="auto"/>
          <w:sz w:val="28"/>
          <w:szCs w:val="28"/>
          <w:shd w:val="clear" w:color="auto" w:fill="auto"/>
        </w:rPr>
        <w:t xml:space="preserve">GB50084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2</w:t>
      </w:r>
      <w:r>
        <w:rPr>
          <w:rFonts w:hint="default" w:ascii="宋体" w:hAnsi="宋体" w:eastAsia="宋体" w:cs="宋体"/>
          <w:color w:val="auto"/>
          <w:sz w:val="28"/>
          <w:szCs w:val="28"/>
          <w:shd w:val="clear" w:color="auto" w:fill="auto"/>
        </w:rPr>
        <w:t>《建筑防烟排烟系统技术标准》</w:t>
      </w:r>
      <w:r>
        <w:rPr>
          <w:rFonts w:ascii="宋体" w:hAnsi="宋体" w:eastAsia="宋体" w:cs="宋体"/>
          <w:color w:val="auto"/>
          <w:sz w:val="28"/>
          <w:szCs w:val="28"/>
          <w:shd w:val="clear" w:color="auto" w:fill="auto"/>
        </w:rPr>
        <w:t xml:space="preserve">GB51251 </w:t>
      </w:r>
    </w:p>
    <w:p>
      <w:pPr>
        <w:pStyle w:val="38"/>
        <w:spacing w:line="360" w:lineRule="auto"/>
        <w:ind w:firstLine="560" w:firstLineChars="200"/>
        <w:rPr>
          <w:rFonts w:hint="default" w:ascii="宋体" w:hAnsi="宋体" w:eastAsia="宋体" w:cs="宋体"/>
          <w:color w:val="auto"/>
          <w:sz w:val="28"/>
          <w:szCs w:val="28"/>
          <w:shd w:val="clear" w:color="auto" w:fill="auto"/>
          <w:lang w:eastAsia="zh-CN"/>
        </w:rPr>
      </w:pPr>
      <w:r>
        <w:rPr>
          <w:rFonts w:hint="eastAsia" w:ascii="宋体" w:hAnsi="宋体" w:eastAsia="宋体" w:cs="宋体"/>
          <w:color w:val="auto"/>
          <w:sz w:val="28"/>
          <w:szCs w:val="28"/>
          <w:shd w:val="clear" w:color="auto" w:fill="auto"/>
          <w:lang w:val="en-US" w:eastAsia="zh-CN"/>
        </w:rPr>
        <w:t>13</w:t>
      </w:r>
      <w:r>
        <w:rPr>
          <w:rFonts w:hint="default" w:ascii="宋体" w:hAnsi="宋体" w:eastAsia="宋体" w:cs="宋体"/>
          <w:color w:val="auto"/>
          <w:sz w:val="28"/>
          <w:szCs w:val="28"/>
          <w:shd w:val="clear" w:color="auto" w:fill="auto"/>
          <w:lang w:eastAsia="zh-CN"/>
        </w:rPr>
        <w:t>《</w:t>
      </w:r>
      <w:r>
        <w:rPr>
          <w:rFonts w:ascii="宋体" w:hAnsi="宋体" w:eastAsia="宋体" w:cs="宋体"/>
          <w:color w:val="auto"/>
          <w:spacing w:val="0"/>
          <w:position w:val="0"/>
          <w:sz w:val="28"/>
          <w:szCs w:val="28"/>
          <w:shd w:val="clear" w:color="auto" w:fill="auto"/>
        </w:rPr>
        <w:t>独立式感烟火灾探测报警器</w:t>
      </w:r>
      <w:r>
        <w:rPr>
          <w:rFonts w:hint="default" w:ascii="宋体" w:hAnsi="宋体" w:eastAsia="宋体" w:cs="宋体"/>
          <w:color w:val="auto"/>
          <w:sz w:val="28"/>
          <w:szCs w:val="28"/>
          <w:shd w:val="clear" w:color="auto" w:fill="auto"/>
          <w:lang w:eastAsia="zh-CN"/>
        </w:rPr>
        <w:t>》</w:t>
      </w:r>
      <w:r>
        <w:rPr>
          <w:rFonts w:ascii="宋体" w:hAnsi="宋体" w:eastAsia="宋体" w:cs="宋体"/>
          <w:color w:val="auto"/>
          <w:position w:val="0"/>
          <w:sz w:val="28"/>
          <w:szCs w:val="28"/>
          <w:shd w:val="clear" w:color="auto" w:fill="auto"/>
        </w:rPr>
        <w:t>GB</w:t>
      </w:r>
      <w:r>
        <w:rPr>
          <w:rFonts w:ascii="宋体" w:hAnsi="宋体" w:eastAsia="宋体" w:cs="宋体"/>
          <w:color w:val="auto"/>
          <w:spacing w:val="0"/>
          <w:position w:val="0"/>
          <w:sz w:val="28"/>
          <w:szCs w:val="28"/>
          <w:shd w:val="clear" w:color="auto" w:fill="auto"/>
        </w:rPr>
        <w:t xml:space="preserve"> 20517</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4《火灾自动报警系统设计规范》</w:t>
      </w:r>
      <w:r>
        <w:rPr>
          <w:rFonts w:ascii="宋体" w:hAnsi="宋体" w:eastAsia="宋体" w:cs="宋体"/>
          <w:color w:val="auto"/>
          <w:sz w:val="28"/>
          <w:szCs w:val="28"/>
          <w:shd w:val="clear" w:color="auto" w:fill="auto"/>
        </w:rPr>
        <w:t xml:space="preserve">GB50116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5《民用建筑电气设计标准》</w:t>
      </w:r>
      <w:r>
        <w:rPr>
          <w:rFonts w:ascii="宋体" w:hAnsi="宋体" w:eastAsia="宋体" w:cs="宋体"/>
          <w:color w:val="auto"/>
          <w:sz w:val="28"/>
          <w:szCs w:val="28"/>
          <w:shd w:val="clear" w:color="auto" w:fill="auto"/>
        </w:rPr>
        <w:t xml:space="preserve">GB51348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6《消防应急照明和疏散指示系统技术标准》</w:t>
      </w:r>
      <w:r>
        <w:rPr>
          <w:rFonts w:ascii="宋体" w:hAnsi="宋体" w:eastAsia="宋体" w:cs="宋体"/>
          <w:color w:val="auto"/>
          <w:sz w:val="28"/>
          <w:szCs w:val="28"/>
          <w:shd w:val="clear" w:color="auto" w:fill="auto"/>
        </w:rPr>
        <w:t xml:space="preserve">GB51309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7《消防给水及消火栓系统技术规范》</w:t>
      </w:r>
      <w:r>
        <w:rPr>
          <w:rFonts w:ascii="宋体" w:hAnsi="宋体" w:eastAsia="宋体" w:cs="宋体"/>
          <w:color w:val="auto"/>
          <w:sz w:val="28"/>
          <w:szCs w:val="28"/>
          <w:shd w:val="clear" w:color="auto" w:fill="auto"/>
        </w:rPr>
        <w:t xml:space="preserve">GB50974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8《建筑灭火器配置设计规范》</w:t>
      </w:r>
      <w:r>
        <w:rPr>
          <w:rFonts w:ascii="宋体" w:hAnsi="宋体" w:eastAsia="宋体" w:cs="宋体"/>
          <w:color w:val="auto"/>
          <w:sz w:val="28"/>
          <w:szCs w:val="28"/>
          <w:shd w:val="clear" w:color="auto" w:fill="auto"/>
        </w:rPr>
        <w:t xml:space="preserve">GB50140 </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default" w:ascii="宋体" w:hAnsi="宋体" w:eastAsia="宋体" w:cs="宋体"/>
          <w:color w:val="auto"/>
          <w:sz w:val="28"/>
          <w:szCs w:val="28"/>
          <w:shd w:val="clear" w:color="auto" w:fill="auto"/>
        </w:rPr>
        <w:t>9《气体灭火系统设计规范》</w:t>
      </w:r>
      <w:r>
        <w:rPr>
          <w:rFonts w:ascii="宋体" w:hAnsi="宋体" w:eastAsia="宋体" w:cs="宋体"/>
          <w:color w:val="auto"/>
          <w:sz w:val="28"/>
          <w:szCs w:val="28"/>
          <w:shd w:val="clear" w:color="auto" w:fill="auto"/>
        </w:rPr>
        <w:t>GB50370</w:t>
      </w:r>
    </w:p>
    <w:p>
      <w:pPr>
        <w:pStyle w:val="38"/>
        <w:spacing w:line="360" w:lineRule="auto"/>
        <w:ind w:firstLine="560" w:firstLineChars="200"/>
        <w:rPr>
          <w:rFonts w:hint="default"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2</w:t>
      </w:r>
      <w:r>
        <w:rPr>
          <w:rFonts w:hint="default" w:ascii="宋体" w:hAnsi="宋体" w:eastAsia="宋体" w:cs="宋体"/>
          <w:color w:val="auto"/>
          <w:sz w:val="28"/>
          <w:szCs w:val="28"/>
          <w:shd w:val="clear" w:color="auto" w:fill="auto"/>
        </w:rPr>
        <w:t>0《建筑钢结构防火技术规范》GB 51249</w:t>
      </w:r>
    </w:p>
    <w:p>
      <w:pPr>
        <w:pStyle w:val="38"/>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2</w:t>
      </w:r>
      <w:r>
        <w:rPr>
          <w:rFonts w:hint="default" w:ascii="宋体" w:hAnsi="宋体" w:eastAsia="宋体" w:cs="宋体"/>
          <w:color w:val="auto"/>
          <w:sz w:val="28"/>
          <w:szCs w:val="28"/>
          <w:shd w:val="clear" w:color="auto" w:fill="auto"/>
        </w:rPr>
        <w:t>1《建筑防火封堵应用技术标准》GB/T 51410</w:t>
      </w:r>
    </w:p>
    <w:p>
      <w:pPr>
        <w:pStyle w:val="38"/>
        <w:widowControl/>
        <w:shd w:val="clear" w:color="auto" w:fill="auto"/>
        <w:spacing w:line="360" w:lineRule="auto"/>
        <w:ind w:firstLine="560" w:firstLineChars="200"/>
        <w:rPr>
          <w:rFonts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2</w:t>
      </w:r>
      <w:r>
        <w:rPr>
          <w:rFonts w:hint="default" w:ascii="宋体" w:hAnsi="宋体" w:eastAsia="宋体" w:cs="宋体"/>
          <w:color w:val="auto"/>
          <w:sz w:val="28"/>
          <w:szCs w:val="28"/>
          <w:shd w:val="clear" w:color="auto" w:fill="auto"/>
        </w:rPr>
        <w:t>2</w:t>
      </w:r>
      <w:r>
        <w:rPr>
          <w:rFonts w:ascii="宋体" w:hAnsi="宋体" w:eastAsia="宋体" w:cs="宋体"/>
          <w:color w:val="auto"/>
          <w:sz w:val="28"/>
          <w:szCs w:val="28"/>
          <w:shd w:val="clear" w:color="auto" w:fill="auto"/>
        </w:rPr>
        <w:t>《车库建筑设计规范》JGJ 100</w:t>
      </w:r>
    </w:p>
    <w:p>
      <w:pPr>
        <w:rPr>
          <w:rFonts w:hint="default"/>
          <w:lang w:val="en-US" w:eastAsia="zh-CN"/>
        </w:rPr>
      </w:pPr>
    </w:p>
    <w:sectPr>
      <w:footerReference r:id="rId9" w:type="default"/>
      <w:pgSz w:w="11906" w:h="16838"/>
      <w:pgMar w:top="1417" w:right="1417" w:bottom="1417" w:left="1587" w:header="0" w:footer="0" w:gutter="0"/>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975"/>
        <w:tab w:val="right" w:pos="8346"/>
        <w:tab w:val="clear" w:pos="4153"/>
        <w:tab w:val="clear" w:pos="8306"/>
      </w:tabs>
      <w:rPr>
        <w:rFonts w:ascii="仿宋" w:hAnsi="仿宋" w:cs="仿宋"/>
        <w:b/>
        <w:bCs/>
      </w:rPr>
    </w:pPr>
    <w:r>
      <w:rPr>
        <w:rFonts w:hint="eastAsia" w:ascii="仿宋" w:hAnsi="仿宋" w:cs="仿宋"/>
        <w:b/>
        <w:bCs/>
      </w:rPr>
      <w:tab/>
    </w:r>
  </w:p>
  <w:p>
    <w:pPr>
      <w:pStyle w:val="11"/>
      <w:tabs>
        <w:tab w:val="right" w:pos="8346"/>
        <w:tab w:val="clear" w:pos="4153"/>
      </w:tabs>
      <w:ind w:firstLine="630" w:firstLineChars="300"/>
    </w:pPr>
    <w:r>
      <w:rPr>
        <w:rFonts w:hint="eastAsia" w:ascii="仿宋" w:hAnsi="仿宋" w:cs="仿宋"/>
        <w:sz w:val="21"/>
        <w:szCs w:val="21"/>
      </w:rPr>
      <w:t xml:space="preserve">  </w:t>
    </w:r>
    <w:r>
      <w:rPr>
        <w:rFonts w:hint="eastAsia" w:ascii="楷体" w:hAnsi="楷体" w:eastAsia="楷体" w:cs="楷体"/>
        <w:b/>
        <w:bCs/>
      </w:rPr>
      <w:t xml:space="preserve"> </w:t>
    </w:r>
    <w:r>
      <w:rPr>
        <w:rFonts w:hint="eastAsia" w:ascii="仿宋" w:hAnsi="仿宋" w:cs="仿宋"/>
        <w:b/>
        <w:bCs/>
      </w:rPr>
      <w:t xml:space="preserve">                                      </w:t>
    </w:r>
    <w:r>
      <w:rPr>
        <w:b/>
        <w:bCs/>
        <w:sz w:val="21"/>
        <w:szCs w:val="21"/>
      </w:rPr>
      <w:t xml:space="preserve">    </w:t>
    </w:r>
    <w:r>
      <w:rPr>
        <w:rFonts w:hint="eastAsia" w:ascii="仿宋" w:hAnsi="仿宋" w:cs="仿宋"/>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posOffset>2782570</wp:posOffset>
              </wp:positionH>
              <wp:positionV relativeFrom="paragraph">
                <wp:posOffset>-619125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9.1pt;margin-top:-48.75pt;height:144pt;width:144pt;mso-position-horizontal-relative:margin;mso-wrap-style:none;z-index:251659264;mso-width-relative:page;mso-height-relative:page;" filled="f" stroked="f" coordsize="21600,21600" o:gfxdata="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yFNpF9cAAAALAQAADwAAAAAAAAABACAAAAA4AAAAZHJzL2Rvd25yZXYueG1s&#10;UEsBAhQAFAAAAAgAh07iQFMEQ4wcAgAAKQQAAA4AAAAAAAAAAQAgAAAAPAEAAGRycy9lMm9Eb2Mu&#10;eG1sUEsFBgAAAAAGAAYAWQEAAMoFAAAAAA==&#10;">
              <v:fill on="f" focussize="0,0"/>
              <v:stroke on="f" weight="0.5pt"/>
              <v:imagedata o:title=""/>
              <o:lock v:ext="edit" aspectratio="f"/>
              <v:textbox inset="0mm,0mm,0mm,0mm" style="mso-fit-shape-to-text:t;">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 w:hAnsi="仿宋" w:cs="仿宋"/>
        <w:sz w:val="24"/>
      </w:rPr>
    </w:pPr>
    <w:r>
      <w:rPr>
        <w:rFonts w:hint="eastAsia" w:ascii="仿宋" w:hAnsi="仿宋" w:cs="仿宋"/>
        <w:color w:val="000000" w:themeColor="text1"/>
        <w:sz w:val="21"/>
        <w:szCs w:val="21"/>
        <w14:textFill>
          <w14:solidFill>
            <w14:schemeClr w14:val="tx1"/>
          </w14:solidFill>
        </w14:textFill>
      </w:rPr>
      <w:t xml:space="preserve">                                         </w:t>
    </w:r>
    <w:r>
      <w:rPr>
        <w:rFonts w:hint="eastAsia" w:ascii="仿宋" w:hAnsi="仿宋" w:cs="仿宋"/>
        <w:b/>
        <w:bCs/>
        <w:sz w:val="21"/>
        <w:szCs w:val="21"/>
      </w:rPr>
      <w:t xml:space="preserve">                                           </w:t>
    </w:r>
    <w:r>
      <w:rPr>
        <w:rFonts w:hint="eastAsia" w:ascii="楷体" w:hAnsi="楷体" w:eastAsia="楷体" w:cs="楷体"/>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210" w:firstLineChars="100"/>
      <w:rPr>
        <w:rFonts w:ascii="仿宋" w:hAnsi="仿宋" w:cs="仿宋"/>
        <w:sz w:val="24"/>
      </w:rPr>
    </w:pPr>
    <w:r>
      <w:rPr>
        <w:rFonts w:hint="eastAsia" w:ascii="仿宋" w:hAnsi="仿宋" w:cs="仿宋"/>
        <w:color w:val="000000" w:themeColor="text1"/>
        <w:sz w:val="21"/>
        <w:szCs w:val="21"/>
        <w14:textFill>
          <w14:solidFill>
            <w14:schemeClr w14:val="tx1"/>
          </w14:solidFill>
        </w14:textFill>
      </w:rPr>
      <w:t xml:space="preserve">                                                       </w:t>
    </w:r>
    <w:r>
      <w:rPr>
        <w:rFonts w:hint="eastAsia" w:ascii="仿宋" w:hAnsi="仿宋" w:cs="仿宋"/>
        <w:b/>
        <w:bCs/>
        <w:sz w:val="21"/>
        <w:szCs w:val="21"/>
      </w:rPr>
      <w:t xml:space="preserve">                                         </w:t>
    </w:r>
    <w:r>
      <w:rPr>
        <w:rFonts w:hint="eastAsia" w:ascii="楷体" w:hAnsi="楷体" w:eastAsia="楷体" w:cs="楷体"/>
        <w:b/>
        <w:b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8402B"/>
    <w:multiLevelType w:val="multilevel"/>
    <w:tmpl w:val="0C58402B"/>
    <w:lvl w:ilvl="0" w:tentative="0">
      <w:start w:val="1"/>
      <w:numFmt w:val="chineseCountingThousand"/>
      <w:lvlText w:val="第%1章"/>
      <w:lvlJc w:val="left"/>
      <w:pPr>
        <w:ind w:left="425" w:hanging="425"/>
      </w:pPr>
      <w:rPr>
        <w:rFonts w:hint="eastAsia"/>
      </w:rPr>
    </w:lvl>
    <w:lvl w:ilvl="1" w:tentative="0">
      <w:start w:val="1"/>
      <w:numFmt w:val="decimal"/>
      <w:pStyle w:val="3"/>
      <w:isLgl/>
      <w:lvlText w:val="%1.%2"/>
      <w:lvlJc w:val="left"/>
      <w:pPr>
        <w:tabs>
          <w:tab w:val="left" w:pos="567"/>
        </w:tabs>
        <w:ind w:left="0" w:firstLine="0"/>
      </w:pPr>
      <w:rPr>
        <w:rFonts w:hint="default" w:ascii="Times New Roman" w:hAnsi="Times New Roman" w:eastAsia="黑体"/>
        <w:sz w:val="30"/>
        <w:szCs w:val="30"/>
      </w:rPr>
    </w:lvl>
    <w:lvl w:ilvl="2" w:tentative="0">
      <w:start w:val="1"/>
      <w:numFmt w:val="decimal"/>
      <w:isLgl/>
      <w:suff w:val="space"/>
      <w:lvlText w:val="%1.%2.%3"/>
      <w:lvlJc w:val="left"/>
      <w:pPr>
        <w:ind w:left="0" w:firstLine="567"/>
      </w:pPr>
      <w:rPr>
        <w:rFonts w:hint="default" w:ascii="Times New Roman" w:hAnsi="Times New Roman" w:eastAsia="黑体"/>
        <w:sz w:val="28"/>
      </w:rPr>
    </w:lvl>
    <w:lvl w:ilvl="3" w:tentative="0">
      <w:start w:val="1"/>
      <w:numFmt w:val="decimal"/>
      <w:isLgl/>
      <w:suff w:val="space"/>
      <w:lvlText w:val="%1.%2.%3.%4"/>
      <w:lvlJc w:val="left"/>
      <w:pPr>
        <w:ind w:left="0" w:firstLine="567"/>
      </w:pPr>
      <w:rPr>
        <w:rFonts w:hint="default" w:ascii="Times New Roman" w:hAnsi="Times New Roman" w:eastAsia="黑体"/>
        <w:b w:val="0"/>
        <w:i w:val="0"/>
        <w:sz w:val="28"/>
        <w:szCs w:val="28"/>
      </w:rPr>
    </w:lvl>
    <w:lvl w:ilvl="4" w:tentative="0">
      <w:start w:val="1"/>
      <w:numFmt w:val="decimal"/>
      <w:lvlRestart w:val="1"/>
      <w:pStyle w:val="23"/>
      <w:isLgl/>
      <w:suff w:val="space"/>
      <w:lvlText w:val="图%1.%5"/>
      <w:lvlJc w:val="left"/>
      <w:pPr>
        <w:ind w:left="992" w:hanging="992"/>
      </w:pPr>
      <w:rPr>
        <w:rFonts w:hint="eastAsia"/>
      </w:rPr>
    </w:lvl>
    <w:lvl w:ilvl="5" w:tentative="0">
      <w:start w:val="1"/>
      <w:numFmt w:val="decimal"/>
      <w:lvlRestart w:val="1"/>
      <w:pStyle w:val="24"/>
      <w:isLgl/>
      <w:suff w:val="space"/>
      <w:lvlText w:val="表%1.%6"/>
      <w:lvlJc w:val="left"/>
      <w:pPr>
        <w:ind w:left="992" w:hanging="992"/>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none"/>
      <w:lvlRestart w:val="1"/>
      <w:suff w:val="nothing"/>
      <w:lvlText w:val=""/>
      <w:lvlJc w:val="right"/>
      <w:pPr>
        <w:ind w:left="-3402" w:firstLine="3690"/>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GYyZDNmOWMxMWYxNTNmZjE4NDQ5MDA5MmQxNTUifQ=="/>
  </w:docVars>
  <w:rsids>
    <w:rsidRoot w:val="45D87F13"/>
    <w:rsid w:val="0001244E"/>
    <w:rsid w:val="00111200"/>
    <w:rsid w:val="00353B22"/>
    <w:rsid w:val="00585B87"/>
    <w:rsid w:val="0059322C"/>
    <w:rsid w:val="005D4E23"/>
    <w:rsid w:val="005E1F5E"/>
    <w:rsid w:val="00700219"/>
    <w:rsid w:val="008D451D"/>
    <w:rsid w:val="00901399"/>
    <w:rsid w:val="009F0D67"/>
    <w:rsid w:val="00B52690"/>
    <w:rsid w:val="00C042CE"/>
    <w:rsid w:val="00C14F72"/>
    <w:rsid w:val="00F523C6"/>
    <w:rsid w:val="00FD6BBB"/>
    <w:rsid w:val="01115F55"/>
    <w:rsid w:val="01475EF1"/>
    <w:rsid w:val="014C432F"/>
    <w:rsid w:val="021C5747"/>
    <w:rsid w:val="021C697A"/>
    <w:rsid w:val="0241038B"/>
    <w:rsid w:val="026E317F"/>
    <w:rsid w:val="02AD57A4"/>
    <w:rsid w:val="02E24123"/>
    <w:rsid w:val="0338635C"/>
    <w:rsid w:val="033D69B5"/>
    <w:rsid w:val="03463DDB"/>
    <w:rsid w:val="03841013"/>
    <w:rsid w:val="03974927"/>
    <w:rsid w:val="03A07FFD"/>
    <w:rsid w:val="03C06BA8"/>
    <w:rsid w:val="03D20788"/>
    <w:rsid w:val="03EF657F"/>
    <w:rsid w:val="04020278"/>
    <w:rsid w:val="0431524E"/>
    <w:rsid w:val="04382B67"/>
    <w:rsid w:val="04502D27"/>
    <w:rsid w:val="04570408"/>
    <w:rsid w:val="0469346A"/>
    <w:rsid w:val="049C6A8C"/>
    <w:rsid w:val="04BC0CE2"/>
    <w:rsid w:val="04C73529"/>
    <w:rsid w:val="04EF5627"/>
    <w:rsid w:val="057D192A"/>
    <w:rsid w:val="058A4304"/>
    <w:rsid w:val="05AB22D3"/>
    <w:rsid w:val="062071E1"/>
    <w:rsid w:val="062C4035"/>
    <w:rsid w:val="06751D2B"/>
    <w:rsid w:val="07072D9A"/>
    <w:rsid w:val="075F176A"/>
    <w:rsid w:val="07A131ED"/>
    <w:rsid w:val="07B2368D"/>
    <w:rsid w:val="07BD799E"/>
    <w:rsid w:val="07D050E5"/>
    <w:rsid w:val="08346D6F"/>
    <w:rsid w:val="085A4DED"/>
    <w:rsid w:val="08A15DA5"/>
    <w:rsid w:val="08AF3933"/>
    <w:rsid w:val="08C3252E"/>
    <w:rsid w:val="099E5C5C"/>
    <w:rsid w:val="0A031EEB"/>
    <w:rsid w:val="0A0322DE"/>
    <w:rsid w:val="0A09012F"/>
    <w:rsid w:val="0A095EE5"/>
    <w:rsid w:val="0A4F16E3"/>
    <w:rsid w:val="0AE46E7B"/>
    <w:rsid w:val="0AF25BA9"/>
    <w:rsid w:val="0AF448AA"/>
    <w:rsid w:val="0B1628CE"/>
    <w:rsid w:val="0B5F2094"/>
    <w:rsid w:val="0B7B1879"/>
    <w:rsid w:val="0B9755D6"/>
    <w:rsid w:val="0C24622A"/>
    <w:rsid w:val="0C5A1239"/>
    <w:rsid w:val="0D04270B"/>
    <w:rsid w:val="0D1069AB"/>
    <w:rsid w:val="0D2262F6"/>
    <w:rsid w:val="0D4E6954"/>
    <w:rsid w:val="0D5E2B43"/>
    <w:rsid w:val="0DA659C5"/>
    <w:rsid w:val="0DB20EF9"/>
    <w:rsid w:val="0DD76334"/>
    <w:rsid w:val="0E142444"/>
    <w:rsid w:val="0E2F39B0"/>
    <w:rsid w:val="0E64341A"/>
    <w:rsid w:val="0E6F7A4F"/>
    <w:rsid w:val="0E707B29"/>
    <w:rsid w:val="0EF73627"/>
    <w:rsid w:val="0F114A5C"/>
    <w:rsid w:val="0F137B8E"/>
    <w:rsid w:val="0F570B43"/>
    <w:rsid w:val="0F810C76"/>
    <w:rsid w:val="0FEA5643"/>
    <w:rsid w:val="0FF37B35"/>
    <w:rsid w:val="0FF5350F"/>
    <w:rsid w:val="108764E8"/>
    <w:rsid w:val="10AF4F66"/>
    <w:rsid w:val="10CB25E1"/>
    <w:rsid w:val="10FC48C3"/>
    <w:rsid w:val="11383D0A"/>
    <w:rsid w:val="11681444"/>
    <w:rsid w:val="118833F4"/>
    <w:rsid w:val="11A26319"/>
    <w:rsid w:val="11A972A4"/>
    <w:rsid w:val="1248338E"/>
    <w:rsid w:val="125B7F45"/>
    <w:rsid w:val="12A45102"/>
    <w:rsid w:val="12CD6B6D"/>
    <w:rsid w:val="1316045A"/>
    <w:rsid w:val="13213805"/>
    <w:rsid w:val="13FC237A"/>
    <w:rsid w:val="14024C6C"/>
    <w:rsid w:val="143C6B20"/>
    <w:rsid w:val="143D7587"/>
    <w:rsid w:val="14831C9C"/>
    <w:rsid w:val="149E3213"/>
    <w:rsid w:val="14A62CDA"/>
    <w:rsid w:val="14A717EC"/>
    <w:rsid w:val="153D1F3F"/>
    <w:rsid w:val="1552536D"/>
    <w:rsid w:val="15A53755"/>
    <w:rsid w:val="1603218D"/>
    <w:rsid w:val="16034688"/>
    <w:rsid w:val="160E231A"/>
    <w:rsid w:val="161D649F"/>
    <w:rsid w:val="16501ED5"/>
    <w:rsid w:val="169B188B"/>
    <w:rsid w:val="169C5149"/>
    <w:rsid w:val="16AD3CFF"/>
    <w:rsid w:val="17141357"/>
    <w:rsid w:val="175150C2"/>
    <w:rsid w:val="176A64DA"/>
    <w:rsid w:val="17B44C87"/>
    <w:rsid w:val="17B527CE"/>
    <w:rsid w:val="17CA7EB8"/>
    <w:rsid w:val="17EF2825"/>
    <w:rsid w:val="18271A22"/>
    <w:rsid w:val="185C53A8"/>
    <w:rsid w:val="1860714F"/>
    <w:rsid w:val="18607634"/>
    <w:rsid w:val="18657D58"/>
    <w:rsid w:val="18705755"/>
    <w:rsid w:val="18770CEB"/>
    <w:rsid w:val="18E11177"/>
    <w:rsid w:val="19126EBA"/>
    <w:rsid w:val="1A032431"/>
    <w:rsid w:val="1AAA1799"/>
    <w:rsid w:val="1AD82801"/>
    <w:rsid w:val="1AE62C12"/>
    <w:rsid w:val="1B2024AB"/>
    <w:rsid w:val="1B474B4D"/>
    <w:rsid w:val="1B927C47"/>
    <w:rsid w:val="1BE0410B"/>
    <w:rsid w:val="1BF72724"/>
    <w:rsid w:val="1BFF1991"/>
    <w:rsid w:val="1C451EF3"/>
    <w:rsid w:val="1C4B35E5"/>
    <w:rsid w:val="1C80541D"/>
    <w:rsid w:val="1CB85DCC"/>
    <w:rsid w:val="1CE95BAC"/>
    <w:rsid w:val="1D616AAC"/>
    <w:rsid w:val="1DC44F76"/>
    <w:rsid w:val="1DCD126B"/>
    <w:rsid w:val="1DDC684B"/>
    <w:rsid w:val="1E132B59"/>
    <w:rsid w:val="1E3D55AD"/>
    <w:rsid w:val="1E821546"/>
    <w:rsid w:val="1E8675C1"/>
    <w:rsid w:val="1EA455E9"/>
    <w:rsid w:val="1EAC36FA"/>
    <w:rsid w:val="1EB52FCA"/>
    <w:rsid w:val="1EED1EC9"/>
    <w:rsid w:val="1F382949"/>
    <w:rsid w:val="1F870B1A"/>
    <w:rsid w:val="1FC07D0A"/>
    <w:rsid w:val="1FC62A75"/>
    <w:rsid w:val="1FD307E6"/>
    <w:rsid w:val="1FD47FE6"/>
    <w:rsid w:val="2003526B"/>
    <w:rsid w:val="20497D0B"/>
    <w:rsid w:val="20EF46AE"/>
    <w:rsid w:val="211C7F30"/>
    <w:rsid w:val="211F1734"/>
    <w:rsid w:val="21310403"/>
    <w:rsid w:val="21392D9E"/>
    <w:rsid w:val="21840217"/>
    <w:rsid w:val="225123ED"/>
    <w:rsid w:val="2274609C"/>
    <w:rsid w:val="22CB496F"/>
    <w:rsid w:val="22FA707F"/>
    <w:rsid w:val="230F38AE"/>
    <w:rsid w:val="23493205"/>
    <w:rsid w:val="234C775F"/>
    <w:rsid w:val="23515BFE"/>
    <w:rsid w:val="23CF4315"/>
    <w:rsid w:val="23D81225"/>
    <w:rsid w:val="23DA1F06"/>
    <w:rsid w:val="23DE27A4"/>
    <w:rsid w:val="23DF1439"/>
    <w:rsid w:val="2434059E"/>
    <w:rsid w:val="24461889"/>
    <w:rsid w:val="24552553"/>
    <w:rsid w:val="24751778"/>
    <w:rsid w:val="24785F3B"/>
    <w:rsid w:val="24A034B1"/>
    <w:rsid w:val="24A65174"/>
    <w:rsid w:val="24A719BA"/>
    <w:rsid w:val="24CF0F87"/>
    <w:rsid w:val="24D01FC8"/>
    <w:rsid w:val="25124747"/>
    <w:rsid w:val="251C6281"/>
    <w:rsid w:val="25294ECD"/>
    <w:rsid w:val="256D5910"/>
    <w:rsid w:val="25707925"/>
    <w:rsid w:val="2575249F"/>
    <w:rsid w:val="2577672D"/>
    <w:rsid w:val="25A36FBA"/>
    <w:rsid w:val="26332A06"/>
    <w:rsid w:val="264036C2"/>
    <w:rsid w:val="26876D7C"/>
    <w:rsid w:val="26BE4C7F"/>
    <w:rsid w:val="26C51AC0"/>
    <w:rsid w:val="273F2AA2"/>
    <w:rsid w:val="27574D01"/>
    <w:rsid w:val="27586D68"/>
    <w:rsid w:val="275C1ADF"/>
    <w:rsid w:val="27A41C90"/>
    <w:rsid w:val="27AA40E7"/>
    <w:rsid w:val="27EC14F2"/>
    <w:rsid w:val="2818732D"/>
    <w:rsid w:val="28225E2F"/>
    <w:rsid w:val="287D6F1D"/>
    <w:rsid w:val="2892746B"/>
    <w:rsid w:val="289D57A4"/>
    <w:rsid w:val="28A202AD"/>
    <w:rsid w:val="28CC64E9"/>
    <w:rsid w:val="29696561"/>
    <w:rsid w:val="29826C1C"/>
    <w:rsid w:val="29D04483"/>
    <w:rsid w:val="29D548A7"/>
    <w:rsid w:val="29D74290"/>
    <w:rsid w:val="29F52ECC"/>
    <w:rsid w:val="29F9039A"/>
    <w:rsid w:val="2A544C7C"/>
    <w:rsid w:val="2AA01743"/>
    <w:rsid w:val="2AAF1247"/>
    <w:rsid w:val="2AB25B1D"/>
    <w:rsid w:val="2AC8117B"/>
    <w:rsid w:val="2AF44A6C"/>
    <w:rsid w:val="2B496A71"/>
    <w:rsid w:val="2B740913"/>
    <w:rsid w:val="2C484012"/>
    <w:rsid w:val="2CC97303"/>
    <w:rsid w:val="2CCD2F3B"/>
    <w:rsid w:val="2D162D53"/>
    <w:rsid w:val="2D2F727D"/>
    <w:rsid w:val="2D3B56F4"/>
    <w:rsid w:val="2D91691D"/>
    <w:rsid w:val="2DC223D3"/>
    <w:rsid w:val="2E076153"/>
    <w:rsid w:val="2E0B32CA"/>
    <w:rsid w:val="2E1A0BB4"/>
    <w:rsid w:val="2EB70396"/>
    <w:rsid w:val="2EFB2495"/>
    <w:rsid w:val="2F0F0DE7"/>
    <w:rsid w:val="2F24356D"/>
    <w:rsid w:val="2F8C102E"/>
    <w:rsid w:val="2FD2591E"/>
    <w:rsid w:val="2FEB1676"/>
    <w:rsid w:val="2FF761C8"/>
    <w:rsid w:val="30182170"/>
    <w:rsid w:val="301D2502"/>
    <w:rsid w:val="303D346B"/>
    <w:rsid w:val="306B7ACD"/>
    <w:rsid w:val="30887F0C"/>
    <w:rsid w:val="30DA2423"/>
    <w:rsid w:val="30EB3D96"/>
    <w:rsid w:val="311D12B3"/>
    <w:rsid w:val="31325A77"/>
    <w:rsid w:val="317421F8"/>
    <w:rsid w:val="3177616D"/>
    <w:rsid w:val="31812495"/>
    <w:rsid w:val="31AE6A98"/>
    <w:rsid w:val="31E435B4"/>
    <w:rsid w:val="31E449D3"/>
    <w:rsid w:val="325E1539"/>
    <w:rsid w:val="32A07CE8"/>
    <w:rsid w:val="32D51E16"/>
    <w:rsid w:val="330A56EC"/>
    <w:rsid w:val="334F4D0C"/>
    <w:rsid w:val="338D15C1"/>
    <w:rsid w:val="33DD7649"/>
    <w:rsid w:val="33F13335"/>
    <w:rsid w:val="340D78E2"/>
    <w:rsid w:val="34165037"/>
    <w:rsid w:val="34451B2B"/>
    <w:rsid w:val="34B77B6A"/>
    <w:rsid w:val="34FB7F8D"/>
    <w:rsid w:val="35347567"/>
    <w:rsid w:val="354F1496"/>
    <w:rsid w:val="35541114"/>
    <w:rsid w:val="35CD7307"/>
    <w:rsid w:val="35D24DF8"/>
    <w:rsid w:val="35D735CC"/>
    <w:rsid w:val="35ED79CB"/>
    <w:rsid w:val="36111E36"/>
    <w:rsid w:val="36403A89"/>
    <w:rsid w:val="3676363E"/>
    <w:rsid w:val="36A51996"/>
    <w:rsid w:val="36AE63CE"/>
    <w:rsid w:val="36B62975"/>
    <w:rsid w:val="36E37FF7"/>
    <w:rsid w:val="36ED30DF"/>
    <w:rsid w:val="371A187E"/>
    <w:rsid w:val="377C7C6A"/>
    <w:rsid w:val="37973F54"/>
    <w:rsid w:val="37BB6168"/>
    <w:rsid w:val="37C6445C"/>
    <w:rsid w:val="37F01909"/>
    <w:rsid w:val="383C1516"/>
    <w:rsid w:val="38513461"/>
    <w:rsid w:val="385C5324"/>
    <w:rsid w:val="38AF3A9E"/>
    <w:rsid w:val="393B343A"/>
    <w:rsid w:val="39A154DF"/>
    <w:rsid w:val="39AF6485"/>
    <w:rsid w:val="39CA57BD"/>
    <w:rsid w:val="39E51F98"/>
    <w:rsid w:val="3A2B7D43"/>
    <w:rsid w:val="3A7248A5"/>
    <w:rsid w:val="3AB20553"/>
    <w:rsid w:val="3AB21D4D"/>
    <w:rsid w:val="3AB504C3"/>
    <w:rsid w:val="3AF76604"/>
    <w:rsid w:val="3B014ECC"/>
    <w:rsid w:val="3B6C18AE"/>
    <w:rsid w:val="3B877039"/>
    <w:rsid w:val="3B8F379B"/>
    <w:rsid w:val="3C2D1D07"/>
    <w:rsid w:val="3C67494A"/>
    <w:rsid w:val="3C7B6487"/>
    <w:rsid w:val="3D1704A8"/>
    <w:rsid w:val="3D5A3D1D"/>
    <w:rsid w:val="3D631A77"/>
    <w:rsid w:val="3D8A5097"/>
    <w:rsid w:val="3D99581A"/>
    <w:rsid w:val="3DB80B20"/>
    <w:rsid w:val="3DD60A09"/>
    <w:rsid w:val="3E1E0DB4"/>
    <w:rsid w:val="3E2F19ED"/>
    <w:rsid w:val="3E5A2417"/>
    <w:rsid w:val="3E8B3772"/>
    <w:rsid w:val="3E990C09"/>
    <w:rsid w:val="3EB23E92"/>
    <w:rsid w:val="3EB92330"/>
    <w:rsid w:val="3EBA03BF"/>
    <w:rsid w:val="3EEF58A4"/>
    <w:rsid w:val="3F157D38"/>
    <w:rsid w:val="3F4C7741"/>
    <w:rsid w:val="3FC23910"/>
    <w:rsid w:val="404E7927"/>
    <w:rsid w:val="40D074E8"/>
    <w:rsid w:val="40F03D28"/>
    <w:rsid w:val="40F5021F"/>
    <w:rsid w:val="40F61FC2"/>
    <w:rsid w:val="4131429F"/>
    <w:rsid w:val="4172706E"/>
    <w:rsid w:val="417C591A"/>
    <w:rsid w:val="41FC18C8"/>
    <w:rsid w:val="4202174C"/>
    <w:rsid w:val="42274EFE"/>
    <w:rsid w:val="42945A61"/>
    <w:rsid w:val="42AD5A4B"/>
    <w:rsid w:val="42D44C8D"/>
    <w:rsid w:val="43227CB8"/>
    <w:rsid w:val="4328266C"/>
    <w:rsid w:val="43842180"/>
    <w:rsid w:val="43A05A89"/>
    <w:rsid w:val="43A616CE"/>
    <w:rsid w:val="43C27EF1"/>
    <w:rsid w:val="43D90E0A"/>
    <w:rsid w:val="43E831CF"/>
    <w:rsid w:val="43FD7C55"/>
    <w:rsid w:val="44134942"/>
    <w:rsid w:val="441C5582"/>
    <w:rsid w:val="444D2A69"/>
    <w:rsid w:val="4466109F"/>
    <w:rsid w:val="447E5D49"/>
    <w:rsid w:val="448A6149"/>
    <w:rsid w:val="448F7D0F"/>
    <w:rsid w:val="44CF606B"/>
    <w:rsid w:val="452B1BA6"/>
    <w:rsid w:val="45D87F13"/>
    <w:rsid w:val="4643759C"/>
    <w:rsid w:val="46A74335"/>
    <w:rsid w:val="46DD194D"/>
    <w:rsid w:val="46F178BA"/>
    <w:rsid w:val="46F66762"/>
    <w:rsid w:val="46F83433"/>
    <w:rsid w:val="47027C03"/>
    <w:rsid w:val="47534622"/>
    <w:rsid w:val="476C3D5B"/>
    <w:rsid w:val="476D5855"/>
    <w:rsid w:val="477A0C92"/>
    <w:rsid w:val="47A40004"/>
    <w:rsid w:val="48241642"/>
    <w:rsid w:val="4832034A"/>
    <w:rsid w:val="485E5B94"/>
    <w:rsid w:val="488245F6"/>
    <w:rsid w:val="48A36E2C"/>
    <w:rsid w:val="48DC71C4"/>
    <w:rsid w:val="48E37295"/>
    <w:rsid w:val="48EB621C"/>
    <w:rsid w:val="49144D68"/>
    <w:rsid w:val="49315637"/>
    <w:rsid w:val="496F1CFD"/>
    <w:rsid w:val="49BE2DE6"/>
    <w:rsid w:val="49D63FBD"/>
    <w:rsid w:val="49D75FFF"/>
    <w:rsid w:val="4A00313A"/>
    <w:rsid w:val="4A0F7888"/>
    <w:rsid w:val="4A2A2CEF"/>
    <w:rsid w:val="4A2E2FE7"/>
    <w:rsid w:val="4A5D6CA6"/>
    <w:rsid w:val="4A7266F3"/>
    <w:rsid w:val="4A8223FB"/>
    <w:rsid w:val="4AA42445"/>
    <w:rsid w:val="4AA54D39"/>
    <w:rsid w:val="4AC84CB6"/>
    <w:rsid w:val="4AD537DE"/>
    <w:rsid w:val="4AEF60DE"/>
    <w:rsid w:val="4AF10BC3"/>
    <w:rsid w:val="4B005A6D"/>
    <w:rsid w:val="4B3E2C56"/>
    <w:rsid w:val="4BC93B91"/>
    <w:rsid w:val="4C050DF6"/>
    <w:rsid w:val="4C236CCB"/>
    <w:rsid w:val="4C3B114E"/>
    <w:rsid w:val="4C5C3E51"/>
    <w:rsid w:val="4CDD4C08"/>
    <w:rsid w:val="4D074BB7"/>
    <w:rsid w:val="4D4000A8"/>
    <w:rsid w:val="4D454D13"/>
    <w:rsid w:val="4D567807"/>
    <w:rsid w:val="4D5F637E"/>
    <w:rsid w:val="4DA25862"/>
    <w:rsid w:val="4DBC25D9"/>
    <w:rsid w:val="4DC26A94"/>
    <w:rsid w:val="4DDF57B3"/>
    <w:rsid w:val="4E3F556B"/>
    <w:rsid w:val="4E49383A"/>
    <w:rsid w:val="4E5C1EF7"/>
    <w:rsid w:val="4EB67B10"/>
    <w:rsid w:val="4ECE5B2D"/>
    <w:rsid w:val="4ED754CB"/>
    <w:rsid w:val="4EE3009C"/>
    <w:rsid w:val="4EFE732A"/>
    <w:rsid w:val="4F141783"/>
    <w:rsid w:val="4F1B6DFD"/>
    <w:rsid w:val="4F335A59"/>
    <w:rsid w:val="4F3532BB"/>
    <w:rsid w:val="4F3662A3"/>
    <w:rsid w:val="4F8D6E36"/>
    <w:rsid w:val="4FB32089"/>
    <w:rsid w:val="4FB66EF5"/>
    <w:rsid w:val="4FB8174A"/>
    <w:rsid w:val="504D546D"/>
    <w:rsid w:val="5110196C"/>
    <w:rsid w:val="5121531A"/>
    <w:rsid w:val="515011AA"/>
    <w:rsid w:val="51502622"/>
    <w:rsid w:val="51542766"/>
    <w:rsid w:val="516163EF"/>
    <w:rsid w:val="51DA53F5"/>
    <w:rsid w:val="520D09B4"/>
    <w:rsid w:val="52620700"/>
    <w:rsid w:val="5266216A"/>
    <w:rsid w:val="52770C83"/>
    <w:rsid w:val="52B017FC"/>
    <w:rsid w:val="52CA15DD"/>
    <w:rsid w:val="53053F00"/>
    <w:rsid w:val="53087D63"/>
    <w:rsid w:val="535B0C65"/>
    <w:rsid w:val="53833DC3"/>
    <w:rsid w:val="540C0192"/>
    <w:rsid w:val="54394824"/>
    <w:rsid w:val="54CC21CA"/>
    <w:rsid w:val="54D76B4A"/>
    <w:rsid w:val="55044EDB"/>
    <w:rsid w:val="55061F60"/>
    <w:rsid w:val="550E5CD3"/>
    <w:rsid w:val="554B3B54"/>
    <w:rsid w:val="554D7ABD"/>
    <w:rsid w:val="55777BD2"/>
    <w:rsid w:val="55F54236"/>
    <w:rsid w:val="560916A9"/>
    <w:rsid w:val="562A2FA4"/>
    <w:rsid w:val="564A65FB"/>
    <w:rsid w:val="568A0800"/>
    <w:rsid w:val="575778B6"/>
    <w:rsid w:val="58191E00"/>
    <w:rsid w:val="58475550"/>
    <w:rsid w:val="58601E73"/>
    <w:rsid w:val="58A236F5"/>
    <w:rsid w:val="59194469"/>
    <w:rsid w:val="59435268"/>
    <w:rsid w:val="59465317"/>
    <w:rsid w:val="594B088F"/>
    <w:rsid w:val="596C29C3"/>
    <w:rsid w:val="59811BCB"/>
    <w:rsid w:val="599B15DA"/>
    <w:rsid w:val="5A325CBA"/>
    <w:rsid w:val="5A363CF8"/>
    <w:rsid w:val="5A4D7DE2"/>
    <w:rsid w:val="5A717C72"/>
    <w:rsid w:val="5AB74302"/>
    <w:rsid w:val="5ABC191D"/>
    <w:rsid w:val="5AC8402A"/>
    <w:rsid w:val="5AF22DDF"/>
    <w:rsid w:val="5B2F486A"/>
    <w:rsid w:val="5B702F4A"/>
    <w:rsid w:val="5B9F4579"/>
    <w:rsid w:val="5BAB12F3"/>
    <w:rsid w:val="5BFA7EF9"/>
    <w:rsid w:val="5C02258C"/>
    <w:rsid w:val="5C9B6C11"/>
    <w:rsid w:val="5CD8413D"/>
    <w:rsid w:val="5CE54E8D"/>
    <w:rsid w:val="5D1E6A9D"/>
    <w:rsid w:val="5DB37B5C"/>
    <w:rsid w:val="5DDB2250"/>
    <w:rsid w:val="5DEE5D92"/>
    <w:rsid w:val="5E3F0650"/>
    <w:rsid w:val="5E6B0D64"/>
    <w:rsid w:val="5E7465E5"/>
    <w:rsid w:val="5E8B02D1"/>
    <w:rsid w:val="5E99597B"/>
    <w:rsid w:val="5EB4380B"/>
    <w:rsid w:val="5EE96074"/>
    <w:rsid w:val="5EFE4832"/>
    <w:rsid w:val="5F867121"/>
    <w:rsid w:val="5FAD039B"/>
    <w:rsid w:val="5FB52189"/>
    <w:rsid w:val="5FB7255D"/>
    <w:rsid w:val="5FC96A9F"/>
    <w:rsid w:val="5FC97B26"/>
    <w:rsid w:val="5FFF7863"/>
    <w:rsid w:val="60A105FC"/>
    <w:rsid w:val="60B82FE3"/>
    <w:rsid w:val="60BB53AA"/>
    <w:rsid w:val="60D733C5"/>
    <w:rsid w:val="61137D7C"/>
    <w:rsid w:val="613F4FDD"/>
    <w:rsid w:val="61435789"/>
    <w:rsid w:val="618818D4"/>
    <w:rsid w:val="61B515E4"/>
    <w:rsid w:val="61C1320B"/>
    <w:rsid w:val="61CF3495"/>
    <w:rsid w:val="61E442C1"/>
    <w:rsid w:val="620F2698"/>
    <w:rsid w:val="62366198"/>
    <w:rsid w:val="62434561"/>
    <w:rsid w:val="628F1941"/>
    <w:rsid w:val="62FC1B70"/>
    <w:rsid w:val="63227739"/>
    <w:rsid w:val="63342563"/>
    <w:rsid w:val="63362567"/>
    <w:rsid w:val="63602008"/>
    <w:rsid w:val="63636307"/>
    <w:rsid w:val="63D75C50"/>
    <w:rsid w:val="643C70CC"/>
    <w:rsid w:val="64933929"/>
    <w:rsid w:val="649B34D3"/>
    <w:rsid w:val="653B7A9C"/>
    <w:rsid w:val="655D5954"/>
    <w:rsid w:val="65903FEA"/>
    <w:rsid w:val="6595149C"/>
    <w:rsid w:val="65AE6ED3"/>
    <w:rsid w:val="65C57E68"/>
    <w:rsid w:val="65C75448"/>
    <w:rsid w:val="66073A76"/>
    <w:rsid w:val="660E523E"/>
    <w:rsid w:val="66AB7B01"/>
    <w:rsid w:val="66EE2507"/>
    <w:rsid w:val="66FC721D"/>
    <w:rsid w:val="671C4DBE"/>
    <w:rsid w:val="67275733"/>
    <w:rsid w:val="67414D4C"/>
    <w:rsid w:val="6750600F"/>
    <w:rsid w:val="677152D3"/>
    <w:rsid w:val="67863F4D"/>
    <w:rsid w:val="678E7FB6"/>
    <w:rsid w:val="67D75A63"/>
    <w:rsid w:val="681036E9"/>
    <w:rsid w:val="681E2028"/>
    <w:rsid w:val="683B7096"/>
    <w:rsid w:val="686D7198"/>
    <w:rsid w:val="688C4B75"/>
    <w:rsid w:val="68BA7327"/>
    <w:rsid w:val="68DC740D"/>
    <w:rsid w:val="68E269B8"/>
    <w:rsid w:val="68F65465"/>
    <w:rsid w:val="69751557"/>
    <w:rsid w:val="69990901"/>
    <w:rsid w:val="69AF55FB"/>
    <w:rsid w:val="69CF04B4"/>
    <w:rsid w:val="69DF1574"/>
    <w:rsid w:val="69E95162"/>
    <w:rsid w:val="69EB3A5E"/>
    <w:rsid w:val="69EF15C3"/>
    <w:rsid w:val="6A2506CC"/>
    <w:rsid w:val="6A2C31DA"/>
    <w:rsid w:val="6A4B60BA"/>
    <w:rsid w:val="6A4C1E46"/>
    <w:rsid w:val="6A9A4ACE"/>
    <w:rsid w:val="6AC738D9"/>
    <w:rsid w:val="6AD423E1"/>
    <w:rsid w:val="6B025BAC"/>
    <w:rsid w:val="6B185956"/>
    <w:rsid w:val="6B416793"/>
    <w:rsid w:val="6B466B9F"/>
    <w:rsid w:val="6B4F19D7"/>
    <w:rsid w:val="6B876542"/>
    <w:rsid w:val="6BAB60DF"/>
    <w:rsid w:val="6BB25009"/>
    <w:rsid w:val="6BB3177E"/>
    <w:rsid w:val="6C290618"/>
    <w:rsid w:val="6C6D0F5D"/>
    <w:rsid w:val="6C871C51"/>
    <w:rsid w:val="6CAE03F5"/>
    <w:rsid w:val="6CCC35FC"/>
    <w:rsid w:val="6D060FB5"/>
    <w:rsid w:val="6D2E1C71"/>
    <w:rsid w:val="6D600029"/>
    <w:rsid w:val="6D82552E"/>
    <w:rsid w:val="6E1F5238"/>
    <w:rsid w:val="6E2A6E77"/>
    <w:rsid w:val="6E2E4217"/>
    <w:rsid w:val="6EDA609F"/>
    <w:rsid w:val="6F8F59B9"/>
    <w:rsid w:val="6FB059C5"/>
    <w:rsid w:val="703A6A5C"/>
    <w:rsid w:val="707164E4"/>
    <w:rsid w:val="71306103"/>
    <w:rsid w:val="71DA77D0"/>
    <w:rsid w:val="71F1084E"/>
    <w:rsid w:val="72076BF0"/>
    <w:rsid w:val="723D00E1"/>
    <w:rsid w:val="72404633"/>
    <w:rsid w:val="72407FF3"/>
    <w:rsid w:val="72DB5CC0"/>
    <w:rsid w:val="72FF5A25"/>
    <w:rsid w:val="7324705E"/>
    <w:rsid w:val="736635D0"/>
    <w:rsid w:val="736E5ACA"/>
    <w:rsid w:val="73AE6B07"/>
    <w:rsid w:val="73EA5241"/>
    <w:rsid w:val="740972F1"/>
    <w:rsid w:val="74150303"/>
    <w:rsid w:val="74352AC3"/>
    <w:rsid w:val="748345E9"/>
    <w:rsid w:val="74F51012"/>
    <w:rsid w:val="7507087D"/>
    <w:rsid w:val="75171BFD"/>
    <w:rsid w:val="752A66D7"/>
    <w:rsid w:val="75452432"/>
    <w:rsid w:val="757C592E"/>
    <w:rsid w:val="758D4EE2"/>
    <w:rsid w:val="75B72BE1"/>
    <w:rsid w:val="764B3A5C"/>
    <w:rsid w:val="765839FD"/>
    <w:rsid w:val="76765E12"/>
    <w:rsid w:val="76A2766B"/>
    <w:rsid w:val="76B37ACA"/>
    <w:rsid w:val="76C545ED"/>
    <w:rsid w:val="772F7546"/>
    <w:rsid w:val="77335BF0"/>
    <w:rsid w:val="77A376AA"/>
    <w:rsid w:val="77D8405D"/>
    <w:rsid w:val="77EB29D6"/>
    <w:rsid w:val="780C1520"/>
    <w:rsid w:val="78314878"/>
    <w:rsid w:val="78667E82"/>
    <w:rsid w:val="788633EB"/>
    <w:rsid w:val="788A07DD"/>
    <w:rsid w:val="788B617A"/>
    <w:rsid w:val="78B1371A"/>
    <w:rsid w:val="78B51195"/>
    <w:rsid w:val="791F51E1"/>
    <w:rsid w:val="79246FB2"/>
    <w:rsid w:val="796219D9"/>
    <w:rsid w:val="79CD62DA"/>
    <w:rsid w:val="79D069CC"/>
    <w:rsid w:val="7A04466B"/>
    <w:rsid w:val="7AA832C4"/>
    <w:rsid w:val="7B9D75A8"/>
    <w:rsid w:val="7BA34379"/>
    <w:rsid w:val="7BE9430A"/>
    <w:rsid w:val="7BEF7938"/>
    <w:rsid w:val="7BF770C9"/>
    <w:rsid w:val="7BFA4AE2"/>
    <w:rsid w:val="7C872E38"/>
    <w:rsid w:val="7C9E7241"/>
    <w:rsid w:val="7CB431CE"/>
    <w:rsid w:val="7CE13690"/>
    <w:rsid w:val="7CF95B7A"/>
    <w:rsid w:val="7D034371"/>
    <w:rsid w:val="7D374388"/>
    <w:rsid w:val="7D41763C"/>
    <w:rsid w:val="7E483366"/>
    <w:rsid w:val="7E576C8C"/>
    <w:rsid w:val="7E683E27"/>
    <w:rsid w:val="7EAF7F10"/>
    <w:rsid w:val="7EBC472A"/>
    <w:rsid w:val="7EDE5B9D"/>
    <w:rsid w:val="7EE65CDF"/>
    <w:rsid w:val="7F157EB8"/>
    <w:rsid w:val="7F220D3B"/>
    <w:rsid w:val="7F371A29"/>
    <w:rsid w:val="7F3E03F8"/>
    <w:rsid w:val="7F940CC0"/>
    <w:rsid w:val="7FA523C5"/>
    <w:rsid w:val="7FA72FB7"/>
    <w:rsid w:val="7FAC432B"/>
    <w:rsid w:val="7FB02FDA"/>
    <w:rsid w:val="7FBD4ECC"/>
    <w:rsid w:val="7FD36406"/>
    <w:rsid w:val="FFCB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pPr>
    <w:rPr>
      <w:rFonts w:ascii="Times New Roman" w:hAnsi="Times New Roman" w:eastAsia="仿宋" w:cs="Times New Roman"/>
      <w:kern w:val="2"/>
      <w:sz w:val="24"/>
      <w:szCs w:val="24"/>
      <w:lang w:val="en-US" w:eastAsia="zh-CN" w:bidi="ar-SA"/>
    </w:rPr>
  </w:style>
  <w:style w:type="paragraph" w:styleId="2">
    <w:name w:val="heading 1"/>
    <w:basedOn w:val="1"/>
    <w:next w:val="1"/>
    <w:link w:val="30"/>
    <w:qFormat/>
    <w:uiPriority w:val="0"/>
    <w:pPr>
      <w:keepNext/>
      <w:keepLines/>
      <w:spacing w:before="340" w:after="330" w:line="578" w:lineRule="auto"/>
      <w:jc w:val="center"/>
      <w:outlineLvl w:val="0"/>
    </w:pPr>
    <w:rPr>
      <w:rFonts w:eastAsia="仿宋"/>
      <w:b/>
      <w:bCs/>
      <w:kern w:val="44"/>
      <w:sz w:val="36"/>
      <w:szCs w:val="44"/>
    </w:rPr>
  </w:style>
  <w:style w:type="paragraph" w:styleId="3">
    <w:name w:val="heading 2"/>
    <w:basedOn w:val="1"/>
    <w:next w:val="1"/>
    <w:qFormat/>
    <w:uiPriority w:val="0"/>
    <w:pPr>
      <w:keepNext/>
      <w:keepLines/>
      <w:numPr>
        <w:ilvl w:val="1"/>
        <w:numId w:val="1"/>
      </w:numPr>
      <w:spacing w:before="100" w:beforeLines="100" w:after="30" w:afterLines="30" w:line="400" w:lineRule="exact"/>
      <w:jc w:val="center"/>
      <w:outlineLvl w:val="1"/>
    </w:pPr>
    <w:rPr>
      <w:b/>
      <w:bCs/>
      <w:color w:val="000000" w:themeColor="text1"/>
      <w:kern w:val="0"/>
      <w:sz w:val="30"/>
      <w:szCs w:val="32"/>
      <w14:textFill>
        <w14:solidFill>
          <w14:schemeClr w14:val="tx1"/>
        </w14:solidFill>
      </w14:textFill>
    </w:rPr>
  </w:style>
  <w:style w:type="paragraph" w:styleId="4">
    <w:name w:val="heading 3"/>
    <w:basedOn w:val="1"/>
    <w:next w:val="1"/>
    <w:link w:val="31"/>
    <w:unhideWhenUsed/>
    <w:qFormat/>
    <w:uiPriority w:val="0"/>
    <w:pPr>
      <w:keepNext/>
      <w:keepLines/>
      <w:spacing w:before="400" w:after="120" w:line="160" w:lineRule="exact"/>
      <w:outlineLvl w:val="2"/>
    </w:pPr>
    <w:rPr>
      <w:b/>
    </w:rPr>
  </w:style>
  <w:style w:type="paragraph" w:styleId="5">
    <w:name w:val="heading 4"/>
    <w:basedOn w:val="1"/>
    <w:next w:val="1"/>
    <w:unhideWhenUsed/>
    <w:qFormat/>
    <w:uiPriority w:val="0"/>
    <w:pPr>
      <w:keepNext/>
      <w:keepLines/>
      <w:spacing w:before="400" w:after="120" w:line="160" w:lineRule="exact"/>
      <w:outlineLvl w:val="3"/>
    </w:pPr>
    <w:rPr>
      <w:rFonts w:ascii="Arial" w:hAnsi="Arial"/>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jc w:val="center"/>
      <w:outlineLvl w:val="4"/>
    </w:pPr>
    <w:rPr>
      <w:b/>
      <w:sz w:val="36"/>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qFormat/>
    <w:uiPriority w:val="0"/>
    <w:pPr>
      <w:spacing w:line="400" w:lineRule="exact"/>
    </w:pPr>
    <w:rPr>
      <w:sz w:val="21"/>
    </w:rPr>
  </w:style>
  <w:style w:type="paragraph" w:styleId="9">
    <w:name w:val="Body Text"/>
    <w:basedOn w:val="1"/>
    <w:semiHidden/>
    <w:qFormat/>
    <w:uiPriority w:val="0"/>
    <w:rPr>
      <w:rFonts w:ascii="黑体" w:hAnsi="黑体" w:eastAsia="黑体" w:cs="黑体"/>
      <w:sz w:val="28"/>
      <w:szCs w:val="28"/>
      <w:lang w:val="en-US" w:eastAsia="en-US" w:bidi="ar-SA"/>
    </w:rPr>
  </w:style>
  <w:style w:type="paragraph" w:styleId="10">
    <w:name w:val="toc 3"/>
    <w:basedOn w:val="1"/>
    <w:next w:val="1"/>
    <w:qFormat/>
    <w:uiPriority w:val="39"/>
    <w:pPr>
      <w:ind w:left="840" w:leftChars="400"/>
    </w:p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3">
    <w:name w:val="toc 1"/>
    <w:basedOn w:val="1"/>
    <w:next w:val="1"/>
    <w:link w:val="37"/>
    <w:qFormat/>
    <w:uiPriority w:val="39"/>
    <w:pPr>
      <w:tabs>
        <w:tab w:val="left" w:pos="420"/>
        <w:tab w:val="right" w:leader="dot" w:pos="8607"/>
      </w:tabs>
      <w:spacing w:before="120" w:after="120" w:line="480" w:lineRule="auto"/>
    </w:pPr>
    <w:rPr>
      <w:b/>
      <w:bCs/>
      <w:caps/>
      <w:szCs w:val="28"/>
    </w:rPr>
  </w:style>
  <w:style w:type="paragraph" w:styleId="14">
    <w:name w:val="toc 2"/>
    <w:basedOn w:val="1"/>
    <w:next w:val="1"/>
    <w:qFormat/>
    <w:uiPriority w:val="39"/>
    <w:pPr>
      <w:tabs>
        <w:tab w:val="right" w:leader="dot" w:pos="8607"/>
      </w:tabs>
      <w:spacing w:line="480" w:lineRule="auto"/>
      <w:ind w:left="210"/>
    </w:pPr>
    <w:rPr>
      <w:smallCaps/>
      <w:kern w:val="0"/>
      <w:szCs w:val="28"/>
    </w:rPr>
  </w:style>
  <w:style w:type="paragraph" w:styleId="15">
    <w:name w:val="Normal (Web)"/>
    <w:basedOn w:val="1"/>
    <w:qFormat/>
    <w:uiPriority w:val="0"/>
    <w:pPr>
      <w:spacing w:beforeAutospacing="1" w:afterAutospacing="1"/>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800080"/>
      <w:u w:val="single"/>
    </w:rPr>
  </w:style>
  <w:style w:type="character" w:styleId="21">
    <w:name w:val="Hyperlink"/>
    <w:qFormat/>
    <w:uiPriority w:val="99"/>
    <w:rPr>
      <w:color w:val="0000FF"/>
      <w:u w:val="single"/>
    </w:rPr>
  </w:style>
  <w:style w:type="paragraph" w:customStyle="1" w:styleId="22">
    <w:name w:val="封面2"/>
    <w:basedOn w:val="1"/>
    <w:qFormat/>
    <w:uiPriority w:val="0"/>
    <w:rPr>
      <w:rFonts w:eastAsia="宋体"/>
      <w:b/>
      <w:sz w:val="32"/>
    </w:rPr>
  </w:style>
  <w:style w:type="paragraph" w:customStyle="1" w:styleId="23">
    <w:name w:val="图片标题"/>
    <w:basedOn w:val="24"/>
    <w:qFormat/>
    <w:uiPriority w:val="0"/>
    <w:pPr>
      <w:numPr>
        <w:ilvl w:val="4"/>
      </w:numPr>
    </w:pPr>
    <w:rPr>
      <w:rFonts w:eastAsia="仿宋"/>
    </w:rPr>
  </w:style>
  <w:style w:type="paragraph" w:customStyle="1" w:styleId="24">
    <w:name w:val="表格标题"/>
    <w:basedOn w:val="1"/>
    <w:qFormat/>
    <w:uiPriority w:val="0"/>
    <w:pPr>
      <w:numPr>
        <w:ilvl w:val="5"/>
        <w:numId w:val="1"/>
      </w:numPr>
      <w:spacing w:line="240" w:lineRule="auto"/>
      <w:ind w:firstLine="0"/>
      <w:jc w:val="center"/>
    </w:pPr>
    <w:rPr>
      <w:rFonts w:eastAsia="宋体"/>
      <w:b/>
      <w:sz w:val="24"/>
    </w:rPr>
  </w:style>
  <w:style w:type="paragraph" w:customStyle="1" w:styleId="25">
    <w:name w:val="表格内容"/>
    <w:basedOn w:val="1"/>
    <w:qFormat/>
    <w:uiPriority w:val="0"/>
    <w:pPr>
      <w:adjustRightInd w:val="0"/>
      <w:spacing w:line="300" w:lineRule="exact"/>
      <w:jc w:val="center"/>
    </w:pPr>
    <w:rPr>
      <w:rFonts w:eastAsia="宋体"/>
      <w:snapToGrid w:val="0"/>
      <w:color w:val="000000"/>
      <w:kern w:val="0"/>
      <w:sz w:val="24"/>
      <w:szCs w:val="18"/>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 w:type="paragraph" w:customStyle="1" w:styleId="2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9">
    <w:name w:val="封面"/>
    <w:basedOn w:val="1"/>
    <w:qFormat/>
    <w:uiPriority w:val="0"/>
    <w:pPr>
      <w:jc w:val="center"/>
    </w:pPr>
    <w:rPr>
      <w:rFonts w:hint="eastAsia" w:ascii="黑体" w:hAnsi="黑体" w:eastAsia="黑体" w:cs="黑体"/>
      <w:b/>
      <w:sz w:val="52"/>
      <w:szCs w:val="52"/>
    </w:rPr>
  </w:style>
  <w:style w:type="character" w:customStyle="1" w:styleId="30">
    <w:name w:val="标题 1 字符"/>
    <w:link w:val="2"/>
    <w:qFormat/>
    <w:uiPriority w:val="0"/>
    <w:rPr>
      <w:rFonts w:ascii="Times New Roman" w:hAnsi="Times New Roman" w:eastAsia="仿宋"/>
      <w:b/>
      <w:bCs/>
      <w:kern w:val="44"/>
      <w:sz w:val="36"/>
      <w:szCs w:val="44"/>
    </w:rPr>
  </w:style>
  <w:style w:type="character" w:customStyle="1" w:styleId="31">
    <w:name w:val="标题 3 字符"/>
    <w:link w:val="4"/>
    <w:qFormat/>
    <w:uiPriority w:val="0"/>
    <w:rPr>
      <w:rFonts w:ascii="Times New Roman" w:hAnsi="Times New Roman" w:eastAsia="仿宋"/>
      <w:b/>
      <w:sz w:val="28"/>
    </w:rPr>
  </w:style>
  <w:style w:type="character" w:customStyle="1" w:styleId="32">
    <w:name w:val="font11"/>
    <w:basedOn w:val="18"/>
    <w:qFormat/>
    <w:uiPriority w:val="0"/>
    <w:rPr>
      <w:rFonts w:hint="default" w:ascii="Arial" w:hAnsi="Arial" w:cs="Arial"/>
      <w:color w:val="191919"/>
      <w:sz w:val="24"/>
      <w:szCs w:val="24"/>
      <w:u w:val="none"/>
    </w:rPr>
  </w:style>
  <w:style w:type="character" w:customStyle="1" w:styleId="33">
    <w:name w:val="font21"/>
    <w:basedOn w:val="18"/>
    <w:qFormat/>
    <w:uiPriority w:val="0"/>
    <w:rPr>
      <w:rFonts w:hint="eastAsia" w:ascii="宋体" w:hAnsi="宋体" w:eastAsia="宋体" w:cs="宋体"/>
      <w:color w:val="191919"/>
      <w:sz w:val="24"/>
      <w:szCs w:val="24"/>
      <w:u w:val="none"/>
    </w:rPr>
  </w:style>
  <w:style w:type="paragraph" w:customStyle="1" w:styleId="34">
    <w:name w:val="正文文本1"/>
    <w:basedOn w:val="1"/>
    <w:qFormat/>
    <w:uiPriority w:val="0"/>
    <w:pPr>
      <w:spacing w:after="320" w:line="420" w:lineRule="auto"/>
    </w:pPr>
    <w:rPr>
      <w:rFonts w:ascii="黑体" w:hAnsi="黑体" w:eastAsia="黑体" w:cs="黑体"/>
      <w:sz w:val="20"/>
      <w:szCs w:val="20"/>
    </w:rPr>
  </w:style>
  <w:style w:type="paragraph" w:customStyle="1" w:styleId="35">
    <w:name w:val="正文文本 (3)"/>
    <w:basedOn w:val="1"/>
    <w:qFormat/>
    <w:uiPriority w:val="0"/>
    <w:pPr>
      <w:spacing w:line="254" w:lineRule="exact"/>
      <w:ind w:left="130"/>
    </w:pPr>
    <w:rPr>
      <w:rFonts w:ascii="宋体" w:hAnsi="宋体" w:eastAsia="宋体" w:cs="宋体"/>
      <w:color w:val="696B6B"/>
      <w:sz w:val="19"/>
      <w:szCs w:val="19"/>
    </w:rPr>
  </w:style>
  <w:style w:type="paragraph" w:customStyle="1" w:styleId="36">
    <w:name w:val="正文文本 (2)"/>
    <w:basedOn w:val="1"/>
    <w:qFormat/>
    <w:uiPriority w:val="0"/>
    <w:pPr>
      <w:spacing w:line="238" w:lineRule="exact"/>
    </w:pPr>
    <w:rPr>
      <w:rFonts w:ascii="黑体" w:hAnsi="黑体" w:eastAsia="黑体" w:cs="黑体"/>
      <w:color w:val="013864"/>
      <w:sz w:val="17"/>
      <w:szCs w:val="17"/>
    </w:rPr>
  </w:style>
  <w:style w:type="character" w:customStyle="1" w:styleId="37">
    <w:name w:val="目录 1 Char"/>
    <w:link w:val="13"/>
    <w:qFormat/>
    <w:uiPriority w:val="39"/>
    <w:rPr>
      <w:b/>
      <w:bCs/>
      <w:caps/>
      <w:szCs w:val="28"/>
    </w:rPr>
  </w:style>
  <w:style w:type="paragraph" w:customStyle="1" w:styleId="38">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9">
    <w:name w:val="条"/>
    <w:basedOn w:val="1"/>
    <w:qFormat/>
    <w:uiPriority w:val="0"/>
    <w:pPr>
      <w:ind w:firstLine="0" w:firstLineChars="0"/>
      <w:jc w:val="both"/>
    </w:pPr>
    <w:rPr>
      <w:rFonts w:ascii="黑体" w:hAnsi="黑体"/>
    </w:rPr>
  </w:style>
  <w:style w:type="paragraph" w:customStyle="1" w:styleId="40">
    <w:name w:val="图表标"/>
    <w:basedOn w:val="1"/>
    <w:qFormat/>
    <w:uiPriority w:val="0"/>
    <w:pPr>
      <w:ind w:firstLine="0" w:firstLineChars="0"/>
      <w:jc w:val="center"/>
    </w:pPr>
    <w:rPr>
      <w:rFonts w:eastAsia="黑体"/>
    </w:rPr>
  </w:style>
  <w:style w:type="paragraph" w:customStyle="1" w:styleId="41">
    <w:name w:val="表内容"/>
    <w:basedOn w:val="39"/>
    <w:qFormat/>
    <w:uiPriority w:val="0"/>
    <w:pPr>
      <w:spacing w:line="0" w:lineRule="atLeast"/>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7269</Words>
  <Characters>41434</Characters>
  <Lines>345</Lines>
  <Paragraphs>97</Paragraphs>
  <TotalTime>0</TotalTime>
  <ScaleCrop>false</ScaleCrop>
  <LinksUpToDate>false</LinksUpToDate>
  <CharactersWithSpaces>48606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2021-04-01T14:04:00Z</dcterms:created>
  <dc:creator>哒哒哒雯雯</dc:creator>
  <cp:lastModifiedBy>administrator</cp:lastModifiedBy>
  <cp:lastPrinted>2021-04-12T09:13:00Z</cp:lastPrinted>
  <dcterms:modified xsi:type="dcterms:W3CDTF">2024-03-29T14:12:29Z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736E9DC877DE46AF95072D9C33F827CD_13</vt:lpwstr>
  </property>
</Properties>
</file>