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52"/>
          <w:szCs w:val="52"/>
        </w:rPr>
        <w:t>青海省住房和城乡建设厅</w:t>
      </w:r>
      <w:r w:rsidRPr="00FD5598">
        <w:rPr>
          <w:rFonts w:ascii="Cambria" w:eastAsia="宋体" w:hAnsi="Cambria" w:cs="Times New Roman"/>
          <w:b/>
          <w:bCs/>
          <w:color w:val="313234"/>
          <w:sz w:val="52"/>
          <w:szCs w:val="52"/>
        </w:rPr>
        <w:t>2018</w:t>
      </w:r>
      <w:r w:rsidRPr="00FD5598">
        <w:rPr>
          <w:rFonts w:ascii="宋体" w:eastAsia="宋体" w:hAnsi="宋体" w:cs="Times New Roman" w:hint="eastAsia"/>
          <w:b/>
          <w:bCs/>
          <w:color w:val="313234"/>
          <w:sz w:val="52"/>
          <w:szCs w:val="52"/>
        </w:rPr>
        <w:t>年部门预算</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Times New Roman" w:eastAsia="宋体" w:hAnsi="Times New Roman" w:cs="Times New Roman"/>
          <w:color w:val="313234"/>
          <w:sz w:val="21"/>
          <w:szCs w:val="21"/>
        </w:rPr>
        <w:t> </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Times New Roman" w:eastAsia="宋体" w:hAnsi="Times New Roman" w:cs="Times New Roman"/>
          <w:color w:val="313234"/>
          <w:sz w:val="21"/>
          <w:szCs w:val="21"/>
        </w:rPr>
        <w:t> </w:t>
      </w:r>
    </w:p>
    <w:p w:rsidR="00FD5598" w:rsidRPr="00FD5598" w:rsidRDefault="00FD5598" w:rsidP="00FD5598">
      <w:pPr>
        <w:adjustRightInd/>
        <w:snapToGrid/>
        <w:spacing w:after="0" w:line="560" w:lineRule="atLeast"/>
        <w:ind w:firstLine="48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2"/>
          <w:szCs w:val="32"/>
        </w:rPr>
        <w:t> </w:t>
      </w:r>
    </w:p>
    <w:p w:rsidR="00FD5598" w:rsidRPr="00FD5598" w:rsidRDefault="00FD5598" w:rsidP="00FD5598">
      <w:pPr>
        <w:adjustRightInd/>
        <w:snapToGrid/>
        <w:spacing w:after="0" w:line="560" w:lineRule="atLeast"/>
        <w:ind w:firstLine="723"/>
        <w:jc w:val="center"/>
        <w:rPr>
          <w:rFonts w:ascii="Times New Roman" w:eastAsia="宋体" w:hAnsi="Times New Roman" w:cs="Times New Roman"/>
          <w:color w:val="313234"/>
          <w:sz w:val="21"/>
          <w:szCs w:val="21"/>
        </w:rPr>
      </w:pPr>
      <w:r w:rsidRPr="00FD5598">
        <w:rPr>
          <w:rFonts w:ascii="小标宋" w:eastAsia="小标宋" w:hAnsi="Times New Roman" w:cs="Times New Roman" w:hint="eastAsia"/>
          <w:b/>
          <w:bCs/>
          <w:color w:val="000000"/>
          <w:sz w:val="36"/>
          <w:szCs w:val="36"/>
        </w:rPr>
        <w:t xml:space="preserve">目　</w:t>
      </w:r>
      <w:r w:rsidRPr="00FD5598">
        <w:rPr>
          <w:rFonts w:ascii="小标宋" w:eastAsia="小标宋" w:hAnsi="Times New Roman" w:cs="Times New Roman" w:hint="eastAsia"/>
          <w:b/>
          <w:bCs/>
          <w:color w:val="000000"/>
          <w:sz w:val="36"/>
          <w:szCs w:val="36"/>
        </w:rPr>
        <w:t> </w:t>
      </w:r>
      <w:r w:rsidRPr="00FD5598">
        <w:rPr>
          <w:rFonts w:ascii="小标宋" w:eastAsia="小标宋" w:hAnsi="Times New Roman" w:cs="Times New Roman" w:hint="eastAsia"/>
          <w:b/>
          <w:bCs/>
          <w:color w:val="000000"/>
          <w:sz w:val="36"/>
          <w:szCs w:val="36"/>
        </w:rPr>
        <w:t>录</w:t>
      </w:r>
    </w:p>
    <w:p w:rsidR="00FD5598" w:rsidRPr="00FD5598" w:rsidRDefault="00FD5598" w:rsidP="00FD5598">
      <w:pPr>
        <w:adjustRightInd/>
        <w:snapToGrid/>
        <w:spacing w:after="0" w:line="560" w:lineRule="atLeast"/>
        <w:ind w:firstLine="720"/>
        <w:jc w:val="center"/>
        <w:rPr>
          <w:rFonts w:ascii="Times New Roman" w:eastAsia="宋体" w:hAnsi="Times New Roman" w:cs="Times New Roman"/>
          <w:color w:val="313234"/>
          <w:sz w:val="21"/>
          <w:szCs w:val="21"/>
        </w:rPr>
      </w:pPr>
      <w:r w:rsidRPr="00FD5598">
        <w:rPr>
          <w:rFonts w:ascii="小标宋" w:eastAsia="小标宋" w:hAnsi="Times New Roman" w:cs="Times New Roman" w:hint="eastAsia"/>
          <w:color w:val="000000"/>
          <w:sz w:val="36"/>
          <w:szCs w:val="36"/>
        </w:rPr>
        <w:t> </w:t>
      </w:r>
    </w:p>
    <w:p w:rsidR="00FD5598" w:rsidRPr="00FD5598" w:rsidRDefault="00FD5598" w:rsidP="00FD5598">
      <w:pPr>
        <w:adjustRightInd/>
        <w:snapToGrid/>
        <w:spacing w:after="0" w:line="560" w:lineRule="atLeast"/>
        <w:ind w:firstLine="643"/>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000000"/>
          <w:sz w:val="32"/>
          <w:szCs w:val="32"/>
        </w:rPr>
        <w:t>第一部分　青海省住房和城乡建设厅部概况</w:t>
      </w:r>
    </w:p>
    <w:p w:rsidR="00FD5598" w:rsidRPr="00FD5598" w:rsidRDefault="00FD5598" w:rsidP="00FD5598">
      <w:pPr>
        <w:adjustRightInd/>
        <w:snapToGrid/>
        <w:spacing w:after="0" w:line="560" w:lineRule="atLeast"/>
        <w:ind w:firstLine="128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2"/>
          <w:szCs w:val="32"/>
        </w:rPr>
        <w:t>一、主要职能</w:t>
      </w:r>
    </w:p>
    <w:p w:rsidR="00FD5598" w:rsidRPr="00FD5598" w:rsidRDefault="00FD5598" w:rsidP="00FD5598">
      <w:pPr>
        <w:adjustRightInd/>
        <w:snapToGrid/>
        <w:spacing w:after="0" w:line="560" w:lineRule="atLeast"/>
        <w:ind w:firstLine="128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2"/>
          <w:szCs w:val="32"/>
        </w:rPr>
        <w:t>二、部门预算单位构成</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宋体" w:eastAsia="宋体" w:hAnsi="宋体" w:cs="宋体" w:hint="eastAsia"/>
          <w:color w:val="000000"/>
          <w:sz w:val="32"/>
          <w:szCs w:val="32"/>
        </w:rPr>
        <w:t> </w:t>
      </w:r>
    </w:p>
    <w:p w:rsidR="00FD5598" w:rsidRPr="00FD5598" w:rsidRDefault="00FD5598" w:rsidP="00FD5598">
      <w:pPr>
        <w:adjustRightInd/>
        <w:snapToGrid/>
        <w:spacing w:after="0" w:line="560" w:lineRule="atLeast"/>
        <w:ind w:firstLine="643"/>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000000"/>
          <w:sz w:val="32"/>
          <w:szCs w:val="32"/>
        </w:rPr>
        <w:t>第二部分　青海省住房和城乡建设厅2018年度部门预算表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一、财政拨款收支总表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二、一般公共预算支出表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三、一般公共预算基本支出表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四、一般公共预算“三公”经费支出表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五、政府性基金预算支出表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六、部门收支总表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七、部门收入总表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八、部门支出总表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仿宋" w:eastAsia="仿宋" w:hAnsi="仿宋" w:cs="Times New Roman" w:hint="eastAsia"/>
          <w:color w:val="000000"/>
          <w:sz w:val="30"/>
          <w:szCs w:val="30"/>
        </w:rPr>
        <w:t>九、部门项目支出表</w:t>
      </w:r>
    </w:p>
    <w:p w:rsidR="00FD5598" w:rsidRPr="00FD5598" w:rsidRDefault="00FD5598" w:rsidP="00FD5598">
      <w:pPr>
        <w:adjustRightInd/>
        <w:snapToGrid/>
        <w:spacing w:after="0" w:line="560" w:lineRule="atLeast"/>
        <w:ind w:firstLine="1200"/>
        <w:jc w:val="both"/>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43"/>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000000"/>
          <w:sz w:val="32"/>
          <w:szCs w:val="32"/>
        </w:rPr>
        <w:t>第三部分 青海省住房和城乡建设厅2018年部门预算情况说明</w:t>
      </w:r>
    </w:p>
    <w:p w:rsidR="00FD5598" w:rsidRPr="00FD5598" w:rsidRDefault="00FD5598" w:rsidP="00FD5598">
      <w:pPr>
        <w:adjustRightInd/>
        <w:snapToGrid/>
        <w:spacing w:after="0" w:line="560" w:lineRule="atLeast"/>
        <w:ind w:firstLine="643"/>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000000"/>
          <w:sz w:val="32"/>
          <w:szCs w:val="32"/>
        </w:rPr>
        <w:t> </w:t>
      </w:r>
    </w:p>
    <w:p w:rsidR="00FD5598" w:rsidRPr="00FD5598" w:rsidRDefault="00FD5598" w:rsidP="00FD5598">
      <w:pPr>
        <w:adjustRightInd/>
        <w:snapToGrid/>
        <w:spacing w:after="0" w:line="560" w:lineRule="atLeast"/>
        <w:ind w:firstLine="643"/>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000000"/>
          <w:sz w:val="32"/>
          <w:szCs w:val="32"/>
        </w:rPr>
        <w:lastRenderedPageBreak/>
        <w:t>第四部分 名词解释</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723"/>
        <w:jc w:val="center"/>
        <w:rPr>
          <w:rFonts w:ascii="Times New Roman" w:eastAsia="宋体" w:hAnsi="Times New Roman" w:cs="Times New Roman"/>
          <w:color w:val="313234"/>
          <w:sz w:val="21"/>
          <w:szCs w:val="21"/>
        </w:rPr>
      </w:pPr>
      <w:r w:rsidRPr="00FD5598">
        <w:rPr>
          <w:rFonts w:ascii="小标宋" w:eastAsia="小标宋" w:hAnsi="Times New Roman" w:cs="Times New Roman" w:hint="eastAsia"/>
          <w:b/>
          <w:bCs/>
          <w:color w:val="000000"/>
          <w:sz w:val="36"/>
          <w:szCs w:val="36"/>
        </w:rPr>
        <w:t>第一部分　青海省住房和城乡建设厅概况</w:t>
      </w:r>
    </w:p>
    <w:p w:rsidR="00FD5598" w:rsidRPr="00FD5598" w:rsidRDefault="00FD5598" w:rsidP="00FD5598">
      <w:pPr>
        <w:adjustRightInd/>
        <w:snapToGrid/>
        <w:spacing w:after="0" w:line="560" w:lineRule="atLeast"/>
        <w:ind w:firstLine="600"/>
        <w:jc w:val="both"/>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一、主要职能</w:t>
      </w:r>
    </w:p>
    <w:p w:rsidR="00FD5598" w:rsidRPr="00FD5598" w:rsidRDefault="00FD5598" w:rsidP="00FD5598">
      <w:pPr>
        <w:adjustRightInd/>
        <w:snapToGrid/>
        <w:spacing w:after="0" w:line="560" w:lineRule="atLeast"/>
        <w:ind w:firstLine="592"/>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根据省政府办公厅《关于印发青海省教育厅等8个厅局主要职责内设机构和人员编制规定的通知》（青政办〔2014〕119号），青海省住房和城乡建设厅是省政府组成部门，主要职责是：</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贯彻执行国家有关住房和城乡建设的方针政策和法律法规；起草住房和城乡建设的地方性法规、政府规章草案；拟订住房和城乡建设发展规划并组织实施；研究住房和城乡建设方面的重大问题，并提出建议。</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（2）承担保障城镇低收入家庭住房的责任。建立和完善住房保障管理制度；拟订保障性住房、危旧房改造的中长期规划、年度计划和政策，并组织实施。</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（3）承担推进住房制度改革的责任。拟订住房制度改革相关政策，组织和指导实施。</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4）负责工程建设管理工作。负责重点工程项目建设的协调、调度和监管以及征收拆迁的协调工作；负责建设工程招标投标监督管理和工程施工许可；负责省政府交办的城市总体规划、区域城镇体系规划的审查报批并监督实施；负责制定权限内的行业企业资质标准。</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（5）承担指导、规范村镇建设的责任。指导村镇工程规划建设和技术服务；制定村镇建设工程技术标准；指导农村危房改造、村镇人居环境的改善工作。</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6）承担建设工程质量和施工安全监管的责任。负责拟订建设工程质量和安全生产的规章制度并组织实施；负责建设工程质量检测机构资质管理；负责施工企业安全生产许可管理；参与重大建设工程质量、施工安全事故调查处理。</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（7）承担建筑市场监督管理、规范市场秩序、推动建筑行业发展的责任。研究拟订建筑业发展规划并组织实施；负责建筑市场主体资格认定和监督管理。</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8）承担建筑节能和行业科技发展的责任。研究编制建筑业科技发展规划和政策，督促有关单位落实国家和地方标准，推进住房和城乡建设科技进步和成果转化；负责建筑节能、墙体材料革新和散装水泥发展及管理工作。</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9）承担房地产市场监督管理、规范市场秩序、促进房地产业发展的责任。拟订房地产业发展中长期规划、产业政策并组织实施；负责房地产开发、房地产转让、房屋租赁及房地产中介服务的监督管理；负责房地产市场监测分析；负责房地产开发企业、评估机构的资质管理。</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10）指导城镇市政公用事业规划编制，组织国家级、省级风景名胜区、世界自然遗产与文化双遗申报工作；拟订城镇燃气、供热行业发展规划、政策并监督实施；指导城镇燃气、供热运营和安全管理；对市政公用设施安全运营进行监督、检查、指导。</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（11）负责住房公积金监督管理，确保公积金的有效使用和安全；会同有关部门拟订住房公积金政策、发展规划并组织实施；拟订住房公积金缴存、</w:t>
      </w:r>
      <w:r w:rsidRPr="00FD5598">
        <w:rPr>
          <w:rFonts w:ascii="仿宋" w:eastAsia="仿宋" w:hAnsi="仿宋" w:cs="Times New Roman" w:hint="eastAsia"/>
          <w:color w:val="313234"/>
          <w:sz w:val="32"/>
          <w:szCs w:val="32"/>
        </w:rPr>
        <w:lastRenderedPageBreak/>
        <w:t>使用、管理和监督制度；监督全省住房公积金和其他住房资金的管理、使用和安全，管理住房公积金信息系统。</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（12）负责组织编制城乡建设防灾减灾规划并监督实施；参与灾后重建的规划、设计论证和审查工作；负责超限高层建筑工程抗震设防专项审查和建筑工程抗震设防监管。</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（13）负责对省本级政府投资代建项目的代建活动实施统一监督管理。</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（14）承担省城乡住房建设领导小组办公室、省农村牧区住房规划委员会的具体工作。</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（15）承办省政府交办的其他事项。</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二、部门预算单位构成</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纳入</w:t>
      </w:r>
      <w:r w:rsidRPr="00FD5598">
        <w:rPr>
          <w:rFonts w:ascii="仿宋" w:eastAsia="仿宋" w:hAnsi="仿宋" w:cs="Times New Roman" w:hint="eastAsia"/>
          <w:color w:val="000000"/>
          <w:sz w:val="32"/>
          <w:szCs w:val="32"/>
        </w:rPr>
        <w:t>青海省住房和城乡建设厅</w:t>
      </w:r>
      <w:r w:rsidRPr="00FD5598">
        <w:rPr>
          <w:rFonts w:ascii="仿宋" w:eastAsia="仿宋" w:hAnsi="仿宋" w:cs="Times New Roman" w:hint="eastAsia"/>
          <w:color w:val="313234"/>
          <w:sz w:val="32"/>
          <w:szCs w:val="32"/>
        </w:rPr>
        <w:t>2018年部门预算编制范围的二级预算单位包括：</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tbl>
      <w:tblPr>
        <w:tblW w:w="0" w:type="auto"/>
        <w:jc w:val="center"/>
        <w:tblCellMar>
          <w:left w:w="0" w:type="dxa"/>
          <w:right w:w="0" w:type="dxa"/>
        </w:tblCellMar>
        <w:tblLook w:val="04A0"/>
      </w:tblPr>
      <w:tblGrid>
        <w:gridCol w:w="1584"/>
        <w:gridCol w:w="7476"/>
      </w:tblGrid>
      <w:tr w:rsidR="00FD5598" w:rsidRPr="00FD5598" w:rsidTr="00FD5598">
        <w:trPr>
          <w:trHeight w:val="369"/>
          <w:jc w:val="center"/>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105"/>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1"/>
                <w:szCs w:val="21"/>
              </w:rPr>
              <w:t>序　号</w:t>
            </w:r>
          </w:p>
        </w:tc>
        <w:tc>
          <w:tcPr>
            <w:tcW w:w="7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1"/>
                <w:szCs w:val="21"/>
              </w:rPr>
              <w:t>单 位 名 称</w:t>
            </w:r>
          </w:p>
        </w:tc>
      </w:tr>
      <w:tr w:rsidR="00FD5598" w:rsidRPr="00FD5598" w:rsidTr="00FD5598">
        <w:trPr>
          <w:trHeight w:val="30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青海省住房和城乡建设厅本级</w:t>
            </w:r>
          </w:p>
        </w:tc>
      </w:tr>
      <w:tr w:rsidR="00FD5598" w:rsidRPr="00FD5598" w:rsidTr="00FD5598">
        <w:trPr>
          <w:trHeight w:val="279"/>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2</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青海建筑职业技术学院</w:t>
            </w:r>
          </w:p>
        </w:tc>
      </w:tr>
      <w:tr w:rsidR="00FD5598" w:rsidRPr="00FD5598" w:rsidTr="00FD5598">
        <w:trPr>
          <w:trHeight w:val="28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3</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青海省抗震办公室</w:t>
            </w:r>
          </w:p>
        </w:tc>
      </w:tr>
      <w:tr w:rsidR="00FD5598" w:rsidRPr="00FD5598" w:rsidTr="00FD5598">
        <w:trPr>
          <w:trHeight w:val="258"/>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4</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青海省工程建设招标投标管理办公室</w:t>
            </w:r>
          </w:p>
        </w:tc>
      </w:tr>
      <w:tr w:rsidR="00FD5598" w:rsidRPr="00FD5598" w:rsidTr="00FD5598">
        <w:trPr>
          <w:trHeight w:val="26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5</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青海省建设工程质量监督总站</w:t>
            </w:r>
          </w:p>
        </w:tc>
      </w:tr>
      <w:tr w:rsidR="00FD5598" w:rsidRPr="00FD5598" w:rsidTr="00FD5598">
        <w:trPr>
          <w:trHeight w:val="25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6</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青海省建筑节能与墙体材料革新办公室</w:t>
            </w:r>
          </w:p>
        </w:tc>
      </w:tr>
      <w:tr w:rsidR="00FD5598" w:rsidRPr="00FD5598" w:rsidTr="00FD5598">
        <w:trPr>
          <w:trHeight w:val="301"/>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7</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青海省住房和城乡建设厅机关后勤服务中心</w:t>
            </w:r>
          </w:p>
        </w:tc>
      </w:tr>
      <w:tr w:rsidR="00FD5598" w:rsidRPr="00FD5598" w:rsidTr="00FD5598">
        <w:trPr>
          <w:trHeight w:val="23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8</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青海省住房和城乡建设厅执业资格注册中心</w:t>
            </w:r>
          </w:p>
        </w:tc>
      </w:tr>
      <w:tr w:rsidR="00FD5598" w:rsidRPr="00FD5598" w:rsidTr="00FD5598">
        <w:trPr>
          <w:trHeight w:val="297"/>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9</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青海省建设工程造价管理总站</w:t>
            </w:r>
          </w:p>
        </w:tc>
      </w:tr>
      <w:tr w:rsidR="00FD5598" w:rsidRPr="00FD5598" w:rsidTr="00FD5598">
        <w:trPr>
          <w:trHeight w:val="302"/>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lastRenderedPageBreak/>
              <w:t>10</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青海省建筑工程勘察设计质量监督总站</w:t>
            </w:r>
          </w:p>
        </w:tc>
      </w:tr>
      <w:tr w:rsidR="00FD5598" w:rsidRPr="00FD5598" w:rsidTr="00FD5598">
        <w:trPr>
          <w:trHeight w:val="294"/>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11</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青海省代建项目办公室</w:t>
            </w:r>
          </w:p>
        </w:tc>
      </w:tr>
      <w:tr w:rsidR="00FD5598" w:rsidRPr="00FD5598" w:rsidTr="00FD5598">
        <w:trPr>
          <w:trHeight w:val="27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12</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青海省城市管理综合行政执法监督局</w:t>
            </w:r>
          </w:p>
        </w:tc>
      </w:tr>
      <w:tr w:rsidR="00FD5598" w:rsidRPr="00FD5598" w:rsidTr="00FD5598">
        <w:trPr>
          <w:trHeight w:val="293"/>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13</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青海省保障性住房管理中心</w:t>
            </w:r>
          </w:p>
        </w:tc>
      </w:tr>
      <w:tr w:rsidR="00FD5598" w:rsidRPr="00FD5598" w:rsidTr="00FD5598">
        <w:trPr>
          <w:trHeight w:val="299"/>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14</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青海省世界遗产管理办公室</w:t>
            </w:r>
          </w:p>
        </w:tc>
      </w:tr>
      <w:tr w:rsidR="00FD5598" w:rsidRPr="00FD5598" w:rsidTr="00FD5598">
        <w:trPr>
          <w:trHeight w:val="371"/>
          <w:jc w:val="center"/>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15</w:t>
            </w:r>
          </w:p>
        </w:tc>
        <w:tc>
          <w:tcPr>
            <w:tcW w:w="7476" w:type="dxa"/>
            <w:tcBorders>
              <w:top w:val="nil"/>
              <w:left w:val="nil"/>
              <w:bottom w:val="single" w:sz="8" w:space="0" w:color="auto"/>
              <w:right w:val="single" w:sz="8" w:space="0" w:color="auto"/>
            </w:tcBorders>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color w:val="313234"/>
                <w:sz w:val="21"/>
                <w:szCs w:val="21"/>
              </w:rPr>
              <w:t>青海省住房公积金管理中心</w:t>
            </w:r>
          </w:p>
        </w:tc>
      </w:tr>
    </w:tbl>
    <w:p w:rsidR="00FD5598" w:rsidRPr="00FD5598" w:rsidRDefault="00FD5598" w:rsidP="00FD5598">
      <w:pPr>
        <w:adjustRightInd/>
        <w:snapToGrid/>
        <w:spacing w:after="0" w:line="560" w:lineRule="atLeast"/>
        <w:ind w:firstLine="420"/>
        <w:jc w:val="center"/>
        <w:rPr>
          <w:rFonts w:ascii="Times New Roman" w:eastAsia="宋体" w:hAnsi="Times New Roman" w:cs="Times New Roman"/>
          <w:color w:val="313234"/>
          <w:sz w:val="21"/>
          <w:szCs w:val="21"/>
        </w:rPr>
      </w:pPr>
      <w:r w:rsidRPr="00FD5598">
        <w:rPr>
          <w:rFonts w:ascii="宋体" w:eastAsia="宋体" w:hAnsi="宋体" w:cs="Times New Roman" w:hint="eastAsia"/>
          <w:color w:val="000000"/>
          <w:sz w:val="21"/>
          <w:szCs w:val="21"/>
        </w:rPr>
        <w:t> </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00"/>
        <w:jc w:val="center"/>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480"/>
        <w:jc w:val="both"/>
        <w:rPr>
          <w:rFonts w:ascii="Times New Roman" w:eastAsia="宋体" w:hAnsi="Times New Roman" w:cs="Times New Roman"/>
          <w:color w:val="313234"/>
          <w:sz w:val="21"/>
          <w:szCs w:val="21"/>
        </w:rPr>
      </w:pPr>
      <w:r w:rsidRPr="00FD5598">
        <w:rPr>
          <w:rFonts w:ascii="小标宋" w:eastAsia="小标宋" w:hAnsi="Times New Roman" w:cs="Times New Roman" w:hint="eastAsia"/>
          <w:b/>
          <w:bCs/>
          <w:color w:val="000000"/>
          <w:sz w:val="36"/>
          <w:szCs w:val="36"/>
        </w:rPr>
        <w:t>第二部分　青海省住房和城乡建设厅2018年部门预算表</w:t>
      </w:r>
    </w:p>
    <w:p w:rsidR="00FD5598" w:rsidRPr="00FD5598" w:rsidRDefault="00FD5598" w:rsidP="00FD5598">
      <w:pPr>
        <w:adjustRightInd/>
        <w:snapToGrid/>
        <w:spacing w:after="0" w:line="560" w:lineRule="atLeast"/>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部门公开表1</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财政拨款收支总表</w:t>
      </w:r>
    </w:p>
    <w:p w:rsidR="00FD5598" w:rsidRPr="00FD5598" w:rsidRDefault="00FD5598" w:rsidP="00FD5598">
      <w:pPr>
        <w:adjustRightInd/>
        <w:snapToGrid/>
        <w:spacing w:after="0" w:line="560" w:lineRule="atLeast"/>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单位：万元</w:t>
      </w:r>
    </w:p>
    <w:tbl>
      <w:tblPr>
        <w:tblW w:w="0" w:type="auto"/>
        <w:tblCellMar>
          <w:left w:w="0" w:type="dxa"/>
          <w:right w:w="0" w:type="dxa"/>
        </w:tblCellMar>
        <w:tblLook w:val="04A0"/>
      </w:tblPr>
      <w:tblGrid>
        <w:gridCol w:w="2940"/>
        <w:gridCol w:w="1155"/>
        <w:gridCol w:w="2730"/>
        <w:gridCol w:w="945"/>
        <w:gridCol w:w="945"/>
        <w:gridCol w:w="945"/>
      </w:tblGrid>
      <w:tr w:rsidR="00FD5598" w:rsidRPr="00FD5598" w:rsidTr="00FD5598">
        <w:trPr>
          <w:trHeight w:val="345"/>
        </w:trPr>
        <w:tc>
          <w:tcPr>
            <w:tcW w:w="40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收</w:t>
            </w:r>
            <w:r w:rsidRPr="00FD5598">
              <w:rPr>
                <w:rFonts w:ascii="Times New Roman" w:hAnsi="Times New Roman" w:cs="Times New Roman"/>
                <w:b/>
                <w:bCs/>
                <w:color w:val="313234"/>
              </w:rPr>
              <w:t xml:space="preserve">　　</w:t>
            </w:r>
            <w:r w:rsidRPr="00FD5598">
              <w:rPr>
                <w:rFonts w:ascii="Times New Roman" w:hAnsi="Times New Roman" w:cs="Times New Roman"/>
                <w:b/>
                <w:bCs/>
                <w:color w:val="313234"/>
              </w:rPr>
              <w:t>  </w:t>
            </w:r>
            <w:r w:rsidRPr="00FD5598">
              <w:rPr>
                <w:rFonts w:ascii="宋体" w:eastAsia="宋体" w:hAnsi="宋体" w:cs="Times New Roman" w:hint="eastAsia"/>
                <w:b/>
                <w:bCs/>
                <w:color w:val="313234"/>
              </w:rPr>
              <w:t>入</w:t>
            </w:r>
          </w:p>
        </w:tc>
        <w:tc>
          <w:tcPr>
            <w:tcW w:w="55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支</w:t>
            </w:r>
            <w:r w:rsidRPr="00FD5598">
              <w:rPr>
                <w:rFonts w:ascii="Times New Roman" w:hAnsi="Times New Roman" w:cs="Times New Roman"/>
                <w:b/>
                <w:bCs/>
                <w:color w:val="313234"/>
              </w:rPr>
              <w:t xml:space="preserve">　　　</w:t>
            </w:r>
            <w:r w:rsidRPr="00FD5598">
              <w:rPr>
                <w:rFonts w:ascii="Times New Roman" w:hAnsi="Times New Roman" w:cs="Times New Roman"/>
                <w:b/>
                <w:bCs/>
                <w:color w:val="313234"/>
              </w:rPr>
              <w:t> </w:t>
            </w:r>
            <w:r w:rsidRPr="00FD5598">
              <w:rPr>
                <w:rFonts w:ascii="宋体" w:eastAsia="宋体" w:hAnsi="宋体" w:cs="Times New Roman" w:hint="eastAsia"/>
                <w:b/>
                <w:bCs/>
                <w:color w:val="313234"/>
              </w:rPr>
              <w:t>出</w:t>
            </w:r>
          </w:p>
        </w:tc>
      </w:tr>
      <w:tr w:rsidR="00FD5598" w:rsidRPr="00FD5598" w:rsidTr="00FD5598">
        <w:trPr>
          <w:trHeight w:val="48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项</w:t>
            </w:r>
            <w:r w:rsidRPr="00FD5598">
              <w:rPr>
                <w:rFonts w:ascii="Times New Roman" w:hAnsi="Times New Roman" w:cs="Times New Roman"/>
                <w:b/>
                <w:bCs/>
                <w:color w:val="313234"/>
                <w:sz w:val="20"/>
                <w:szCs w:val="20"/>
              </w:rPr>
              <w:t xml:space="preserve">　　</w:t>
            </w:r>
            <w:r w:rsidRPr="00FD5598">
              <w:rPr>
                <w:rFonts w:ascii="宋体" w:eastAsia="宋体" w:hAnsi="宋体" w:cs="Times New Roman" w:hint="eastAsia"/>
                <w:b/>
                <w:bCs/>
                <w:color w:val="313234"/>
                <w:sz w:val="20"/>
                <w:szCs w:val="20"/>
              </w:rPr>
              <w:t>目</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b/>
                <w:bCs/>
                <w:color w:val="313234"/>
                <w:sz w:val="20"/>
                <w:szCs w:val="20"/>
              </w:rPr>
              <w:t>2018</w:t>
            </w:r>
            <w:r w:rsidRPr="00FD5598">
              <w:rPr>
                <w:rFonts w:ascii="宋体" w:eastAsia="宋体" w:hAnsi="宋体" w:cs="Times New Roman" w:hint="eastAsia"/>
                <w:b/>
                <w:bCs/>
                <w:color w:val="313234"/>
                <w:sz w:val="20"/>
                <w:szCs w:val="20"/>
              </w:rPr>
              <w:t>年预算数</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项目（按功能分类）</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合计</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一般公共预算</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政府性基金预算</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一、一般公共预算拨款</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9,898.40</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一般公共服务支出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经费拨款收入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8,908.77</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外交支出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专项收入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国防支出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行政事业性收费收入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215.78</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四</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公共安全支出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四</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罚没收入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五</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教育支出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五</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国有资源（资产）有偿使用收入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120.88</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六</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科学技术支出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六</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其他收入</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652.97</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文化体育与传媒支出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二、政府性基金预算拨款</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八</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社会保障和就业支出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1,630.99</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1,630.99</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九</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医疗卫生与计划生育支出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节能环保支出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城乡社区支出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3,390.42</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3,390.42</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农林水支出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交通运输支出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十四</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资源勘探信息等支出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援助其他地区支出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十八</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国土海洋气象等支出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十九</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住房保障支出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1,392.57</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1,392.57</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二十</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粮油物资储备支出</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462"/>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本</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年</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收</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入</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合</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计</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9,898</w:t>
            </w:r>
            <w:r w:rsidRPr="00FD5598">
              <w:rPr>
                <w:rFonts w:ascii="Times New Roman" w:hAnsi="Times New Roman" w:cs="Times New Roman"/>
                <w:color w:val="313234"/>
                <w:sz w:val="20"/>
                <w:szCs w:val="20"/>
              </w:rPr>
              <w:lastRenderedPageBreak/>
              <w:t>.40</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本</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年</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支</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出</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合</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lastRenderedPageBreak/>
              <w:t>计</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9,</w:t>
            </w:r>
            <w:r w:rsidRPr="00FD5598">
              <w:rPr>
                <w:rFonts w:ascii="Times New Roman" w:hAnsi="Times New Roman" w:cs="Times New Roman"/>
                <w:color w:val="313234"/>
                <w:sz w:val="20"/>
                <w:szCs w:val="20"/>
              </w:rPr>
              <w:lastRenderedPageBreak/>
              <w:t>898.40</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9,</w:t>
            </w:r>
            <w:r w:rsidRPr="00FD5598">
              <w:rPr>
                <w:rFonts w:ascii="Times New Roman" w:hAnsi="Times New Roman" w:cs="Times New Roman"/>
                <w:color w:val="313234"/>
                <w:sz w:val="20"/>
                <w:szCs w:val="20"/>
              </w:rPr>
              <w:lastRenderedPageBreak/>
              <w:t>898.40</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lastRenderedPageBreak/>
              <w:t xml:space="preserve">　</w:t>
            </w:r>
          </w:p>
        </w:tc>
      </w:tr>
    </w:tbl>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lastRenderedPageBreak/>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Times New Roman" w:eastAsia="宋体" w:hAnsi="Times New Roman" w:cs="Times New Roman"/>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部门公开表</w:t>
      </w:r>
      <w:r w:rsidRPr="00FD5598">
        <w:rPr>
          <w:rFonts w:ascii="Times New Roman" w:eastAsia="宋体" w:hAnsi="Times New Roman" w:cs="Times New Roman"/>
          <w:b/>
          <w:bCs/>
          <w:color w:val="313234"/>
          <w:sz w:val="18"/>
          <w:szCs w:val="18"/>
        </w:rPr>
        <w:t>2</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一般公共预算支出表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单位：万元</w:t>
      </w:r>
    </w:p>
    <w:tbl>
      <w:tblPr>
        <w:tblW w:w="0" w:type="auto"/>
        <w:tblCellMar>
          <w:left w:w="0" w:type="dxa"/>
          <w:right w:w="0" w:type="dxa"/>
        </w:tblCellMar>
        <w:tblLook w:val="04A0"/>
      </w:tblPr>
      <w:tblGrid>
        <w:gridCol w:w="735"/>
        <w:gridCol w:w="735"/>
        <w:gridCol w:w="630"/>
        <w:gridCol w:w="3150"/>
        <w:gridCol w:w="1365"/>
        <w:gridCol w:w="1365"/>
        <w:gridCol w:w="1680"/>
      </w:tblGrid>
      <w:tr w:rsidR="00FD5598" w:rsidRPr="00FD5598" w:rsidTr="00FD5598">
        <w:trPr>
          <w:trHeight w:val="390"/>
        </w:trPr>
        <w:tc>
          <w:tcPr>
            <w:tcW w:w="52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功能分类科目</w:t>
            </w:r>
          </w:p>
        </w:tc>
        <w:tc>
          <w:tcPr>
            <w:tcW w:w="4410"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2018年预算数</w:t>
            </w:r>
          </w:p>
        </w:tc>
      </w:tr>
      <w:tr w:rsidR="00FD5598" w:rsidRPr="00FD5598" w:rsidTr="00FD5598">
        <w:trPr>
          <w:trHeight w:val="390"/>
        </w:trPr>
        <w:tc>
          <w:tcPr>
            <w:tcW w:w="21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科目编码</w:t>
            </w:r>
          </w:p>
        </w:tc>
        <w:tc>
          <w:tcPr>
            <w:tcW w:w="3150" w:type="dxa"/>
            <w:vMerge w:val="restart"/>
            <w:tcBorders>
              <w:top w:val="nil"/>
              <w:left w:val="nil"/>
              <w:bottom w:val="single" w:sz="8" w:space="0" w:color="auto"/>
              <w:right w:val="nil"/>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科目名称</w:t>
            </w:r>
          </w:p>
        </w:tc>
        <w:tc>
          <w:tcPr>
            <w:tcW w:w="13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合计</w:t>
            </w:r>
          </w:p>
        </w:tc>
        <w:tc>
          <w:tcPr>
            <w:tcW w:w="13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基本支出</w:t>
            </w:r>
          </w:p>
        </w:tc>
        <w:tc>
          <w:tcPr>
            <w:tcW w:w="16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项目支出</w:t>
            </w:r>
          </w:p>
        </w:tc>
      </w:tr>
      <w:tr w:rsidR="00FD5598" w:rsidRPr="00FD5598" w:rsidTr="00FD5598">
        <w:trPr>
          <w:trHeight w:val="390"/>
        </w:trPr>
        <w:tc>
          <w:tcPr>
            <w:tcW w:w="7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p>
        </w:tc>
        <w:tc>
          <w:tcPr>
            <w:tcW w:w="0" w:type="auto"/>
            <w:vMerge/>
            <w:tcBorders>
              <w:top w:val="nil"/>
              <w:left w:val="nil"/>
              <w:bottom w:val="single" w:sz="8" w:space="0" w:color="auto"/>
              <w:right w:val="nil"/>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r>
      <w:tr w:rsidR="00FD5598" w:rsidRPr="00FD5598" w:rsidTr="00FD5598">
        <w:trPr>
          <w:trHeight w:val="390"/>
        </w:trPr>
        <w:tc>
          <w:tcPr>
            <w:tcW w:w="7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w:t>
            </w:r>
          </w:p>
        </w:tc>
        <w:tc>
          <w:tcPr>
            <w:tcW w:w="735"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w:t>
            </w:r>
          </w:p>
        </w:tc>
        <w:tc>
          <w:tcPr>
            <w:tcW w:w="63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w:t>
            </w:r>
          </w:p>
        </w:tc>
        <w:tc>
          <w:tcPr>
            <w:tcW w:w="315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合计</w:t>
            </w:r>
          </w:p>
        </w:tc>
        <w:tc>
          <w:tcPr>
            <w:tcW w:w="1365"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1</w:t>
            </w:r>
          </w:p>
        </w:tc>
        <w:tc>
          <w:tcPr>
            <w:tcW w:w="1365"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2</w:t>
            </w:r>
          </w:p>
        </w:tc>
        <w:tc>
          <w:tcPr>
            <w:tcW w:w="168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3</w:t>
            </w:r>
          </w:p>
        </w:tc>
      </w:tr>
      <w:tr w:rsidR="00FD5598" w:rsidRPr="00FD5598" w:rsidTr="00FD5598">
        <w:trPr>
          <w:trHeight w:val="240"/>
        </w:trPr>
        <w:tc>
          <w:tcPr>
            <w:tcW w:w="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合计</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9,898.40</w:t>
            </w:r>
          </w:p>
        </w:tc>
        <w:tc>
          <w:tcPr>
            <w:tcW w:w="1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8,549.88</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1,348.52</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教育支出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2,452.10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职业教育</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2,452.10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205</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03</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高等职业教育</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2,452.10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社会保障和就业支出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1,630.99</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1,630.99</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1,484.61</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1,484.61</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归口管理的行政单位离退休</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事业单位离退休</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790.58</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790.58</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184.59</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184.59</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其他行政事业单位离退休支出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392.95</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392.95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146.38</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146.38</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08</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146.38</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146.38</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医疗卫生与计划生育支出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210</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11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200.43</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200.43</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210</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11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316.47</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316.47</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210</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11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423.42</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423.42</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节能环保支出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w:t>
            </w:r>
            <w:r w:rsidRPr="00FD5598">
              <w:rPr>
                <w:rFonts w:ascii="Times New Roman" w:hAnsi="Times New Roman" w:cs="Times New Roman"/>
                <w:color w:val="313234"/>
                <w:sz w:val="20"/>
                <w:szCs w:val="20"/>
              </w:rPr>
              <w:lastRenderedPageBreak/>
              <w:t>0</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10</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城乡社区支出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3,390.42</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2,774.42</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616.00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3,365.42</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2,774.42</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591.00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行政运行（城乡社区管理事务）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2,383.05</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2,383.05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349.00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349.00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机关服务（城乡社区管理事务）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154.78</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工程建设标准规范编制与监管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工程建设管理</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09</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住宅建设与房地产市场监管</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执业资格注册、资质审查</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81.20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其他城乡社区管理事务支出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165.39</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165.39</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02</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住房保障支出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1,392.57</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752.05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569.30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569.30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221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02</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569.30</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569.30</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城乡社区住宅</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182.75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r>
      <w:tr w:rsidR="00FD5598" w:rsidRPr="00FD5598" w:rsidTr="00FD5598">
        <w:trPr>
          <w:trHeight w:val="24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221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03</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住房公积金管理</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182.75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r>
    </w:tbl>
    <w:p w:rsidR="00FD5598" w:rsidRPr="00FD5598" w:rsidRDefault="00FD5598" w:rsidP="00FD5598">
      <w:pPr>
        <w:adjustRightInd/>
        <w:snapToGrid/>
        <w:spacing w:after="0" w:line="480" w:lineRule="auto"/>
        <w:ind w:right="360"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right="360"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right="360"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部门公开表3</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一般公共预算基本支出表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单位：万元</w:t>
      </w:r>
    </w:p>
    <w:tbl>
      <w:tblPr>
        <w:tblW w:w="0" w:type="auto"/>
        <w:tblCellMar>
          <w:left w:w="0" w:type="dxa"/>
          <w:right w:w="0" w:type="dxa"/>
        </w:tblCellMar>
        <w:tblLook w:val="04A0"/>
      </w:tblPr>
      <w:tblGrid>
        <w:gridCol w:w="735"/>
        <w:gridCol w:w="735"/>
        <w:gridCol w:w="3338"/>
        <w:gridCol w:w="1832"/>
        <w:gridCol w:w="1445"/>
        <w:gridCol w:w="1470"/>
      </w:tblGrid>
      <w:tr w:rsidR="00FD5598" w:rsidRPr="00FD5598" w:rsidTr="00FD5598">
        <w:trPr>
          <w:trHeight w:val="600"/>
        </w:trPr>
        <w:tc>
          <w:tcPr>
            <w:tcW w:w="48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经济分类科目</w:t>
            </w:r>
          </w:p>
        </w:tc>
        <w:tc>
          <w:tcPr>
            <w:tcW w:w="47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b/>
                <w:bCs/>
                <w:color w:val="313234"/>
              </w:rPr>
              <w:t>2018</w:t>
            </w:r>
            <w:r w:rsidRPr="00FD5598">
              <w:rPr>
                <w:rFonts w:ascii="宋体" w:eastAsia="宋体" w:hAnsi="宋体" w:cs="Times New Roman" w:hint="eastAsia"/>
                <w:b/>
                <w:bCs/>
                <w:color w:val="313234"/>
              </w:rPr>
              <w:t>年基本支出</w:t>
            </w:r>
          </w:p>
        </w:tc>
      </w:tr>
      <w:tr w:rsidR="00FD5598" w:rsidRPr="00FD5598" w:rsidTr="00FD5598">
        <w:trPr>
          <w:trHeight w:val="330"/>
        </w:trPr>
        <w:tc>
          <w:tcPr>
            <w:tcW w:w="14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科目编码</w:t>
            </w:r>
          </w:p>
        </w:tc>
        <w:tc>
          <w:tcPr>
            <w:tcW w:w="3338" w:type="dxa"/>
            <w:vMerge w:val="restart"/>
            <w:tcBorders>
              <w:top w:val="nil"/>
              <w:left w:val="nil"/>
              <w:bottom w:val="single" w:sz="8" w:space="0" w:color="auto"/>
              <w:right w:val="nil"/>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科目名称</w:t>
            </w:r>
          </w:p>
        </w:tc>
        <w:tc>
          <w:tcPr>
            <w:tcW w:w="18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合计</w:t>
            </w:r>
          </w:p>
        </w:tc>
        <w:tc>
          <w:tcPr>
            <w:tcW w:w="14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人员经费</w:t>
            </w:r>
          </w:p>
        </w:tc>
        <w:tc>
          <w:tcPr>
            <w:tcW w:w="14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公用经费</w:t>
            </w:r>
          </w:p>
        </w:tc>
      </w:tr>
      <w:tr w:rsidR="00FD5598" w:rsidRPr="00FD5598" w:rsidTr="00FD5598">
        <w:trPr>
          <w:trHeight w:val="330"/>
        </w:trPr>
        <w:tc>
          <w:tcPr>
            <w:tcW w:w="7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735" w:type="dxa"/>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0" w:type="auto"/>
            <w:vMerge/>
            <w:tcBorders>
              <w:top w:val="nil"/>
              <w:left w:val="nil"/>
              <w:bottom w:val="single" w:sz="8" w:space="0" w:color="auto"/>
              <w:right w:val="nil"/>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r>
      <w:tr w:rsidR="00FD5598" w:rsidRPr="00FD5598" w:rsidTr="00FD5598">
        <w:trPr>
          <w:trHeight w:val="330"/>
        </w:trPr>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w:t>
            </w:r>
          </w:p>
        </w:tc>
        <w:tc>
          <w:tcPr>
            <w:tcW w:w="3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w:t>
            </w:r>
          </w:p>
        </w:tc>
        <w:tc>
          <w:tcPr>
            <w:tcW w:w="1832"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w:t>
            </w:r>
          </w:p>
        </w:tc>
        <w:tc>
          <w:tcPr>
            <w:tcW w:w="1445"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p>
        </w:tc>
        <w:tc>
          <w:tcPr>
            <w:tcW w:w="147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3</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rPr>
              <w:t xml:space="preserve">　</w:t>
            </w:r>
          </w:p>
        </w:tc>
        <w:tc>
          <w:tcPr>
            <w:tcW w:w="3338"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合计</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8,549.88</w:t>
            </w:r>
          </w:p>
        </w:tc>
        <w:tc>
          <w:tcPr>
            <w:tcW w:w="144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8,018.9</w:t>
            </w:r>
            <w:r w:rsidRPr="00FD5598">
              <w:rPr>
                <w:rFonts w:ascii="Times New Roman" w:hAnsi="Times New Roman" w:cs="Times New Roman"/>
                <w:color w:val="313234"/>
              </w:rPr>
              <w:lastRenderedPageBreak/>
              <w:t>6</w:t>
            </w:r>
          </w:p>
        </w:tc>
        <w:tc>
          <w:tcPr>
            <w:tcW w:w="14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lastRenderedPageBreak/>
              <w:t>530.92</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lastRenderedPageBreak/>
              <w:t>301</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工资福利支出</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7,202.79</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基本工资</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1,763.26</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津贴补贴</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2,225.24</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奖金</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139.51</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6</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伙食补助费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7</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绩效工资</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725.86</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8</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机关事业单位基本养老保险缴费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790.58</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职业年金缴费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184.59</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10</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职工基本医疗保险缴费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471.62</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公务员医疗保补助费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282.99</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12</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其他社会保障缴费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22.55</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13</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住房公积金</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569.30</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14</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医疗费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其他工资福利支出</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27.29</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302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商品和服务支出</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530.92</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办公费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11.45</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印刷费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2.10</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咨询费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75"/>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4</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right="360" w:firstLine="9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w:t>
            </w:r>
            <w:r w:rsidRPr="00FD5598">
              <w:rPr>
                <w:rFonts w:ascii="宋体" w:eastAsia="宋体" w:hAnsi="宋体" w:cs="Times New Roman" w:hint="eastAsia"/>
                <w:color w:val="313234"/>
                <w:sz w:val="18"/>
                <w:szCs w:val="18"/>
              </w:rPr>
              <w:t>手续费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w:t>
            </w:r>
          </w:p>
        </w:tc>
        <w:tc>
          <w:tcPr>
            <w:tcW w:w="14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5</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水费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12.34</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lastRenderedPageBreak/>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6</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电费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28.80</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7</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邮电费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45.26</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8</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取暖费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20.86</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物业管理费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差旅费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75.08</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12</w:t>
            </w:r>
          </w:p>
        </w:tc>
        <w:tc>
          <w:tcPr>
            <w:tcW w:w="3338" w:type="dxa"/>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因公出</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国</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境费</w:t>
            </w:r>
          </w:p>
        </w:tc>
        <w:tc>
          <w:tcPr>
            <w:tcW w:w="183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14.96</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13</w:t>
            </w:r>
          </w:p>
        </w:tc>
        <w:tc>
          <w:tcPr>
            <w:tcW w:w="33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维修（护）费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14</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租赁费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15</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会议费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12.00</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16</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培训费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7.32</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17</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公务接待费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20.38</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18</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专用材料费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24</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被装购置费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25</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专用燃料费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26</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劳务费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27</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委托业务费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28</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工会经费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63.57</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福利费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1.51</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lastRenderedPageBreak/>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公务用车运行维护费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36.40</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其他交通费用</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166.77</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40</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税金及附加费用</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其他商品和服务支出</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nil"/>
              <w:left w:val="single" w:sz="8" w:space="0" w:color="auto"/>
              <w:bottom w:val="nil"/>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12.12</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303</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对个人和家庭的补助</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816.17</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离休费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112.41</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2</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退休费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377.07</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3</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退职（役）费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2.78</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4</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抚恤金</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146.38</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5</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生活补助</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13.10</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6</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救济费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7</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医疗费</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18"/>
                <w:szCs w:val="18"/>
              </w:rPr>
              <w:t>164.43</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8</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助学金</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奖励金</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30"/>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10</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生产补贴</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r w:rsidR="00FD5598" w:rsidRPr="00FD5598" w:rsidTr="00FD5598">
        <w:trPr>
          <w:trHeight w:val="319"/>
        </w:trPr>
        <w:tc>
          <w:tcPr>
            <w:tcW w:w="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18"/>
                <w:szCs w:val="18"/>
              </w:rPr>
              <w:t>99</w:t>
            </w:r>
          </w:p>
        </w:tc>
        <w:tc>
          <w:tcPr>
            <w:tcW w:w="3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宋体" w:eastAsia="宋体" w:hAnsi="宋体" w:cs="Times New Roman" w:hint="eastAsia"/>
                <w:color w:val="313234"/>
                <w:sz w:val="18"/>
                <w:szCs w:val="18"/>
              </w:rPr>
              <w:t>其他对个人和家庭补助支出</w:t>
            </w:r>
          </w:p>
        </w:tc>
        <w:tc>
          <w:tcPr>
            <w:tcW w:w="1832"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18"/>
                <w:szCs w:val="18"/>
              </w:rPr>
              <w:t xml:space="preserve">　</w:t>
            </w:r>
          </w:p>
        </w:tc>
      </w:tr>
    </w:tbl>
    <w:p w:rsidR="00FD5598" w:rsidRPr="00FD5598" w:rsidRDefault="00FD5598" w:rsidP="00FD5598">
      <w:pPr>
        <w:adjustRightInd/>
        <w:snapToGrid/>
        <w:spacing w:after="0" w:line="480" w:lineRule="auto"/>
        <w:ind w:right="360"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lastRenderedPageBreak/>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部门公开表4</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一般公共预算“三公”经费支出表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单位：万元</w:t>
      </w:r>
    </w:p>
    <w:tbl>
      <w:tblPr>
        <w:tblW w:w="0" w:type="auto"/>
        <w:tblCellMar>
          <w:left w:w="0" w:type="dxa"/>
          <w:right w:w="0" w:type="dxa"/>
        </w:tblCellMar>
        <w:tblLook w:val="04A0"/>
      </w:tblPr>
      <w:tblGrid>
        <w:gridCol w:w="1780"/>
        <w:gridCol w:w="1134"/>
        <w:gridCol w:w="1134"/>
        <w:gridCol w:w="1134"/>
        <w:gridCol w:w="1134"/>
        <w:gridCol w:w="1769"/>
        <w:gridCol w:w="1470"/>
      </w:tblGrid>
      <w:tr w:rsidR="00FD5598" w:rsidRPr="00FD5598" w:rsidTr="00FD5598">
        <w:trPr>
          <w:trHeight w:val="585"/>
        </w:trPr>
        <w:tc>
          <w:tcPr>
            <w:tcW w:w="17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年度</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合计</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因公出国(境)费</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公务</w:t>
            </w:r>
          </w:p>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接待费</w:t>
            </w:r>
          </w:p>
        </w:tc>
        <w:tc>
          <w:tcPr>
            <w:tcW w:w="437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公务用车购置及运行费</w:t>
            </w:r>
          </w:p>
        </w:tc>
      </w:tr>
      <w:tr w:rsidR="00FD5598" w:rsidRPr="00FD5598" w:rsidTr="00FD5598">
        <w:trPr>
          <w:trHeight w:val="5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合计</w:t>
            </w:r>
          </w:p>
        </w:tc>
        <w:tc>
          <w:tcPr>
            <w:tcW w:w="1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公务用车购置费</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公务用车运行费</w:t>
            </w:r>
          </w:p>
        </w:tc>
      </w:tr>
      <w:tr w:rsidR="00FD5598" w:rsidRPr="00FD5598" w:rsidTr="00FD5598">
        <w:trPr>
          <w:trHeight w:val="559"/>
        </w:trPr>
        <w:tc>
          <w:tcPr>
            <w:tcW w:w="1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本年预算数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71.74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14.96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20.38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36.40</w:t>
            </w:r>
          </w:p>
        </w:tc>
        <w:tc>
          <w:tcPr>
            <w:tcW w:w="1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rPr>
              <w:t xml:space="preserve">　</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rPr>
              <w:t>36.40</w:t>
            </w:r>
            <w:r w:rsidRPr="00FD5598">
              <w:rPr>
                <w:rFonts w:ascii="宋体" w:eastAsia="宋体" w:hAnsi="宋体" w:cs="Times New Roman" w:hint="eastAsia"/>
                <w:color w:val="313234"/>
              </w:rPr>
              <w:t xml:space="preserve">　</w:t>
            </w:r>
          </w:p>
        </w:tc>
      </w:tr>
    </w:tbl>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部门公开表5</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政府性基金预算支出表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18"/>
          <w:szCs w:val="18"/>
        </w:rPr>
        <w:t>单位：万元</w:t>
      </w:r>
    </w:p>
    <w:tbl>
      <w:tblPr>
        <w:tblW w:w="0" w:type="auto"/>
        <w:tblCellMar>
          <w:left w:w="0" w:type="dxa"/>
          <w:right w:w="0" w:type="dxa"/>
        </w:tblCellMar>
        <w:tblLook w:val="04A0"/>
      </w:tblPr>
      <w:tblGrid>
        <w:gridCol w:w="540"/>
        <w:gridCol w:w="540"/>
        <w:gridCol w:w="540"/>
        <w:gridCol w:w="3400"/>
        <w:gridCol w:w="1744"/>
        <w:gridCol w:w="1680"/>
        <w:gridCol w:w="1352"/>
      </w:tblGrid>
      <w:tr w:rsidR="00FD5598" w:rsidRPr="00FD5598" w:rsidTr="00FD5598">
        <w:trPr>
          <w:trHeight w:val="480"/>
        </w:trPr>
        <w:tc>
          <w:tcPr>
            <w:tcW w:w="50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功能分类科目</w:t>
            </w:r>
          </w:p>
        </w:tc>
        <w:tc>
          <w:tcPr>
            <w:tcW w:w="4776"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2018年预算数</w:t>
            </w:r>
          </w:p>
        </w:tc>
      </w:tr>
      <w:tr w:rsidR="00FD5598" w:rsidRPr="00FD5598" w:rsidTr="00FD5598">
        <w:trPr>
          <w:trHeight w:val="390"/>
        </w:trPr>
        <w:tc>
          <w:tcPr>
            <w:tcW w:w="1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科目编码</w:t>
            </w:r>
          </w:p>
        </w:tc>
        <w:tc>
          <w:tcPr>
            <w:tcW w:w="34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科目名称</w:t>
            </w:r>
          </w:p>
        </w:tc>
        <w:tc>
          <w:tcPr>
            <w:tcW w:w="174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合计</w:t>
            </w:r>
          </w:p>
        </w:tc>
        <w:tc>
          <w:tcPr>
            <w:tcW w:w="16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基本支出</w:t>
            </w:r>
          </w:p>
        </w:tc>
        <w:tc>
          <w:tcPr>
            <w:tcW w:w="135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项目支出</w:t>
            </w:r>
          </w:p>
        </w:tc>
      </w:tr>
      <w:tr w:rsidR="00FD5598" w:rsidRPr="00FD5598" w:rsidTr="00FD5598">
        <w:trPr>
          <w:trHeight w:val="390"/>
        </w:trPr>
        <w:tc>
          <w:tcPr>
            <w:tcW w:w="54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54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000000"/>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000000"/>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000000"/>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r>
      <w:tr w:rsidR="00FD5598" w:rsidRPr="00FD5598" w:rsidTr="00FD5598">
        <w:trPr>
          <w:trHeight w:val="345"/>
        </w:trPr>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40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合 计</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4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r>
      <w:tr w:rsidR="00FD5598" w:rsidRPr="00FD5598" w:rsidTr="00FD5598">
        <w:trPr>
          <w:trHeight w:val="24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bl>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21"/>
          <w:szCs w:val="21"/>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right="400"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right="400"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部门公开表6</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部门收支总表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单位：万元</w:t>
      </w:r>
    </w:p>
    <w:tbl>
      <w:tblPr>
        <w:tblW w:w="0" w:type="auto"/>
        <w:tblCellMar>
          <w:left w:w="0" w:type="dxa"/>
          <w:right w:w="0" w:type="dxa"/>
        </w:tblCellMar>
        <w:tblLook w:val="04A0"/>
      </w:tblPr>
      <w:tblGrid>
        <w:gridCol w:w="3450"/>
        <w:gridCol w:w="1820"/>
        <w:gridCol w:w="2780"/>
        <w:gridCol w:w="1820"/>
      </w:tblGrid>
      <w:tr w:rsidR="00FD5598" w:rsidRPr="00FD5598" w:rsidTr="00FD5598">
        <w:trPr>
          <w:trHeight w:val="420"/>
        </w:trPr>
        <w:tc>
          <w:tcPr>
            <w:tcW w:w="52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收</w:t>
            </w:r>
            <w:r w:rsidRPr="00FD5598">
              <w:rPr>
                <w:rFonts w:ascii="Times New Roman" w:hAnsi="Times New Roman" w:cs="Times New Roman"/>
                <w:b/>
                <w:bCs/>
                <w:color w:val="313234"/>
              </w:rPr>
              <w:t xml:space="preserve">　　</w:t>
            </w:r>
            <w:r w:rsidRPr="00FD5598">
              <w:rPr>
                <w:rFonts w:ascii="Times New Roman" w:hAnsi="Times New Roman" w:cs="Times New Roman"/>
                <w:b/>
                <w:bCs/>
                <w:color w:val="313234"/>
              </w:rPr>
              <w:t> </w:t>
            </w:r>
            <w:r w:rsidRPr="00FD5598">
              <w:rPr>
                <w:rFonts w:ascii="宋体" w:eastAsia="宋体" w:hAnsi="宋体" w:cs="Times New Roman" w:hint="eastAsia"/>
                <w:b/>
                <w:bCs/>
                <w:color w:val="313234"/>
              </w:rPr>
              <w:t>入</w:t>
            </w:r>
          </w:p>
        </w:tc>
        <w:tc>
          <w:tcPr>
            <w:tcW w:w="4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支</w:t>
            </w:r>
            <w:r w:rsidRPr="00FD5598">
              <w:rPr>
                <w:rFonts w:ascii="Times New Roman" w:hAnsi="Times New Roman" w:cs="Times New Roman"/>
                <w:b/>
                <w:bCs/>
                <w:color w:val="313234"/>
              </w:rPr>
              <w:t xml:space="preserve">　　</w:t>
            </w:r>
            <w:r w:rsidRPr="00FD5598">
              <w:rPr>
                <w:rFonts w:ascii="Times New Roman" w:hAnsi="Times New Roman" w:cs="Times New Roman"/>
                <w:b/>
                <w:bCs/>
                <w:color w:val="313234"/>
              </w:rPr>
              <w:t> </w:t>
            </w:r>
            <w:r w:rsidRPr="00FD5598">
              <w:rPr>
                <w:rFonts w:ascii="宋体" w:eastAsia="宋体" w:hAnsi="宋体" w:cs="Times New Roman" w:hint="eastAsia"/>
                <w:b/>
                <w:bCs/>
                <w:color w:val="313234"/>
              </w:rPr>
              <w:t>出</w:t>
            </w:r>
          </w:p>
        </w:tc>
      </w:tr>
      <w:tr w:rsidR="00FD5598" w:rsidRPr="00FD5598" w:rsidTr="00FD5598">
        <w:trPr>
          <w:trHeight w:val="457"/>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r w:rsidRPr="00FD5598">
              <w:rPr>
                <w:rFonts w:ascii="Times New Roman" w:hAnsi="Times New Roman" w:cs="Times New Roman"/>
                <w:b/>
                <w:bCs/>
                <w:color w:val="313234"/>
              </w:rPr>
              <w:t xml:space="preserve">　　</w:t>
            </w:r>
            <w:r w:rsidRPr="00FD5598">
              <w:rPr>
                <w:rFonts w:ascii="Times New Roman" w:hAnsi="Times New Roman" w:cs="Times New Roman"/>
                <w:b/>
                <w:bCs/>
                <w:color w:val="313234"/>
              </w:rPr>
              <w:t> </w:t>
            </w:r>
            <w:r w:rsidRPr="00FD5598">
              <w:rPr>
                <w:rFonts w:ascii="宋体" w:eastAsia="宋体" w:hAnsi="宋体" w:cs="Times New Roman" w:hint="eastAsia"/>
                <w:b/>
                <w:bCs/>
                <w:color w:val="313234"/>
              </w:rPr>
              <w:t>目</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b/>
                <w:bCs/>
                <w:color w:val="313234"/>
              </w:rPr>
              <w:t>2018</w:t>
            </w:r>
            <w:r w:rsidRPr="00FD5598">
              <w:rPr>
                <w:rFonts w:ascii="宋体" w:eastAsia="宋体" w:hAnsi="宋体" w:cs="Times New Roman" w:hint="eastAsia"/>
                <w:b/>
                <w:bCs/>
                <w:color w:val="313234"/>
              </w:rPr>
              <w:t>年预算数</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项目（按功能分类）</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b/>
                <w:bCs/>
                <w:color w:val="313234"/>
              </w:rPr>
              <w:t>2018</w:t>
            </w:r>
            <w:r w:rsidRPr="00FD5598">
              <w:rPr>
                <w:rFonts w:ascii="宋体" w:eastAsia="宋体" w:hAnsi="宋体" w:cs="Times New Roman" w:hint="eastAsia"/>
                <w:b/>
                <w:bCs/>
                <w:color w:val="313234"/>
              </w:rPr>
              <w:t>年预算数</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一般公共预算拨款收入</w:t>
            </w:r>
          </w:p>
        </w:tc>
        <w:tc>
          <w:tcPr>
            <w:tcW w:w="18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9,898.40</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一般公共服务支出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一</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经费拨款收入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8,908.77</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外交支出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二</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专项收入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国防支出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三</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行政事业性收费收入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215.78</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四</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公共安全支出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四</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罚没收入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五</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教育支出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r>
      <w:tr w:rsidR="00FD5598" w:rsidRPr="00FD5598" w:rsidTr="00FD5598">
        <w:trPr>
          <w:trHeight w:val="465"/>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五</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国有资源（资产）有偿使用收入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120.88</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六</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科学技术支出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xml:space="preserve">　</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六</w:t>
            </w:r>
            <w:r w:rsidRPr="00FD5598">
              <w:rPr>
                <w:rFonts w:ascii="Times New Roman" w:hAnsi="Times New Roman" w:cs="Times New Roman"/>
                <w:color w:val="313234"/>
                <w:sz w:val="18"/>
                <w:szCs w:val="18"/>
              </w:rPr>
              <w:t>)</w:t>
            </w:r>
            <w:r w:rsidRPr="00FD5598">
              <w:rPr>
                <w:rFonts w:ascii="宋体" w:eastAsia="宋体" w:hAnsi="宋体" w:cs="Times New Roman" w:hint="eastAsia"/>
                <w:color w:val="313234"/>
                <w:sz w:val="18"/>
                <w:szCs w:val="18"/>
              </w:rPr>
              <w:t>其他收入</w:t>
            </w:r>
          </w:p>
        </w:tc>
        <w:tc>
          <w:tcPr>
            <w:tcW w:w="1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652.97</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文化体育与传媒支出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政府性基金预算拨款收入</w:t>
            </w:r>
          </w:p>
        </w:tc>
        <w:tc>
          <w:tcPr>
            <w:tcW w:w="18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八</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社会保障和就业支出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1,630.99</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上级补助收入</w:t>
            </w:r>
          </w:p>
        </w:tc>
        <w:tc>
          <w:tcPr>
            <w:tcW w:w="1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九</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医疗卫生与计划生育支出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940.32</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四、事业收入</w:t>
            </w:r>
          </w:p>
        </w:tc>
        <w:tc>
          <w:tcPr>
            <w:tcW w:w="182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节能环保支出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其中：教育收费收入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城乡社区支出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3,390.42</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五</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事业单位经营收入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十二</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农林水支出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六</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下级单位上缴收入</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十三</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交通运输支出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其他收入</w:t>
            </w:r>
          </w:p>
        </w:tc>
        <w:tc>
          <w:tcPr>
            <w:tcW w:w="1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十四</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资源勘探信息等支出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十五</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商业服务业等支出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18"/>
                <w:szCs w:val="18"/>
              </w:rPr>
              <w:t> </w:t>
            </w:r>
          </w:p>
        </w:tc>
        <w:tc>
          <w:tcPr>
            <w:tcW w:w="1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十六</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金融支出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援助其他地区支出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十八</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国土海洋气象等支出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十九</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住房保障支出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1,392.57</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二十</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粮油物资储备支出</w:t>
            </w:r>
          </w:p>
        </w:tc>
        <w:tc>
          <w:tcPr>
            <w:tcW w:w="182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二十一</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预备费</w:t>
            </w:r>
          </w:p>
        </w:tc>
        <w:tc>
          <w:tcPr>
            <w:tcW w:w="1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本</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年</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收</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入</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合</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本</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年</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支</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出</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合</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lastRenderedPageBreak/>
              <w:t>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12,978.11</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1820"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八</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用事业基金弥补收支差额</w:t>
            </w:r>
          </w:p>
        </w:tc>
        <w:tc>
          <w:tcPr>
            <w:tcW w:w="18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二十七</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结转下年</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九</w:t>
            </w:r>
            <w:r w:rsidRPr="00FD5598">
              <w:rPr>
                <w:rFonts w:ascii="Times New Roman" w:hAnsi="Times New Roman" w:cs="Times New Roman"/>
                <w:color w:val="313234"/>
                <w:sz w:val="20"/>
                <w:szCs w:val="20"/>
              </w:rPr>
              <w:t>.</w:t>
            </w:r>
            <w:r w:rsidRPr="00FD5598">
              <w:rPr>
                <w:rFonts w:ascii="宋体" w:eastAsia="宋体" w:hAnsi="宋体" w:cs="Times New Roman" w:hint="eastAsia"/>
                <w:color w:val="313234"/>
                <w:sz w:val="20"/>
                <w:szCs w:val="20"/>
              </w:rPr>
              <w:t>上年结余</w:t>
            </w:r>
          </w:p>
        </w:tc>
        <w:tc>
          <w:tcPr>
            <w:tcW w:w="1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0"/>
        </w:trPr>
        <w:tc>
          <w:tcPr>
            <w:tcW w:w="34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收</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入</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总</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c>
          <w:tcPr>
            <w:tcW w:w="2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支　出　总　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r>
    </w:tbl>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部门公开表7</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部门收入总表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单位：万元</w:t>
      </w:r>
    </w:p>
    <w:tbl>
      <w:tblPr>
        <w:tblW w:w="0" w:type="auto"/>
        <w:tblCellMar>
          <w:left w:w="0" w:type="dxa"/>
          <w:right w:w="0" w:type="dxa"/>
        </w:tblCellMar>
        <w:tblLook w:val="04A0"/>
      </w:tblPr>
      <w:tblGrid>
        <w:gridCol w:w="525"/>
        <w:gridCol w:w="437"/>
        <w:gridCol w:w="437"/>
        <w:gridCol w:w="2520"/>
        <w:gridCol w:w="1155"/>
        <w:gridCol w:w="1155"/>
        <w:gridCol w:w="1050"/>
        <w:gridCol w:w="1050"/>
        <w:gridCol w:w="945"/>
        <w:gridCol w:w="840"/>
        <w:gridCol w:w="16"/>
      </w:tblGrid>
      <w:tr w:rsidR="00FD5598" w:rsidRPr="00FD5598" w:rsidTr="00FD5598">
        <w:trPr>
          <w:trHeight w:val="360"/>
        </w:trPr>
        <w:tc>
          <w:tcPr>
            <w:tcW w:w="136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科目编码</w:t>
            </w:r>
          </w:p>
        </w:tc>
        <w:tc>
          <w:tcPr>
            <w:tcW w:w="2520" w:type="dxa"/>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部门及功能科目名称</w:t>
            </w:r>
          </w:p>
        </w:tc>
        <w:tc>
          <w:tcPr>
            <w:tcW w:w="619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资金来源</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60"/>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11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总计</w:t>
            </w:r>
          </w:p>
        </w:tc>
        <w:tc>
          <w:tcPr>
            <w:tcW w:w="11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一般公共预算拨款收入</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事业收入</w:t>
            </w:r>
          </w:p>
        </w:tc>
        <w:tc>
          <w:tcPr>
            <w:tcW w:w="94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事业单位</w:t>
            </w:r>
            <w:r w:rsidRPr="00FD5598">
              <w:rPr>
                <w:rFonts w:ascii="Times New Roman" w:hAnsi="Times New Roman" w:cs="Times New Roman"/>
                <w:b/>
                <w:bCs/>
                <w:color w:val="313234"/>
              </w:rPr>
              <w:br/>
            </w:r>
            <w:r w:rsidRPr="00FD5598">
              <w:rPr>
                <w:rFonts w:ascii="宋体" w:eastAsia="宋体" w:hAnsi="宋体" w:cs="Times New Roman" w:hint="eastAsia"/>
                <w:b/>
                <w:bCs/>
                <w:color w:val="313234"/>
              </w:rPr>
              <w:t>经营收入</w:t>
            </w:r>
          </w:p>
        </w:tc>
        <w:tc>
          <w:tcPr>
            <w:tcW w:w="8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用事业基金弥补的收支差额</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60"/>
        </w:trPr>
        <w:tc>
          <w:tcPr>
            <w:tcW w:w="5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4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4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金额</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其中：教育收费</w:t>
            </w: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12"/>
        </w:trPr>
        <w:tc>
          <w:tcPr>
            <w:tcW w:w="0" w:type="auto"/>
            <w:vMerge/>
            <w:tcBorders>
              <w:top w:val="nil"/>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60"/>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1</w:t>
            </w:r>
          </w:p>
        </w:tc>
        <w:tc>
          <w:tcPr>
            <w:tcW w:w="1155" w:type="dxa"/>
            <w:tcBorders>
              <w:top w:val="nil"/>
              <w:left w:val="nil"/>
              <w:bottom w:val="single" w:sz="8" w:space="0" w:color="auto"/>
              <w:right w:val="nil"/>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2</w:t>
            </w:r>
          </w:p>
        </w:tc>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3</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4</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5</w:t>
            </w:r>
          </w:p>
        </w:tc>
        <w:tc>
          <w:tcPr>
            <w:tcW w:w="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6</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合计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w:t>
            </w:r>
            <w:r w:rsidRPr="00FD5598">
              <w:rPr>
                <w:rFonts w:ascii="Times New Roman" w:hAnsi="Times New Roman" w:cs="Times New Roman"/>
                <w:color w:val="313234"/>
                <w:sz w:val="20"/>
                <w:szCs w:val="20"/>
              </w:rPr>
              <w:lastRenderedPageBreak/>
              <w:t>8.11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9,898</w:t>
            </w:r>
            <w:r w:rsidRPr="00FD5598">
              <w:rPr>
                <w:rFonts w:ascii="Times New Roman" w:hAnsi="Times New Roman" w:cs="Times New Roman"/>
                <w:color w:val="313234"/>
                <w:sz w:val="20"/>
                <w:szCs w:val="20"/>
              </w:rPr>
              <w:lastRenderedPageBreak/>
              <w:t>.40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2,32</w:t>
            </w:r>
            <w:r w:rsidRPr="00FD5598">
              <w:rPr>
                <w:rFonts w:ascii="Times New Roman" w:hAnsi="Times New Roman" w:cs="Times New Roman"/>
                <w:color w:val="313234"/>
                <w:sz w:val="20"/>
                <w:szCs w:val="20"/>
              </w:rPr>
              <w:lastRenderedPageBreak/>
              <w:t>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2,32</w:t>
            </w:r>
            <w:r w:rsidRPr="00FD5598">
              <w:rPr>
                <w:rFonts w:ascii="Times New Roman" w:hAnsi="Times New Roman" w:cs="Times New Roman"/>
                <w:color w:val="313234"/>
                <w:sz w:val="20"/>
                <w:szCs w:val="20"/>
              </w:rPr>
              <w:lastRenderedPageBreak/>
              <w:t>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75</w:t>
            </w:r>
            <w:r w:rsidRPr="00FD5598">
              <w:rPr>
                <w:rFonts w:ascii="Times New Roman" w:hAnsi="Times New Roman" w:cs="Times New Roman"/>
                <w:color w:val="313234"/>
                <w:sz w:val="20"/>
                <w:szCs w:val="20"/>
              </w:rPr>
              <w:lastRenderedPageBreak/>
              <w:t>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青海省住房和城乡建设厅</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9,898.40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b/>
                <w:bCs/>
                <w:color w:val="313234"/>
                <w:sz w:val="20"/>
                <w:szCs w:val="20"/>
              </w:rPr>
              <w:t xml:space="preserve">　</w:t>
            </w:r>
            <w:r w:rsidRPr="00FD5598">
              <w:rPr>
                <w:rFonts w:ascii="宋体" w:eastAsia="宋体" w:hAnsi="宋体" w:cs="Times New Roman" w:hint="eastAsia"/>
                <w:b/>
                <w:bCs/>
                <w:color w:val="313234"/>
                <w:sz w:val="20"/>
                <w:szCs w:val="20"/>
              </w:rPr>
              <w:t>青海建筑职业技术学院</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7,170.86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4,091.15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教育支出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职业教育</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高等职业教育</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2,524.10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2,329.71</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750.00</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821.74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821.74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781.25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781.25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403.29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403.29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161.32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161.32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167.36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167.36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死亡抚恤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201.68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201.68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青海省工程建设招标投标管理办公室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108.34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108.34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w:t>
            </w:r>
            <w:r w:rsidRPr="00FD5598">
              <w:rPr>
                <w:rFonts w:ascii="宋体" w:eastAsia="宋体" w:hAnsi="宋体" w:cs="Times New Roman" w:hint="eastAsia"/>
                <w:color w:val="313234"/>
                <w:sz w:val="20"/>
                <w:szCs w:val="20"/>
              </w:rPr>
              <w:lastRenderedPageBreak/>
              <w:t>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青海省抗震办公室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159.80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159.80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w:t>
            </w:r>
            <w:r w:rsidRPr="00FD5598">
              <w:rPr>
                <w:rFonts w:ascii="Times New Roman" w:hAnsi="Times New Roman" w:cs="Times New Roman"/>
                <w:color w:val="313234"/>
                <w:sz w:val="20"/>
                <w:szCs w:val="20"/>
              </w:rPr>
              <w:lastRenderedPageBreak/>
              <w:t>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w:t>
            </w:r>
            <w:r w:rsidRPr="00FD5598">
              <w:rPr>
                <w:rFonts w:ascii="宋体" w:eastAsia="宋体" w:hAnsi="宋体" w:cs="Times New Roman" w:hint="eastAsia"/>
                <w:color w:val="313234"/>
                <w:sz w:val="20"/>
                <w:szCs w:val="20"/>
              </w:rPr>
              <w:lastRenderedPageBreak/>
              <w:t>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青海省建设工程质量监督总站</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422.82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422.82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33.05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33.05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19.79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21.23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19.64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19.64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工程建设管理</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青海省建筑节能与墙体材料革新办公室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186.33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186.33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15.80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15.80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w:t>
            </w:r>
            <w:r w:rsidRPr="00FD5598">
              <w:rPr>
                <w:rFonts w:ascii="Times New Roman" w:hAnsi="Times New Roman" w:cs="Times New Roman"/>
                <w:color w:val="313234"/>
                <w:sz w:val="20"/>
                <w:szCs w:val="20"/>
              </w:rPr>
              <w:lastRenderedPageBreak/>
              <w:t>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行政单位医</w:t>
            </w:r>
            <w:r w:rsidRPr="00FD5598">
              <w:rPr>
                <w:rFonts w:ascii="宋体" w:eastAsia="宋体" w:hAnsi="宋体" w:cs="Times New Roman" w:hint="eastAsia"/>
                <w:color w:val="313234"/>
                <w:sz w:val="20"/>
                <w:szCs w:val="20"/>
              </w:rPr>
              <w:lastRenderedPageBreak/>
              <w:t>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10.15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10.15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6.31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125.32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125.32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青海省住房和城乡建设厅后勤服务中心</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221.12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221.12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10.37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10.37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0.87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机关服务（城乡社区管理事务）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青海省住房和城乡建设厅执业资格注册中心</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275.41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275.41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5.49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执业资格注册、资质审查</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青海省建设工程造价管理总站</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387.22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29.94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29.94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18.93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18.93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278.69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278.69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w:t>
            </w:r>
            <w:r w:rsidRPr="00FD5598">
              <w:rPr>
                <w:rFonts w:ascii="Times New Roman" w:hAnsi="Times New Roman" w:cs="Times New Roman"/>
                <w:color w:val="313234"/>
                <w:sz w:val="20"/>
                <w:szCs w:val="20"/>
              </w:rPr>
              <w:lastRenderedPageBreak/>
              <w:t>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w:t>
            </w:r>
            <w:r w:rsidRPr="00FD5598">
              <w:rPr>
                <w:rFonts w:ascii="宋体" w:eastAsia="宋体" w:hAnsi="宋体" w:cs="Times New Roman" w:hint="eastAsia"/>
                <w:color w:val="313234"/>
                <w:sz w:val="20"/>
                <w:szCs w:val="20"/>
              </w:rPr>
              <w:lastRenderedPageBreak/>
              <w:t>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278.6</w:t>
            </w:r>
            <w:r w:rsidRPr="00FD5598">
              <w:rPr>
                <w:rFonts w:ascii="Times New Roman" w:hAnsi="Times New Roman" w:cs="Times New Roman"/>
                <w:color w:val="313234"/>
                <w:sz w:val="20"/>
                <w:szCs w:val="20"/>
              </w:rPr>
              <w:lastRenderedPageBreak/>
              <w:t>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278.6</w:t>
            </w:r>
            <w:r w:rsidRPr="00FD5598">
              <w:rPr>
                <w:rFonts w:ascii="Times New Roman" w:hAnsi="Times New Roman" w:cs="Times New Roman"/>
                <w:color w:val="313234"/>
                <w:sz w:val="20"/>
                <w:szCs w:val="20"/>
              </w:rPr>
              <w:lastRenderedPageBreak/>
              <w:t>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工程建设标准规范编制与监管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青海省建筑工程勘察设计质量监督总站</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115.38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115.38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9.55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9.55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青海省代建项目办公室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188.43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188.43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21.41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其他城乡社区管理事务支出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青海省城市管理综合行政执法监督局</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159.67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159.67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6.65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lastRenderedPageBreak/>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lastRenderedPageBreak/>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w:t>
            </w:r>
            <w:r w:rsidRPr="00FD5598">
              <w:rPr>
                <w:rFonts w:ascii="宋体" w:eastAsia="宋体" w:hAnsi="宋体" w:cs="Times New Roman" w:hint="eastAsia"/>
                <w:color w:val="313234"/>
                <w:sz w:val="20"/>
                <w:szCs w:val="20"/>
              </w:rPr>
              <w:lastRenderedPageBreak/>
              <w:t>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青海省保障性住房管理中心</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69.77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69.77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其他城乡社区管理事务支出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青海省世界遗产管理办公室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57.54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57.54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w:t>
            </w:r>
            <w:r w:rsidRPr="00FD5598">
              <w:rPr>
                <w:rFonts w:ascii="Times New Roman" w:hAnsi="Times New Roman" w:cs="Times New Roman"/>
                <w:color w:val="313234"/>
                <w:sz w:val="20"/>
                <w:szCs w:val="20"/>
              </w:rPr>
              <w:lastRenderedPageBreak/>
              <w:t>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公务员医疗</w:t>
            </w:r>
            <w:r w:rsidRPr="00FD5598">
              <w:rPr>
                <w:rFonts w:ascii="宋体" w:eastAsia="宋体" w:hAnsi="宋体" w:cs="Times New Roman" w:hint="eastAsia"/>
                <w:color w:val="313234"/>
                <w:sz w:val="20"/>
                <w:szCs w:val="20"/>
              </w:rPr>
              <w:lastRenderedPageBreak/>
              <w:t>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青海省住房资金管理中心</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906.09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906.09</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38.61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38.61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26.16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24.94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24.94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9.66</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841.78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841.78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城乡社区住宅</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住房公积金管理</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青海省住房和城乡建设厅（本级）</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2,549.33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2,549.33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496.02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行政事业单位离退休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402.58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402.58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归口管理的行政单位离退休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171.12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164.25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医疗卫生与计划生育支出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121.43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121.43</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121.32</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节能环保支出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1,663.58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1,663.58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1,638.58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1,638.58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0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机关服务（城乡社区管理事务）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09</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住宅建设与房地产市场监管</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城乡社区规划与管理</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52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25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bl>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right="640"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部门公开表8</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部门支出总表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单位：万元</w:t>
      </w:r>
    </w:p>
    <w:tbl>
      <w:tblPr>
        <w:tblW w:w="0" w:type="auto"/>
        <w:tblCellMar>
          <w:left w:w="0" w:type="dxa"/>
          <w:right w:w="0" w:type="dxa"/>
        </w:tblCellMar>
        <w:tblLook w:val="04A0"/>
      </w:tblPr>
      <w:tblGrid>
        <w:gridCol w:w="525"/>
        <w:gridCol w:w="525"/>
        <w:gridCol w:w="437"/>
        <w:gridCol w:w="3885"/>
        <w:gridCol w:w="1155"/>
        <w:gridCol w:w="1155"/>
        <w:gridCol w:w="1155"/>
        <w:gridCol w:w="1155"/>
      </w:tblGrid>
      <w:tr w:rsidR="00FD5598" w:rsidRPr="00FD5598" w:rsidTr="00FD5598">
        <w:trPr>
          <w:trHeight w:val="360"/>
        </w:trPr>
        <w:tc>
          <w:tcPr>
            <w:tcW w:w="14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lastRenderedPageBreak/>
              <w:t>科目编码</w:t>
            </w:r>
          </w:p>
        </w:tc>
        <w:tc>
          <w:tcPr>
            <w:tcW w:w="3885" w:type="dxa"/>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部门及功能科目名称</w:t>
            </w:r>
          </w:p>
        </w:tc>
        <w:tc>
          <w:tcPr>
            <w:tcW w:w="11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总计</w:t>
            </w:r>
          </w:p>
        </w:tc>
        <w:tc>
          <w:tcPr>
            <w:tcW w:w="11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基本支出</w:t>
            </w:r>
          </w:p>
        </w:tc>
        <w:tc>
          <w:tcPr>
            <w:tcW w:w="11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项目支出</w:t>
            </w:r>
          </w:p>
        </w:tc>
        <w:tc>
          <w:tcPr>
            <w:tcW w:w="11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事业单位经营支出</w:t>
            </w:r>
          </w:p>
        </w:tc>
      </w:tr>
      <w:tr w:rsidR="00FD5598" w:rsidRPr="00FD5598" w:rsidTr="00FD5598">
        <w:trPr>
          <w:trHeight w:val="360"/>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p>
        </w:tc>
        <w:tc>
          <w:tcPr>
            <w:tcW w:w="0" w:type="auto"/>
            <w:vMerge/>
            <w:tcBorders>
              <w:top w:val="single" w:sz="8" w:space="0" w:color="auto"/>
              <w:left w:val="nil"/>
              <w:bottom w:val="single" w:sz="8" w:space="0" w:color="auto"/>
              <w:right w:val="nil"/>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r>
      <w:tr w:rsidR="00FD5598" w:rsidRPr="00FD5598" w:rsidTr="00FD5598">
        <w:trPr>
          <w:trHeight w:val="360"/>
        </w:trPr>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3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1</w:t>
            </w:r>
          </w:p>
        </w:tc>
        <w:tc>
          <w:tcPr>
            <w:tcW w:w="1155"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2</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3</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4</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合计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c>
          <w:tcPr>
            <w:tcW w:w="11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8,780.69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3,847.42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青海省住房和城乡建设厅</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12,978.11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8,780.69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3,847.42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青海建筑职业技术学院</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7,170.86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4,249.96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教育支出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2,682.91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职业教育</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2,682.91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高等职业教育</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5,603.81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2,682.91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350.00</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821.74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821.74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781.25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781.25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403.29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403.29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161.32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161.32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lastRenderedPageBreak/>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lastRenderedPageBreak/>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9</w:t>
            </w:r>
            <w:r w:rsidRPr="00FD5598">
              <w:rPr>
                <w:rFonts w:ascii="Times New Roman" w:hAnsi="Times New Roman" w:cs="Times New Roman"/>
                <w:color w:val="313234"/>
                <w:sz w:val="20"/>
                <w:szCs w:val="20"/>
              </w:rPr>
              <w:lastRenderedPageBreak/>
              <w:t>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其他行政事业单位离退休</w:t>
            </w:r>
            <w:r w:rsidRPr="00FD5598">
              <w:rPr>
                <w:rFonts w:ascii="宋体" w:eastAsia="宋体" w:hAnsi="宋体" w:cs="Times New Roman" w:hint="eastAsia"/>
                <w:color w:val="313234"/>
                <w:sz w:val="20"/>
                <w:szCs w:val="20"/>
              </w:rPr>
              <w:lastRenderedPageBreak/>
              <w:t>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167.3</w:t>
            </w:r>
            <w:r w:rsidRPr="00FD5598">
              <w:rPr>
                <w:rFonts w:ascii="Times New Roman" w:hAnsi="Times New Roman" w:cs="Times New Roman"/>
                <w:color w:val="313234"/>
                <w:sz w:val="20"/>
                <w:szCs w:val="20"/>
              </w:rPr>
              <w:lastRenderedPageBreak/>
              <w:t>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167.3</w:t>
            </w:r>
            <w:r w:rsidRPr="00FD5598">
              <w:rPr>
                <w:rFonts w:ascii="Times New Roman" w:hAnsi="Times New Roman" w:cs="Times New Roman"/>
                <w:color w:val="313234"/>
                <w:sz w:val="20"/>
                <w:szCs w:val="20"/>
              </w:rPr>
              <w:lastRenderedPageBreak/>
              <w:t>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461.14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201.68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201.68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284.17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青海省工程建设招标投标管理办公室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108.34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lastRenderedPageBreak/>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lastRenderedPageBreak/>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w:t>
            </w:r>
            <w:r w:rsidRPr="00FD5598">
              <w:rPr>
                <w:rFonts w:ascii="宋体" w:eastAsia="宋体" w:hAnsi="宋体" w:cs="Times New Roman" w:hint="eastAsia"/>
                <w:color w:val="313234"/>
                <w:sz w:val="20"/>
                <w:szCs w:val="20"/>
              </w:rPr>
              <w:lastRenderedPageBreak/>
              <w:t>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3.02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79.36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青海省抗震办公室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159.80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148.40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w:t>
            </w:r>
            <w:r w:rsidRPr="00FD5598">
              <w:rPr>
                <w:rFonts w:ascii="Times New Roman" w:hAnsi="Times New Roman" w:cs="Times New Roman"/>
                <w:color w:val="313234"/>
                <w:sz w:val="20"/>
                <w:szCs w:val="20"/>
              </w:rPr>
              <w:lastRenderedPageBreak/>
              <w:t>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6.55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116.90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105.50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青海省建设工程质量监督总站</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422.8</w:t>
            </w:r>
            <w:r w:rsidRPr="00FD5598">
              <w:rPr>
                <w:rFonts w:ascii="Times New Roman" w:hAnsi="Times New Roman" w:cs="Times New Roman"/>
                <w:color w:val="313234"/>
                <w:sz w:val="20"/>
                <w:szCs w:val="20"/>
              </w:rPr>
              <w:lastRenderedPageBreak/>
              <w:t>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377.8</w:t>
            </w:r>
            <w:r w:rsidRPr="00FD5598">
              <w:rPr>
                <w:rFonts w:ascii="Times New Roman" w:hAnsi="Times New Roman" w:cs="Times New Roman"/>
                <w:color w:val="313234"/>
                <w:sz w:val="20"/>
                <w:szCs w:val="20"/>
              </w:rPr>
              <w:lastRenderedPageBreak/>
              <w:t>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45.00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52.84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33.05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33.05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19.79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21.23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19.64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19.64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304.46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259.46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工程建设管理</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青海省建筑节能与墙体材料革新办公室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186.33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170.73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15.80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15.80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10.15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10.15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6.31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125.32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140.92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125.32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行政运行（城乡社区管理</w:t>
            </w:r>
            <w:r w:rsidRPr="00FD5598">
              <w:rPr>
                <w:rFonts w:ascii="宋体" w:eastAsia="宋体" w:hAnsi="宋体" w:cs="Times New Roman" w:hint="eastAsia"/>
                <w:color w:val="313234"/>
                <w:sz w:val="20"/>
                <w:szCs w:val="20"/>
              </w:rPr>
              <w:lastRenderedPageBreak/>
              <w:t>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125.3</w:t>
            </w:r>
            <w:r w:rsidRPr="00FD5598">
              <w:rPr>
                <w:rFonts w:ascii="Times New Roman" w:hAnsi="Times New Roman" w:cs="Times New Roman"/>
                <w:color w:val="313234"/>
                <w:sz w:val="20"/>
                <w:szCs w:val="20"/>
              </w:rPr>
              <w:lastRenderedPageBreak/>
              <w:t>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125.3</w:t>
            </w:r>
            <w:r w:rsidRPr="00FD5598">
              <w:rPr>
                <w:rFonts w:ascii="Times New Roman" w:hAnsi="Times New Roman" w:cs="Times New Roman"/>
                <w:color w:val="313234"/>
                <w:sz w:val="20"/>
                <w:szCs w:val="20"/>
              </w:rPr>
              <w:lastRenderedPageBreak/>
              <w:t>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11.79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青海省住房和城乡建设厅后勤服务中心</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221.12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221.12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35.62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10.37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10.37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0.87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0.87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23.73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w:t>
            </w:r>
            <w:r w:rsidRPr="00FD5598">
              <w:rPr>
                <w:rFonts w:ascii="Times New Roman" w:hAnsi="Times New Roman" w:cs="Times New Roman"/>
                <w:color w:val="313234"/>
                <w:sz w:val="20"/>
                <w:szCs w:val="20"/>
              </w:rPr>
              <w:lastRenderedPageBreak/>
              <w:t>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8.95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92"/>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机关服务（城乡社区管理事务）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144.78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16.99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青海省住房和城乡建设厅执业资格注册中心</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275.41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113.41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62"/>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w:t>
            </w:r>
            <w:r w:rsidRPr="00FD5598">
              <w:rPr>
                <w:rFonts w:ascii="Times New Roman" w:hAnsi="Times New Roman" w:cs="Times New Roman"/>
                <w:color w:val="313234"/>
                <w:sz w:val="20"/>
                <w:szCs w:val="20"/>
              </w:rPr>
              <w:lastRenderedPageBreak/>
              <w:t>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5.49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5.49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81.20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81.20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执业资格注册、资质审查</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243.20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81.20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青海省建设工程造价管理总站</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387.22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344.22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48.87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29.94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29.94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18.93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18.93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37.36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19.20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278.69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278.69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235.69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工程建设标准规范编制与监管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青海省建筑工程勘察设计质量监督总站</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115.38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106.18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w:t>
            </w:r>
            <w:r w:rsidRPr="00FD5598">
              <w:rPr>
                <w:rFonts w:ascii="Times New Roman" w:hAnsi="Times New Roman" w:cs="Times New Roman"/>
                <w:color w:val="313234"/>
                <w:sz w:val="20"/>
                <w:szCs w:val="20"/>
              </w:rPr>
              <w:lastRenderedPageBreak/>
              <w:t>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10.96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9.55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9.55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10.23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87.03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29"/>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77.83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青海省代建项目办公室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188.4</w:t>
            </w:r>
            <w:r w:rsidRPr="00FD5598">
              <w:rPr>
                <w:rFonts w:ascii="Times New Roman" w:hAnsi="Times New Roman" w:cs="Times New Roman"/>
                <w:color w:val="313234"/>
                <w:sz w:val="20"/>
                <w:szCs w:val="20"/>
              </w:rPr>
              <w:lastRenderedPageBreak/>
              <w:t>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188.4</w:t>
            </w:r>
            <w:r w:rsidRPr="00FD5598">
              <w:rPr>
                <w:rFonts w:ascii="Times New Roman" w:hAnsi="Times New Roman" w:cs="Times New Roman"/>
                <w:color w:val="313234"/>
                <w:sz w:val="20"/>
                <w:szCs w:val="20"/>
              </w:rPr>
              <w:lastRenderedPageBreak/>
              <w:t>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32.28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21.41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78"/>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机关事业单位职业年金缴费支出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20.72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7.56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其他城乡社区管理事务支出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120.31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w:t>
            </w:r>
            <w:r w:rsidRPr="00FD5598">
              <w:rPr>
                <w:rFonts w:ascii="Times New Roman" w:hAnsi="Times New Roman" w:cs="Times New Roman"/>
                <w:color w:val="313234"/>
                <w:sz w:val="20"/>
                <w:szCs w:val="20"/>
              </w:rPr>
              <w:lastRenderedPageBreak/>
              <w:t>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青海省城市管理综合行政执法监督局</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159.67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140.17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6.65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6.65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14.98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7.06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116.42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87"/>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96.92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w:t>
            </w:r>
            <w:r w:rsidRPr="00FD5598">
              <w:rPr>
                <w:rFonts w:ascii="Times New Roman" w:hAnsi="Times New Roman" w:cs="Times New Roman"/>
                <w:color w:val="313234"/>
                <w:sz w:val="20"/>
                <w:szCs w:val="20"/>
              </w:rPr>
              <w:lastRenderedPageBreak/>
              <w:t>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0</w:t>
            </w:r>
            <w:r w:rsidRPr="00FD5598">
              <w:rPr>
                <w:rFonts w:ascii="Times New Roman" w:hAnsi="Times New Roman" w:cs="Times New Roman"/>
                <w:color w:val="313234"/>
                <w:sz w:val="20"/>
                <w:szCs w:val="20"/>
              </w:rPr>
              <w:lastRenderedPageBreak/>
              <w:t>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 xml:space="preserve">　　　　</w:t>
            </w:r>
            <w:r w:rsidRPr="00FD5598">
              <w:rPr>
                <w:rFonts w:ascii="宋体" w:eastAsia="宋体" w:hAnsi="宋体" w:cs="Times New Roman" w:hint="eastAsia"/>
                <w:color w:val="313234"/>
                <w:sz w:val="20"/>
                <w:szCs w:val="20"/>
              </w:rPr>
              <w:t>一般行政管理事务（城乡</w:t>
            </w:r>
            <w:r w:rsidRPr="00FD5598">
              <w:rPr>
                <w:rFonts w:ascii="宋体" w:eastAsia="宋体" w:hAnsi="宋体" w:cs="Times New Roman" w:hint="eastAsia"/>
                <w:color w:val="313234"/>
                <w:sz w:val="20"/>
                <w:szCs w:val="20"/>
              </w:rPr>
              <w:lastRenderedPageBreak/>
              <w:t>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19.50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青海省保障性住房管理中心</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69.77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61.77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6.09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53.08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其他城乡社区管理事务支出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4.48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青海省世界遗产管理办公室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57.54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57.54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5.82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5.78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3.67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02"/>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w:t>
            </w:r>
            <w:r w:rsidRPr="00FD5598">
              <w:rPr>
                <w:rFonts w:ascii="宋体" w:eastAsia="宋体" w:hAnsi="宋体" w:cs="Times New Roman" w:hint="eastAsia"/>
                <w:color w:val="313234"/>
                <w:sz w:val="20"/>
                <w:szCs w:val="20"/>
              </w:rPr>
              <w:lastRenderedPageBreak/>
              <w:t>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41.69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41.69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58"/>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青海省住房资金管理中心</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906.09</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265.57</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38.61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38.61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26.16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26.16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24.94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24.94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12.45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16.04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9.66</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9.66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841.78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201.26</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18.51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城乡社区住宅</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住房公积金管理</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823.27</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182.75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青海省住房和城乡建设厅（本级）</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2,549.33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2,236.89</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312.44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社会保障和就业支出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496.02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496.02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402.58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402.58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归口管理的行政单位离退休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67.21</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机关事业单位基本养老保险缴费支出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171.12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171.12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99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其他行政事业单位离退休支出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164.25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164.25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208</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08</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死亡抚恤</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93.44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医疗卫生与计划生育支出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行政事业单位医疗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242.75</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行政单位医疗</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121.43</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121.43</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389"/>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210</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公务员医疗补助</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121.32</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121.32</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节能环保支出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1,663.58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292.44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1,638.58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267.44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行政运行（城乡社区管理事务）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1,371.14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48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机关服务（城乡社区管理事务）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09</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住宅建设与房地产市场监管</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住房改革支出</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r w:rsidR="00FD5598" w:rsidRPr="00FD5598" w:rsidTr="00FD5598">
        <w:trPr>
          <w:trHeight w:val="240"/>
        </w:trPr>
        <w:tc>
          <w:tcPr>
            <w:tcW w:w="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w:t>
            </w:r>
          </w:p>
        </w:tc>
        <w:tc>
          <w:tcPr>
            <w:tcW w:w="1155"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126.98</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r>
    </w:tbl>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部门公开表9</w:t>
      </w:r>
    </w:p>
    <w:p w:rsidR="00FD5598" w:rsidRPr="00FD5598" w:rsidRDefault="00FD5598" w:rsidP="00FD5598">
      <w:pPr>
        <w:adjustRightInd/>
        <w:snapToGrid/>
        <w:spacing w:after="0" w:line="480" w:lineRule="auto"/>
        <w:ind w:firstLine="480"/>
        <w:jc w:val="center"/>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44"/>
          <w:szCs w:val="44"/>
        </w:rPr>
        <w:t>部门项目支出表</w:t>
      </w:r>
    </w:p>
    <w:p w:rsidR="00FD5598" w:rsidRPr="00FD5598" w:rsidRDefault="00FD5598" w:rsidP="00FD5598">
      <w:pPr>
        <w:adjustRightInd/>
        <w:snapToGrid/>
        <w:spacing w:after="0" w:line="480" w:lineRule="auto"/>
        <w:ind w:firstLine="480"/>
        <w:jc w:val="right"/>
        <w:rPr>
          <w:rFonts w:ascii="Times New Roman" w:eastAsia="宋体" w:hAnsi="Times New Roman" w:cs="Times New Roman"/>
          <w:color w:val="313234"/>
          <w:sz w:val="21"/>
          <w:szCs w:val="21"/>
        </w:rPr>
      </w:pPr>
      <w:r w:rsidRPr="00FD5598">
        <w:rPr>
          <w:rFonts w:ascii="宋体" w:eastAsia="宋体" w:hAnsi="宋体" w:cs="Times New Roman" w:hint="eastAsia"/>
          <w:b/>
          <w:bCs/>
          <w:color w:val="313234"/>
          <w:sz w:val="20"/>
          <w:szCs w:val="20"/>
        </w:rPr>
        <w:t>单位：万元</w:t>
      </w:r>
    </w:p>
    <w:tbl>
      <w:tblPr>
        <w:tblW w:w="0" w:type="auto"/>
        <w:tblCellMar>
          <w:left w:w="0" w:type="dxa"/>
          <w:right w:w="0" w:type="dxa"/>
        </w:tblCellMar>
        <w:tblLook w:val="04A0"/>
      </w:tblPr>
      <w:tblGrid>
        <w:gridCol w:w="735"/>
        <w:gridCol w:w="576"/>
        <w:gridCol w:w="579"/>
        <w:gridCol w:w="3146"/>
        <w:gridCol w:w="1054"/>
        <w:gridCol w:w="1206"/>
        <w:gridCol w:w="999"/>
        <w:gridCol w:w="1046"/>
        <w:gridCol w:w="946"/>
        <w:gridCol w:w="16"/>
      </w:tblGrid>
      <w:tr w:rsidR="00FD5598" w:rsidRPr="00FD5598" w:rsidTr="00FD5598">
        <w:trPr>
          <w:trHeight w:val="360"/>
        </w:trPr>
        <w:tc>
          <w:tcPr>
            <w:tcW w:w="189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科目编码</w:t>
            </w:r>
          </w:p>
        </w:tc>
        <w:tc>
          <w:tcPr>
            <w:tcW w:w="3146" w:type="dxa"/>
            <w:vMerge w:val="restart"/>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部门及功能科目名称</w:t>
            </w:r>
          </w:p>
        </w:tc>
        <w:tc>
          <w:tcPr>
            <w:tcW w:w="525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资金来源</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60"/>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10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总计</w:t>
            </w:r>
          </w:p>
        </w:tc>
        <w:tc>
          <w:tcPr>
            <w:tcW w:w="12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一般公共预算拨款收入</w:t>
            </w:r>
          </w:p>
        </w:tc>
        <w:tc>
          <w:tcPr>
            <w:tcW w:w="20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事业收入</w:t>
            </w:r>
          </w:p>
        </w:tc>
        <w:tc>
          <w:tcPr>
            <w:tcW w:w="9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事业单位</w:t>
            </w:r>
            <w:r w:rsidRPr="00FD5598">
              <w:rPr>
                <w:rFonts w:ascii="Times New Roman" w:hAnsi="Times New Roman" w:cs="Times New Roman"/>
                <w:b/>
                <w:bCs/>
                <w:color w:val="313234"/>
              </w:rPr>
              <w:br/>
            </w:r>
            <w:r w:rsidRPr="00FD5598">
              <w:rPr>
                <w:rFonts w:ascii="宋体" w:eastAsia="宋体" w:hAnsi="宋体" w:cs="Times New Roman" w:hint="eastAsia"/>
                <w:b/>
                <w:bCs/>
                <w:color w:val="313234"/>
              </w:rPr>
              <w:t>经营收入</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12"/>
        </w:trPr>
        <w:tc>
          <w:tcPr>
            <w:tcW w:w="7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类</w:t>
            </w:r>
          </w:p>
        </w:tc>
        <w:tc>
          <w:tcPr>
            <w:tcW w:w="5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款</w:t>
            </w:r>
          </w:p>
        </w:tc>
        <w:tc>
          <w:tcPr>
            <w:tcW w:w="579" w:type="dxa"/>
            <w:vMerge w:val="restart"/>
            <w:tcBorders>
              <w:top w:val="nil"/>
              <w:left w:val="nil"/>
              <w:bottom w:val="single" w:sz="8" w:space="0" w:color="auto"/>
              <w:right w:val="nil"/>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项</w:t>
            </w: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9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金额</w:t>
            </w:r>
          </w:p>
        </w:tc>
        <w:tc>
          <w:tcPr>
            <w:tcW w:w="10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b/>
                <w:bCs/>
                <w:color w:val="313234"/>
              </w:rPr>
              <w:t>其中：教育收费</w:t>
            </w: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405"/>
        </w:trPr>
        <w:tc>
          <w:tcPr>
            <w:tcW w:w="0" w:type="auto"/>
            <w:vMerge/>
            <w:tcBorders>
              <w:top w:val="nil"/>
              <w:left w:val="single" w:sz="8" w:space="0" w:color="auto"/>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nil"/>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single" w:sz="8" w:space="0" w:color="auto"/>
              <w:left w:val="nil"/>
              <w:bottom w:val="single" w:sz="8" w:space="0" w:color="auto"/>
              <w:right w:val="single" w:sz="8" w:space="0" w:color="000000"/>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0" w:type="auto"/>
            <w:vMerge/>
            <w:tcBorders>
              <w:top w:val="nil"/>
              <w:left w:val="nil"/>
              <w:bottom w:val="single" w:sz="8" w:space="0" w:color="auto"/>
              <w:right w:val="single" w:sz="8" w:space="0" w:color="auto"/>
            </w:tcBorders>
            <w:vAlign w:val="center"/>
            <w:hideMark/>
          </w:tcPr>
          <w:p w:rsidR="00FD5598" w:rsidRPr="00FD5598" w:rsidRDefault="00FD5598" w:rsidP="00FD5598">
            <w:pPr>
              <w:adjustRightInd/>
              <w:snapToGrid/>
              <w:spacing w:after="0"/>
              <w:rPr>
                <w:rFonts w:ascii="Times New Roman" w:hAnsi="Times New Roman" w:cs="Times New Roman"/>
                <w:color w:val="313234"/>
                <w:sz w:val="21"/>
                <w:szCs w:val="21"/>
              </w:rPr>
            </w:pP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360"/>
        </w:trPr>
        <w:tc>
          <w:tcPr>
            <w:tcW w:w="73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576"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579"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3146" w:type="dxa"/>
            <w:tcBorders>
              <w:top w:val="nil"/>
              <w:left w:val="nil"/>
              <w:bottom w:val="nil"/>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rPr>
              <w:t> </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2</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3</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4</w:t>
            </w:r>
          </w:p>
        </w:tc>
        <w:tc>
          <w:tcPr>
            <w:tcW w:w="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rPr>
              <w:t>5</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9"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4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合计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3,847.42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1,348.52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青海省住房和城乡建设厅</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3,847.42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1,348.52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青海建筑职业技术学院</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教育支出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职业教育</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205</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高等职业教育</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2,570.90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72.00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2,098.90</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400.00</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青海省工程建设招标投标管理办公室</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9.86</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青海省抗震办公室</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11.40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547"/>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right="300" w:firstLine="480"/>
              <w:jc w:val="both"/>
              <w:rPr>
                <w:rFonts w:ascii="Times New Roman" w:hAnsi="Times New Roman" w:cs="Times New Roman"/>
                <w:color w:val="313234"/>
                <w:sz w:val="21"/>
                <w:szCs w:val="21"/>
              </w:rPr>
            </w:pPr>
            <w:r w:rsidRPr="00FD5598">
              <w:rPr>
                <w:rFonts w:ascii="宋体" w:eastAsia="宋体" w:hAnsi="宋体" w:cs="Times New Roman" w:hint="eastAsia"/>
                <w:b/>
                <w:bCs/>
                <w:color w:val="313234"/>
                <w:sz w:val="20"/>
                <w:szCs w:val="20"/>
              </w:rPr>
              <w:t>青海省建设工程质量监督总站</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lastRenderedPageBreak/>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06</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工程建设管理</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青海省建筑节能与墙体材料革新办公室</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15.60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240" w:lineRule="atLeast"/>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青海省住房和城乡建设厅执业资格注册中心</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执业资格注册、资质审查</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162.00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青海省建设工程造价管理总站</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43.00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23.00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05</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工程建设标准规范编制与监管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青海省建筑工程勘察设计质量监督总站</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9.20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Times New Roman" w:hAnsi="Times New Roman" w:cs="Times New Roman"/>
                <w:b/>
                <w:bCs/>
                <w:color w:val="313234"/>
                <w:sz w:val="20"/>
                <w:szCs w:val="20"/>
              </w:rPr>
              <w:t> </w:t>
            </w:r>
            <w:r w:rsidRPr="00FD5598">
              <w:rPr>
                <w:rFonts w:ascii="宋体" w:eastAsia="宋体" w:hAnsi="宋体" w:cs="Times New Roman" w:hint="eastAsia"/>
                <w:b/>
                <w:bCs/>
                <w:color w:val="313234"/>
                <w:sz w:val="20"/>
                <w:szCs w:val="20"/>
              </w:rPr>
              <w:t>青海省城市管理综合行政执法监督局</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19.50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青海省保障性住房管理中心</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8.00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b/>
                <w:bCs/>
                <w:color w:val="313234"/>
                <w:sz w:val="20"/>
                <w:szCs w:val="20"/>
              </w:rPr>
              <w:t>青海省住房资金管理中心</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住房保障支出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lastRenderedPageBreak/>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城乡社区住宅</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221</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住房公积金管理</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640.52</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w:t>
            </w:r>
            <w:r w:rsidRPr="00FD5598">
              <w:rPr>
                <w:rFonts w:ascii="宋体" w:eastAsia="宋体" w:hAnsi="宋体" w:cs="Times New Roman" w:hint="eastAsia"/>
                <w:b/>
                <w:bCs/>
                <w:color w:val="313234"/>
                <w:sz w:val="20"/>
                <w:szCs w:val="20"/>
              </w:rPr>
              <w:t>青海省住房和城乡建设厅（本级）</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312.44</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312.44</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节能环保支出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211</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10</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能源节约利用</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城乡社区支出</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292.44</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292.44</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267.44</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267.44</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48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一般行政管理事务（城乡社区管理事务）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227.44</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7"/>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03</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机关服务（城乡社区管理事务）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10.00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09</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Times New Roman" w:hAnsi="Times New Roman" w:cs="Times New Roman"/>
                <w:color w:val="313234"/>
                <w:sz w:val="20"/>
                <w:szCs w:val="20"/>
              </w:rPr>
              <w:t> </w:t>
            </w:r>
            <w:r w:rsidRPr="00FD5598">
              <w:rPr>
                <w:rFonts w:ascii="宋体" w:eastAsia="宋体" w:hAnsi="宋体" w:cs="Times New Roman" w:hint="eastAsia"/>
                <w:color w:val="313234"/>
                <w:sz w:val="20"/>
                <w:szCs w:val="20"/>
              </w:rPr>
              <w:t>住宅建设与房地产市场监管</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30.00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r w:rsidR="00FD5598" w:rsidRPr="00FD5598" w:rsidTr="00FD5598">
        <w:trPr>
          <w:trHeight w:val="240"/>
        </w:trPr>
        <w:tc>
          <w:tcPr>
            <w:tcW w:w="7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212</w:t>
            </w:r>
          </w:p>
        </w:tc>
        <w:tc>
          <w:tcPr>
            <w:tcW w:w="5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02</w:t>
            </w:r>
          </w:p>
        </w:tc>
        <w:tc>
          <w:tcPr>
            <w:tcW w:w="57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center"/>
              <w:rPr>
                <w:rFonts w:ascii="Times New Roman" w:hAnsi="Times New Roman" w:cs="Times New Roman"/>
                <w:color w:val="313234"/>
                <w:sz w:val="21"/>
                <w:szCs w:val="21"/>
              </w:rPr>
            </w:pPr>
            <w:r w:rsidRPr="00FD5598">
              <w:rPr>
                <w:rFonts w:ascii="Times New Roman" w:hAnsi="Times New Roman" w:cs="Times New Roman"/>
                <w:color w:val="313234"/>
                <w:sz w:val="20"/>
                <w:szCs w:val="20"/>
              </w:rPr>
              <w:t>01</w:t>
            </w:r>
          </w:p>
        </w:tc>
        <w:tc>
          <w:tcPr>
            <w:tcW w:w="314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both"/>
              <w:rPr>
                <w:rFonts w:ascii="Times New Roman" w:hAnsi="Times New Roman" w:cs="Times New Roman"/>
                <w:color w:val="313234"/>
                <w:sz w:val="21"/>
                <w:szCs w:val="21"/>
              </w:rPr>
            </w:pPr>
            <w:r w:rsidRPr="00FD5598">
              <w:rPr>
                <w:rFonts w:ascii="Times New Roman" w:hAnsi="Times New Roman" w:cs="Times New Roman"/>
                <w:color w:val="313234"/>
                <w:sz w:val="20"/>
                <w:szCs w:val="20"/>
              </w:rPr>
              <w:t xml:space="preserve">　　　　</w:t>
            </w:r>
            <w:r w:rsidRPr="00FD5598">
              <w:rPr>
                <w:rFonts w:ascii="宋体" w:eastAsia="宋体" w:hAnsi="宋体" w:cs="Times New Roman" w:hint="eastAsia"/>
                <w:color w:val="313234"/>
                <w:sz w:val="20"/>
                <w:szCs w:val="20"/>
              </w:rPr>
              <w:t>城乡社区规划与管理</w:t>
            </w:r>
          </w:p>
        </w:tc>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Times New Roman" w:hAnsi="Times New Roman" w:cs="Times New Roman"/>
                <w:color w:val="313234"/>
                <w:sz w:val="20"/>
                <w:szCs w:val="20"/>
              </w:rPr>
              <w:t>25.00</w:t>
            </w:r>
          </w:p>
        </w:tc>
        <w:tc>
          <w:tcPr>
            <w:tcW w:w="9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1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5598" w:rsidRPr="00FD5598" w:rsidRDefault="00FD5598" w:rsidP="00FD5598">
            <w:pPr>
              <w:adjustRightInd/>
              <w:snapToGrid/>
              <w:spacing w:after="0" w:line="480" w:lineRule="auto"/>
              <w:ind w:firstLine="480"/>
              <w:jc w:val="right"/>
              <w:rPr>
                <w:rFonts w:ascii="Times New Roman" w:hAnsi="Times New Roman" w:cs="Times New Roman"/>
                <w:color w:val="313234"/>
                <w:sz w:val="21"/>
                <w:szCs w:val="21"/>
              </w:rPr>
            </w:pPr>
            <w:r w:rsidRPr="00FD5598">
              <w:rPr>
                <w:rFonts w:ascii="宋体" w:eastAsia="宋体" w:hAnsi="宋体" w:cs="Times New Roman" w:hint="eastAsia"/>
                <w:color w:val="313234"/>
                <w:sz w:val="20"/>
                <w:szCs w:val="20"/>
              </w:rPr>
              <w:t xml:space="preserve">　</w:t>
            </w:r>
          </w:p>
        </w:tc>
        <w:tc>
          <w:tcPr>
            <w:tcW w:w="6" w:type="dxa"/>
            <w:tcBorders>
              <w:top w:val="nil"/>
              <w:left w:val="nil"/>
              <w:bottom w:val="nil"/>
              <w:right w:val="nil"/>
            </w:tcBorders>
            <w:vAlign w:val="center"/>
            <w:hideMark/>
          </w:tcPr>
          <w:p w:rsidR="00FD5598" w:rsidRPr="00FD5598" w:rsidRDefault="00FD5598" w:rsidP="00FD5598">
            <w:pPr>
              <w:adjustRightInd/>
              <w:snapToGrid/>
              <w:spacing w:after="0"/>
              <w:rPr>
                <w:rFonts w:ascii="微软雅黑" w:hAnsi="微软雅黑" w:cs="宋体"/>
                <w:color w:val="000000"/>
                <w:sz w:val="24"/>
                <w:szCs w:val="27"/>
              </w:rPr>
            </w:pPr>
          </w:p>
        </w:tc>
      </w:tr>
    </w:tbl>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t> </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color w:val="313234"/>
          <w:sz w:val="32"/>
          <w:szCs w:val="32"/>
        </w:rPr>
        <w:lastRenderedPageBreak/>
        <w:t> </w:t>
      </w:r>
    </w:p>
    <w:p w:rsidR="00FD5598" w:rsidRPr="00FD5598" w:rsidRDefault="00FD5598" w:rsidP="00FD5598">
      <w:pPr>
        <w:adjustRightInd/>
        <w:snapToGrid/>
        <w:spacing w:after="0" w:line="560" w:lineRule="atLeast"/>
        <w:ind w:firstLine="723"/>
        <w:jc w:val="center"/>
        <w:rPr>
          <w:rFonts w:ascii="Times New Roman" w:eastAsia="宋体" w:hAnsi="Times New Roman" w:cs="Times New Roman"/>
          <w:color w:val="313234"/>
          <w:sz w:val="21"/>
          <w:szCs w:val="21"/>
        </w:rPr>
      </w:pPr>
      <w:r w:rsidRPr="00FD5598">
        <w:rPr>
          <w:rFonts w:ascii="小标宋" w:eastAsia="小标宋" w:hAnsi="Times New Roman" w:cs="Times New Roman" w:hint="eastAsia"/>
          <w:b/>
          <w:bCs/>
          <w:color w:val="000000"/>
          <w:sz w:val="36"/>
          <w:szCs w:val="36"/>
        </w:rPr>
        <w:t>第三部分　青海省住房和城乡建设厅2018年度部门预算情况说明</w:t>
      </w:r>
    </w:p>
    <w:p w:rsidR="00FD5598" w:rsidRPr="00FD5598" w:rsidRDefault="00FD5598" w:rsidP="00FD5598">
      <w:pPr>
        <w:adjustRightInd/>
        <w:snapToGrid/>
        <w:spacing w:after="0" w:line="560" w:lineRule="atLeast"/>
        <w:ind w:firstLine="600"/>
        <w:jc w:val="both"/>
        <w:rPr>
          <w:rFonts w:ascii="Times New Roman" w:eastAsia="宋体" w:hAnsi="Times New Roman" w:cs="Times New Roman"/>
          <w:color w:val="313234"/>
          <w:sz w:val="21"/>
          <w:szCs w:val="21"/>
        </w:rPr>
      </w:pPr>
      <w:r w:rsidRPr="00FD5598">
        <w:rPr>
          <w:rFonts w:ascii="宋体" w:eastAsia="宋体" w:hAnsi="宋体" w:cs="宋体" w:hint="eastAsia"/>
          <w:color w:val="000000"/>
          <w:sz w:val="30"/>
          <w:szCs w:val="30"/>
        </w:rPr>
        <w:t> </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一、关于青海省住房和城乡建设厅2018年财政拨款收支预算情况的总体说明</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青海省住房和城乡建设厅2018年财政拨款收支总预算9898.40万元，比2017年增加2138.49万元，主要是2018年增加2户预算单位，导致本年收支总预算比上年增加（其中：撤销2户预算单位，分别是青海省散装水泥办公室、青海省建筑市场管理办公室；新增单位有4户，分别是青海省保障性住房管理中心、青海省城市管理综合行政执法监督局、青海省世界遗产管理办公室、青海省住房公积金管理中心）。收入包括：一般公共预算拨款9898.40万元，政府性基金预算拨款0万元；支出包括：教育支出2524.10万元，社会保障和就业支出1630.99万元，医疗卫生与计划生育支出940.32万元，节能环保支出20万元，城乡社区支出3390.42万元，住房保障支出1392.57万元。</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二、关于青海省住房和城乡建设厅2018年一般公共预算当年拨款情况说明</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z w:val="32"/>
          <w:szCs w:val="32"/>
        </w:rPr>
        <w:lastRenderedPageBreak/>
        <w:t>（一）一般公共预算当年拨款规模变化情况。</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省住房城乡建设厅2018年一般公共预算当年拨款9898.40万元,比2017年增加2138.49万元，其中基本支出比年增加1477.97万元，项目支出比上年增加660.52万元。主要是2018年增加2户预算单位，导致本年收支总预算比上年增加。</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z w:val="32"/>
          <w:szCs w:val="32"/>
        </w:rPr>
        <w:t>（二）一般公共预算当年拨款结构情况。</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总支出9898.40万元，其中：教育支出2524.10万元，占总支出的25.5%；社会保障和就业支出1630.99万元，占总支出的16.5%；医疗卫生与计划生育支出940.32万元，占总支出的9.5%；节能环保支出20万元，占总支出的0.2%；城乡社区支出3390.42万元，占总支出的34.3%；住房保障支出1392.57万元，占总支出的14%。</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z w:val="32"/>
          <w:szCs w:val="32"/>
        </w:rPr>
        <w:t>（三）一般公共预算当年拨款具体使用情况。</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2018年一般公共预算9898.40万元，其中：基本支出8549.88万元、项目支出1348.52万元，具体如下：</w:t>
      </w:r>
    </w:p>
    <w:p w:rsidR="00FD5598" w:rsidRPr="00FD5598" w:rsidRDefault="00FD5598" w:rsidP="00FD5598">
      <w:pPr>
        <w:shd w:val="clear" w:color="auto" w:fill="FFFFFF"/>
        <w:adjustRightInd/>
        <w:snapToGrid/>
        <w:spacing w:after="0" w:line="600" w:lineRule="atLeast"/>
        <w:ind w:firstLine="720"/>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1.教育支出-高等职业教育（类205款03项05），2018年预算数为2524.10万元，比2017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年增加374万元，增长17.40%。主要是在教育事务</w:t>
      </w:r>
      <w:r w:rsidRPr="00FD5598">
        <w:rPr>
          <w:rFonts w:ascii="仿宋" w:eastAsia="仿宋" w:hAnsi="仿宋" w:cs="Times New Roman" w:hint="eastAsia"/>
          <w:color w:val="313234"/>
          <w:sz w:val="32"/>
          <w:szCs w:val="32"/>
        </w:rPr>
        <w:lastRenderedPageBreak/>
        <w:t>方面的支出，包括青海建筑职业技术学院在职人员工资、公用经费等基本支出和教学运行、建筑节能改造款、改扩建项目贷款本金等项目方面的支出。</w:t>
      </w:r>
    </w:p>
    <w:p w:rsidR="00FD5598" w:rsidRPr="00FD5598" w:rsidRDefault="00FD5598" w:rsidP="00FD5598">
      <w:pPr>
        <w:shd w:val="clear" w:color="auto" w:fill="FFFFFF"/>
        <w:adjustRightInd/>
        <w:snapToGrid/>
        <w:spacing w:after="0" w:line="600" w:lineRule="atLeast"/>
        <w:ind w:firstLine="720"/>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2.社会保障和就业支出-归口管理的行政单位离退休（类208款05项01），2018年预算数为67.21万元，比2017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年增加8.42万元，增长14.3%。主要是省住房和城乡建设厅离退休人员工资及管理等方面的支出。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3.社会保障和就业支出-事业单位离退休（类208款05项02），2018年预算数为49.28万元，比2017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年减少10.21万元，下降17.20%。主要是事业单位离退休费用。</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4.社会保障和就业支出-机关事业单位基本养老保险缴费支出（类208款05项05），2018年预算数为790.58万元，比2017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年增加93.98万元，增长13.50%。主要是机关事业单位基本养老保险缴费支出。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5.社会保障和就业支出-机关事业单位职业年金缴费支出（类208款05项06），2018年预算数为184.59万元，比2017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年增加15.98万元，增长9.5%。主要是机关事业单位职业年金缴费支出。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6.社会保障和就业支出-其他行政事业单位离退休支出（类208款05项99），2018年预算数为392.95万元，比2017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年增加170.95万元，增长77%。主要是行政事业单位离休支出。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7.社会保障和就业支出-死亡抚恤（类208款08项01），2018年预算数为146.38万元，比2017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年减少49.24万元，下降25%。主要是行政事业单位死亡抚恤支出。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8.医疗卫生与计划生育支出-行政单位医疗（类210款11项01），2018年预算数为200.43万元，比2017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年增加60.87万元，增长43.6%。主要是行政单位医疗支出。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9.医疗卫生与计划生育支出-事业单位医疗（类210款11项02），2018年预算数为316.47万元，比2017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年增加44.99万元，增长16.6%。主要是事业单位医疗支出。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10.医疗卫生与计划生育支出-公务员医疗补助（类210款11项03），2018年预算数为423.42万元，比2017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年增加73.50万元，增长21%。主要是公务员医疗补助支出。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11.节能环保支出-能源节约利用（类211款10项01），2018年预算数为20万元，比2017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年增加0万元，增长0%。主要是用于节能环保方面的支出。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12.城乡社区支出-行政运行（类212款01项01），2018年预算数为2383.05万元，比2017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年增加297.86万元，增长14.3%。主要是用于城乡</w:t>
      </w:r>
      <w:r w:rsidRPr="00FD5598">
        <w:rPr>
          <w:rFonts w:ascii="仿宋" w:eastAsia="仿宋" w:hAnsi="仿宋" w:cs="Times New Roman" w:hint="eastAsia"/>
          <w:color w:val="313234"/>
          <w:sz w:val="32"/>
          <w:szCs w:val="32"/>
        </w:rPr>
        <w:lastRenderedPageBreak/>
        <w:t>社区事务行政运行方面的支出，包括省住房和城乡建设厅在职人员工资、公用经费等基本支出。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13.城乡社区支出-一般行政管理事务（类212款01项02），2018年预算数为349万元，比2017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年增加19万元，增长5.8%。主要指反映政府提供城乡社区事务管理方面的项目支出。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14.城乡社区支出-机关服务（类212款01项03），2018年预算数为154.78万元，比2017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年增加12.37万元，增长8.7%。主要是城乡社区事务管理后勤服务方面基本及项目支出。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15.城乡社区支出-工程建设标准规范编制与监管（类212款01项05），2018年预算数为20万元，比2017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年增加5万元，增长33%。主要是工程建设地方标准及工法编制支出。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16.城乡社区支出-工程建设管理（类212款01项06），2018年预算数为20万元，比2017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年减少30万元，下降60%。主要是在工程建设领域突出问题专项治理等方面的项目支出。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17.城乡社区支出-住宅建设与房地产市场监管（类212款01项09），2018年预算数为30万元，比2017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年增加20万元，增长200%。主要是住宅建设与房地产市场监管方面的项目支出。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18.城乡社区支出-执业资格注册、资质审查（类212款01项10），2018年预算数为243.20万元，比2017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年增加30.78万元，增长14.5%。主要是执业资格注册中心基本支出及建设行业执业资格注册、资质审查等项目支出。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19.城乡社区支出-其他城乡社区管理事务支出（类212款01项99）2018年预算数为165.39万元，比2017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年增加70.09万元，增长73.5%。主要省代建项目办公室和省保障性住房管理中心基本支出及城乡社区管理事务支出。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20.城乡社区规划与管理-城乡社区规划与管理（类212款02项01），2018年预算数为25万元，比2017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年增加2万元，增长9%。主要是城乡社区规划与管理等项目支出。</w:t>
      </w:r>
    </w:p>
    <w:p w:rsidR="00FD5598" w:rsidRPr="00FD5598" w:rsidRDefault="00FD5598" w:rsidP="00FD5598">
      <w:pPr>
        <w:shd w:val="clear" w:color="auto" w:fill="FFFFFF"/>
        <w:adjustRightInd/>
        <w:snapToGrid/>
        <w:spacing w:after="0" w:line="600" w:lineRule="atLeast"/>
        <w:ind w:firstLine="720"/>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21.住房保障支出-住房公积金（类221款02项01），2018年预算数为569.30万元。比2017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年增加109.88万元，增长23.90%。主要用于住房方面的支出，包括省住房和城乡建设厅按照国家政策规定为职工发放的住房公积金等支出。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22.住房保障支出-住房公积金管理（类221款03项02），2018年预算数为823.27万元，比2017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年增加823.27万元，增长100%。主要是新增省住房公积金管理中心基本支出及公积金管理经费。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lastRenderedPageBreak/>
        <w:t>三、关于青海省住房和城乡建设厅2018年一般公共预算基本支出情况说明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省住房城乡建设厅2018年一般公共预算基本支出8549.88万元，其中：</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313234"/>
          <w:sz w:val="32"/>
          <w:szCs w:val="32"/>
        </w:rPr>
        <w:t>人员经费</w:t>
      </w:r>
      <w:r w:rsidRPr="00FD5598">
        <w:rPr>
          <w:rFonts w:ascii="仿宋" w:eastAsia="仿宋" w:hAnsi="仿宋" w:cs="Times New Roman" w:hint="eastAsia"/>
          <w:color w:val="313234"/>
          <w:sz w:val="32"/>
          <w:szCs w:val="32"/>
        </w:rPr>
        <w:t>8018.96万元，主要包括：基本工资1763.26万元、津贴补贴2225.24万元、奖金139.51万元、绩效工资725.86万元、机关事业单位基本养老保险缴费790.58万元、职业年金缴费184.59万元、职工基本医疗保险缴费471.62万元、公务员医疗补助282.99万元、其他社会保障缴费22.55万元、住房公积金569.30万元、其他工资福利支出27.29万元、离休费112.41万元、退休费377.07万元、退职费2.78万元、抚恤金146.38万元、生活补助13.10万元、医疗费164.43万元。</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313234"/>
          <w:sz w:val="32"/>
          <w:szCs w:val="32"/>
        </w:rPr>
        <w:t>公用经费</w:t>
      </w:r>
      <w:r w:rsidRPr="00FD5598">
        <w:rPr>
          <w:rFonts w:ascii="仿宋" w:eastAsia="仿宋" w:hAnsi="仿宋" w:cs="Times New Roman" w:hint="eastAsia"/>
          <w:color w:val="313234"/>
          <w:sz w:val="32"/>
          <w:szCs w:val="32"/>
        </w:rPr>
        <w:t>530.92万元，主要包括：办公费11.45万元、印刷费2.10万元、水费12.34万元、电费28.80万元、邮电费45.26万元、取暖费20.86万元、差旅费75.08万元、因公出国（境）费14.96万元、会议费12.00万元、培训费7.32万元、公务接待费20.38万元、工会经费63.57万元、福利费1.51万元、公务用车运行维护费36.40万元、其他交通费用166.77万元、其他商品和服务支出12.12万元。</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四、关于青海省住房和城乡建设厅2018年“三公”经费预算情况说明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省住房城乡建设厅2018年“三公”经费预算数为71.74万元，比2017年减少13.30万元，其中：因公出国（境）费14.96万元，增加1.76万元；公务用车购置及运行费36.40万元，减少16.92万元；公务接待费20.38万元，增加1.86万元。2018</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年“三公”经费预算比2017年减少，主要是</w:t>
      </w:r>
      <w:r w:rsidRPr="00FD5598">
        <w:rPr>
          <w:rFonts w:ascii="仿宋" w:eastAsia="仿宋" w:hAnsi="仿宋" w:cs="Times New Roman" w:hint="eastAsia"/>
          <w:color w:val="000000"/>
          <w:sz w:val="32"/>
          <w:szCs w:val="32"/>
        </w:rPr>
        <w:t>2018年我厅按照“只减不增”的原则编制“三公”经费和会议费、培训费预算。</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具体情况如下：</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一、因公出国（境）经费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安排出国（境）支出预算14.96万元，主要是根据省政府、住房城乡建设部等部门的相关安排，拟安排人员出国（境）参加城乡规划、村镇建设、城市管理、公共危机管理、法制建设等相关的内容的业务培训学习等。</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二、公务接待费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安排公务接待费预算20.38万元。主要用于开展全国性城镇保障性住房建设、农村危房改造、建设工程质量安全等督查检查及验收，开展全省范围内的城乡规划、城乡保障性住房建设、村镇建设、建设工程质量安全、建筑节能等方面的专项检查、联合督查及验收和各省、市有关部门到我省交</w:t>
      </w:r>
      <w:r w:rsidRPr="00FD5598">
        <w:rPr>
          <w:rFonts w:ascii="仿宋" w:eastAsia="仿宋" w:hAnsi="仿宋" w:cs="Times New Roman" w:hint="eastAsia"/>
          <w:color w:val="313234"/>
          <w:sz w:val="32"/>
          <w:szCs w:val="32"/>
        </w:rPr>
        <w:lastRenderedPageBreak/>
        <w:t>流合作、检查指导活动以及各种专题研讨、青洽会等的公务接待和招商引资工作中发生的交通费、住宿费、用餐费、会议场馆租赁费。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三、公务用车购置及运行维护费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2018年安排公务用车运行维护费36.40万元，用于公务用车日常运行及维护。</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五、关于青海省住房和城乡建设厅2018年政府性基金预算支出情况的说明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我厅2018年无政府性基金预算支出。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六、关于青海省住房和城乡建设厅2018年部门收支预算情况的总体说明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按照综合预算的原则，省住房城乡建设厅所有收入和支出均纳入部门预算管理。收入包括：一般公共预算拨款收入、政府性基金预算拨款收入、事业收入、事业单位经营收入、其他收入、用事业基金弥补收支差额、上年结余等；支出包括：教育支出、社会保障和就业支出、医疗卫生与计划生育支出、节能环保支出、城乡社区支出、住房保障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省住房城乡建设厅2018年收支总预算12978.11万元。</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七、关于青海省住房和城乡建设厅2018年部门收入预算情况说明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省住房城乡建设厅2018年收入预算12978.11万元，其中：一般公共预算拨款收入9898.40万元，占76.30%；政府性基金预算拨款收入0万元，占0%；事业收入2329.71万元，占17.90%；事业单位经营收入750万元，占5.80%；其他收入0万元，占0%；用事业基金弥补收支差额0万元，占0%。</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八、关于青海省住房和城乡建设厅2018年部门支出预算情况说明</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省住房城乡建设厅2018年支出预算12978.11万元，其中：基本支出8780.69万元，占67.70%；项目支出3847.42万元，占29.60%；事业单位经营支出350万元，占2.70%。</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九、关于青海省住房和城乡建设厅项目支出预算情况的说明</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2018年项目支出预算3847.42万元，其中：一般公共预算拨款支出1348.52万元、事业收入支出2098.90万元、经营收入支出400万元，具体如下：</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1.教育支出-高等职业教育（类205款03项05），2018年预算数为2570.90万元（其中：一般公共预算拨款收入72万元、事业收入2098.90万元、经营支出400万元），比2017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年增加877.81万元，增长52%。主要是青海建筑职业技术学院教学运行经费、建筑节能改造、改扩建项目贷款本金等方面的项目支出。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2.节能环保支出-能源节约利用（类211款10项01），2018年预算数为20万元，与2017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年相同。主要是厅机关在节能环保方面的支出。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3.城乡社区支出-一般行政管理事务（类212款01项02），2018年预算数为349万元，比2017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年增加19万元，增长6%。主要是提供城乡社区行政管理事务方面的支出。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4.城乡社区支出-机关服务（类212款01项03），2018年预算数为10万元，与2017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年相同。主要是城乡社区事务管理后勤服务方面支出。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5.城乡社区支出-工程建设标准规范编制与监管（类212款01项05），2018年预算数为20万元，比2017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年增加5万元，增长33%。主要是工程建设地方标准及工法编制支出。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6.城乡社区支出-工程建设管理（类212款01项06），2018年预算数为20万元，比2017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年减少30万元，下降60%。主要是在工程建设领域突出问题专项治理等方面的项目支出。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7.城乡社区支出-住宅建设与房地产市场监管（类212款01项09），2018年预算数为30万元，比2017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年增加20万元，增长200%。主要是住宅建设与房地产市场监管方面的项目支出。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lastRenderedPageBreak/>
        <w:t>8.城乡社区支出-执业资格注册、资质审查（类212款01项10），2018年预算数为162万元，比2017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年增加8万元，增长5%。主要是建设行业执业资格注册、资质审查等项目支出。</w:t>
      </w:r>
    </w:p>
    <w:p w:rsidR="00FD5598" w:rsidRPr="00FD5598" w:rsidRDefault="00FD5598" w:rsidP="00FD5598">
      <w:pPr>
        <w:adjustRightInd/>
        <w:snapToGrid/>
        <w:spacing w:after="0" w:line="480" w:lineRule="auto"/>
        <w:ind w:firstLine="645"/>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9.城乡社区规划与管理-城乡社区规划与管理（类212款02项01），2018年预算数为25万元，比2017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年增加2万元，增长9%。主要是城乡社区规划与管理等项目支出。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10.住房保障支出-住房公积金管理（类221款03项02），2018年预算数为640.52万元，比2017</w:t>
      </w:r>
      <w:r w:rsidRPr="00FD5598">
        <w:rPr>
          <w:rFonts w:ascii="宋体" w:eastAsia="宋体" w:hAnsi="宋体" w:cs="宋体" w:hint="eastAsia"/>
          <w:color w:val="313234"/>
          <w:sz w:val="32"/>
          <w:szCs w:val="32"/>
        </w:rPr>
        <w:t> </w:t>
      </w:r>
      <w:r w:rsidRPr="00FD5598">
        <w:rPr>
          <w:rFonts w:ascii="仿宋" w:eastAsia="仿宋" w:hAnsi="仿宋" w:cs="Times New Roman" w:hint="eastAsia"/>
          <w:color w:val="313234"/>
          <w:sz w:val="32"/>
          <w:szCs w:val="32"/>
        </w:rPr>
        <w:t>年增加640.52万元，增长100%。主要是新增省住房公积金管理中心，增加公积金管理经费。</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十、其他重要事项的情况说明</w:t>
      </w:r>
    </w:p>
    <w:p w:rsidR="00FD5598" w:rsidRPr="00FD5598" w:rsidRDefault="00FD5598" w:rsidP="00FD5598">
      <w:pPr>
        <w:adjustRightInd/>
        <w:snapToGrid/>
        <w:spacing w:after="0" w:line="560" w:lineRule="atLeast"/>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（一）机关运行经费安排情况。</w:t>
      </w:r>
    </w:p>
    <w:p w:rsidR="00FD5598" w:rsidRPr="00FD5598" w:rsidRDefault="00FD5598" w:rsidP="00FD5598">
      <w:pPr>
        <w:adjustRightInd/>
        <w:snapToGrid/>
        <w:spacing w:after="0" w:line="560" w:lineRule="atLeast"/>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2018年省住房城乡建设厅机关运行经费财政拨款预算530.92万元，比2017年预算增加188.99万元，增长55%。主要是我厅系统比上年增加2户预算单位所致。具体为：办公费11.45万元、印刷费2.10万元、水费12.34万元、电费28.80万元、邮电费45.26万元、取暖费20.86万元、差旅费75.08万元、因公出国（境）费14.96万元、会议费12.00万元、培训费7.32万元、公务接待费20.38万元、工会经费63.57万元、福利费1.51万元、公务用车运行维护费36.40万元、其他交通费用166.77万元、其他商品和服务支出12.12万元。</w:t>
      </w:r>
    </w:p>
    <w:p w:rsidR="00FD5598" w:rsidRPr="00FD5598" w:rsidRDefault="00FD5598" w:rsidP="00FD5598">
      <w:pPr>
        <w:adjustRightInd/>
        <w:snapToGrid/>
        <w:spacing w:after="0" w:line="560" w:lineRule="atLeast"/>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（二）政府采购安排情况。</w:t>
      </w:r>
    </w:p>
    <w:p w:rsidR="00FD5598" w:rsidRPr="00FD5598" w:rsidRDefault="00FD5598" w:rsidP="00FD5598">
      <w:pPr>
        <w:adjustRightInd/>
        <w:snapToGrid/>
        <w:spacing w:after="0" w:line="600" w:lineRule="atLeast"/>
        <w:ind w:firstLine="616"/>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pacing w:val="-6"/>
          <w:sz w:val="32"/>
          <w:szCs w:val="32"/>
        </w:rPr>
        <w:lastRenderedPageBreak/>
        <w:t>2018年省住房城乡建设厅各单位政府采购预算总额488.91万元，其中：政府采购货物预算225.29万元、政府采购工程预算0万元、政府采购服务预算263.62万元。</w:t>
      </w:r>
    </w:p>
    <w:p w:rsidR="00FD5598" w:rsidRPr="00FD5598" w:rsidRDefault="00FD5598" w:rsidP="00FD5598">
      <w:pPr>
        <w:adjustRightInd/>
        <w:snapToGrid/>
        <w:spacing w:after="0" w:line="560" w:lineRule="atLeast"/>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（三）国有资产占有使用情况。</w:t>
      </w:r>
    </w:p>
    <w:p w:rsidR="00FD5598" w:rsidRPr="00FD5598" w:rsidRDefault="00FD5598" w:rsidP="00FD5598">
      <w:pPr>
        <w:adjustRightInd/>
        <w:snapToGrid/>
        <w:spacing w:after="0" w:line="600" w:lineRule="atLeast"/>
        <w:ind w:firstLine="616"/>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pacing w:val="-6"/>
          <w:sz w:val="32"/>
          <w:szCs w:val="32"/>
        </w:rPr>
        <w:t>截至2017年7月底，青海省住房和城乡建设厅所属各预算单位共有车辆22辆，其中，省级领导干部用车0辆、厅级领导干部用车0辆、一般公务用车16辆、一般执法执勤用车0辆、特种专业技术用车0辆、其他用车6辆。单价50万元以上通用设备0台（套），单价100万元以上专用设备0台（套）。</w:t>
      </w:r>
    </w:p>
    <w:p w:rsidR="00FD5598" w:rsidRPr="00FD5598" w:rsidRDefault="00FD5598" w:rsidP="00FD5598">
      <w:pPr>
        <w:adjustRightInd/>
        <w:snapToGrid/>
        <w:spacing w:after="0" w:line="560" w:lineRule="atLeast"/>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（四）绩效目标设置情况。</w:t>
      </w:r>
    </w:p>
    <w:p w:rsidR="00FD5598" w:rsidRPr="00FD5598" w:rsidRDefault="00FD5598" w:rsidP="00FD5598">
      <w:pPr>
        <w:adjustRightInd/>
        <w:snapToGrid/>
        <w:spacing w:after="0" w:line="600" w:lineRule="atLeast"/>
        <w:ind w:firstLine="616"/>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pacing w:val="-6"/>
          <w:sz w:val="32"/>
          <w:szCs w:val="32"/>
        </w:rPr>
        <w:t>2018年青海省住房和城乡建设厅部门专项均实行绩效目标管理，包括12户预算单位的46个项目，涉及一般公共预算当年拨款1348.52万元、事业收入-教育收费2098.90万元、经营收入400万元。</w:t>
      </w:r>
    </w:p>
    <w:p w:rsidR="00FD5598" w:rsidRPr="00FD5598" w:rsidRDefault="00FD5598" w:rsidP="00FD5598">
      <w:pPr>
        <w:adjustRightInd/>
        <w:snapToGrid/>
        <w:spacing w:after="0" w:line="480" w:lineRule="auto"/>
        <w:ind w:firstLine="480"/>
        <w:jc w:val="both"/>
        <w:rPr>
          <w:rFonts w:ascii="Times New Roman" w:eastAsia="宋体" w:hAnsi="Times New Roman" w:cs="Times New Roman"/>
          <w:color w:val="313234"/>
          <w:sz w:val="21"/>
          <w:szCs w:val="21"/>
        </w:rPr>
      </w:pPr>
      <w:r w:rsidRPr="00FD5598">
        <w:rPr>
          <w:rFonts w:ascii="宋体" w:eastAsia="宋体" w:hAnsi="宋体" w:cs="宋体" w:hint="eastAsia"/>
          <w:b/>
          <w:bCs/>
          <w:color w:val="313234"/>
          <w:sz w:val="32"/>
          <w:szCs w:val="32"/>
        </w:rPr>
        <w:t> </w:t>
      </w:r>
    </w:p>
    <w:p w:rsidR="00FD5598" w:rsidRPr="00FD5598" w:rsidRDefault="00FD5598" w:rsidP="00FD5598">
      <w:pPr>
        <w:adjustRightInd/>
        <w:snapToGrid/>
        <w:spacing w:after="0" w:line="560" w:lineRule="atLeast"/>
        <w:ind w:firstLine="723"/>
        <w:jc w:val="center"/>
        <w:rPr>
          <w:rFonts w:ascii="Times New Roman" w:eastAsia="宋体" w:hAnsi="Times New Roman" w:cs="Times New Roman"/>
          <w:color w:val="313234"/>
          <w:sz w:val="21"/>
          <w:szCs w:val="21"/>
        </w:rPr>
      </w:pPr>
      <w:r w:rsidRPr="00FD5598">
        <w:rPr>
          <w:rFonts w:ascii="小标宋" w:eastAsia="小标宋" w:hAnsi="Times New Roman" w:cs="Times New Roman" w:hint="eastAsia"/>
          <w:b/>
          <w:bCs/>
          <w:color w:val="000000"/>
          <w:sz w:val="36"/>
          <w:szCs w:val="36"/>
        </w:rPr>
        <w:t>第四部分　名词解释</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一、收入类</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（按单位实际收入情况及2018年政府收支分类科目书列举解释，以下仅供参考）</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（一）财政拨款收入：</w:t>
      </w:r>
      <w:r w:rsidRPr="00FD5598">
        <w:rPr>
          <w:rFonts w:ascii="仿宋" w:eastAsia="仿宋" w:hAnsi="仿宋" w:cs="Times New Roman" w:hint="eastAsia"/>
          <w:color w:val="313234"/>
          <w:sz w:val="32"/>
          <w:szCs w:val="32"/>
        </w:rPr>
        <w:t>指本级财政当年拨付的资金，包括一般公共预算拨款收入和政府性基金预算拨款收入。其中：一般公共预算拨款收入包括财政部门经费拨款、专项收入、行政事业性收费收入、罚没收入、国有资源（资产）有偿使用收入和其他收入。</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lastRenderedPageBreak/>
        <w:t>（二）上级补助收入：</w:t>
      </w:r>
      <w:r w:rsidRPr="00FD5598">
        <w:rPr>
          <w:rFonts w:ascii="仿宋" w:eastAsia="仿宋" w:hAnsi="仿宋" w:cs="Times New Roman" w:hint="eastAsia"/>
          <w:color w:val="313234"/>
          <w:sz w:val="32"/>
          <w:szCs w:val="32"/>
        </w:rPr>
        <w:t>指事业单位从主管部门和上级单位取得的非财政补助收入。</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（三）事业收入：</w:t>
      </w:r>
      <w:r w:rsidRPr="00FD5598">
        <w:rPr>
          <w:rFonts w:ascii="仿宋" w:eastAsia="仿宋" w:hAnsi="仿宋" w:cs="Times New Roman" w:hint="eastAsia"/>
          <w:color w:val="313234"/>
          <w:sz w:val="32"/>
          <w:szCs w:val="32"/>
        </w:rPr>
        <w:t>指事业单位开展专业业务活动及其辅助活动取得的收入。如教育收费收入、</w:t>
      </w:r>
      <w:r w:rsidRPr="00FD5598">
        <w:rPr>
          <w:rFonts w:ascii="仿宋" w:eastAsia="仿宋" w:hAnsi="仿宋" w:cs="Times New Roman" w:hint="eastAsia"/>
          <w:color w:val="FF0000"/>
          <w:sz w:val="32"/>
          <w:szCs w:val="32"/>
        </w:rPr>
        <w:t>公积金**收入</w:t>
      </w:r>
      <w:r w:rsidRPr="00FD5598">
        <w:rPr>
          <w:rFonts w:ascii="Times New Roman" w:eastAsia="宋体" w:hAnsi="Times New Roman" w:cs="Times New Roman"/>
          <w:color w:val="FF0000"/>
          <w:sz w:val="32"/>
          <w:szCs w:val="32"/>
        </w:rPr>
        <w:t>……</w:t>
      </w:r>
      <w:r w:rsidRPr="00FD5598">
        <w:rPr>
          <w:rFonts w:ascii="仿宋" w:eastAsia="仿宋" w:hAnsi="仿宋" w:cs="Times New Roman" w:hint="eastAsia"/>
          <w:color w:val="FF0000"/>
          <w:sz w:val="32"/>
          <w:szCs w:val="32"/>
        </w:rPr>
        <w:t>等。</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（四）事业单位经营收入：</w:t>
      </w:r>
      <w:r w:rsidRPr="00FD5598">
        <w:rPr>
          <w:rFonts w:ascii="仿宋" w:eastAsia="仿宋" w:hAnsi="仿宋" w:cs="Times New Roman" w:hint="eastAsia"/>
          <w:color w:val="313234"/>
          <w:sz w:val="32"/>
          <w:szCs w:val="32"/>
        </w:rPr>
        <w:t>指事业单位在专业业务活动及其辅助活动之外开展非独立核算经营活动取得的收入。如教育培训收入等。</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（五）附属单位缴款：</w:t>
      </w:r>
      <w:r w:rsidRPr="00FD5598">
        <w:rPr>
          <w:rFonts w:ascii="仿宋" w:eastAsia="仿宋" w:hAnsi="仿宋" w:cs="Times New Roman" w:hint="eastAsia"/>
          <w:color w:val="313234"/>
          <w:sz w:val="32"/>
          <w:szCs w:val="32"/>
        </w:rPr>
        <w:t>指事业单位附属的独立核算单位按规定标准或比例缴纳的各项收入。</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（六）其他收入：</w:t>
      </w:r>
      <w:r w:rsidRPr="00FD5598">
        <w:rPr>
          <w:rFonts w:ascii="仿宋" w:eastAsia="仿宋" w:hAnsi="仿宋" w:cs="Times New Roman" w:hint="eastAsia"/>
          <w:color w:val="313234"/>
          <w:sz w:val="32"/>
          <w:szCs w:val="32"/>
        </w:rPr>
        <w:t>指除上述</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财政拨款收入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事业收入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经营收入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等以外的收入，如投资收益、利息收入等。</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（七）用事业基金弥补收支差额：</w:t>
      </w:r>
      <w:r w:rsidRPr="00FD5598">
        <w:rPr>
          <w:rFonts w:ascii="仿宋" w:eastAsia="仿宋" w:hAnsi="仿宋" w:cs="Times New Roman" w:hint="eastAsia"/>
          <w:color w:val="313234"/>
          <w:sz w:val="32"/>
          <w:szCs w:val="32"/>
        </w:rPr>
        <w:t>指事业单位在当年的</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财政拨款收入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财政拨款结转和结余资金</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事业收入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经营收入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和</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其他收入</w:t>
      </w:r>
      <w:r w:rsidRPr="00FD5598">
        <w:rPr>
          <w:rFonts w:ascii="Times New Roman" w:eastAsia="宋体" w:hAnsi="Times New Roman" w:cs="Times New Roman"/>
          <w:color w:val="313234"/>
          <w:sz w:val="32"/>
          <w:szCs w:val="32"/>
        </w:rPr>
        <w:t>”</w:t>
      </w:r>
      <w:r w:rsidRPr="00FD5598">
        <w:rPr>
          <w:rFonts w:ascii="仿宋" w:eastAsia="仿宋" w:hAnsi="仿宋" w:cs="Times New Roman" w:hint="eastAsia"/>
          <w:color w:val="313234"/>
          <w:sz w:val="32"/>
          <w:szCs w:val="32"/>
        </w:rPr>
        <w:t>不足以安排当年支出的情况下，使用以前年度积累的事业基金（即事业单位当年收支相抵后，按国家规定提取、用于弥补以后年度收支差额的基金）弥补当年收支缺口的资金。</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lastRenderedPageBreak/>
        <w:t>（八）上年结转和结余：</w:t>
      </w:r>
      <w:r w:rsidRPr="00FD5598">
        <w:rPr>
          <w:rFonts w:ascii="仿宋" w:eastAsia="仿宋" w:hAnsi="仿宋" w:cs="Times New Roman" w:hint="eastAsia"/>
          <w:color w:val="313234"/>
          <w:sz w:val="32"/>
          <w:szCs w:val="32"/>
        </w:rPr>
        <w:t>指以前年度支出预算因客观条件变化未执行完毕、结转到本年度按有关规定继续使用的资金，既包括财政拨款结转和结余，也包括事业收入、经营收入、其他收入的结转和结余。</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二、支出类</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仿宋" w:eastAsia="仿宋" w:hAnsi="仿宋" w:cs="Times New Roman" w:hint="eastAsia"/>
          <w:color w:val="313234"/>
          <w:sz w:val="32"/>
          <w:szCs w:val="32"/>
        </w:rPr>
        <w:t>（按单位实际预算安排情况及2018年政府收支分类科目书列举解释，以下仅供参考）</w:t>
      </w:r>
    </w:p>
    <w:p w:rsidR="00FD5598" w:rsidRPr="00FD5598" w:rsidRDefault="00FD5598" w:rsidP="00FD5598">
      <w:pPr>
        <w:shd w:val="clear" w:color="auto" w:fill="FFFFFF"/>
        <w:adjustRightInd/>
        <w:snapToGrid/>
        <w:spacing w:after="0" w:line="600" w:lineRule="atLeast"/>
        <w:ind w:firstLine="696"/>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（一）</w:t>
      </w:r>
      <w:r w:rsidRPr="00FD5598">
        <w:rPr>
          <w:rFonts w:ascii="仿宋" w:eastAsia="仿宋" w:hAnsi="仿宋" w:cs="Times New Roman" w:hint="eastAsia"/>
          <w:b/>
          <w:bCs/>
          <w:color w:val="313234"/>
          <w:sz w:val="32"/>
          <w:szCs w:val="32"/>
        </w:rPr>
        <w:t>教育：</w:t>
      </w:r>
      <w:r w:rsidRPr="00FD5598">
        <w:rPr>
          <w:rFonts w:ascii="仿宋" w:eastAsia="仿宋" w:hAnsi="仿宋" w:cs="Times New Roman" w:hint="eastAsia"/>
          <w:color w:val="313234"/>
          <w:sz w:val="32"/>
          <w:szCs w:val="32"/>
        </w:rPr>
        <w:t>指反映政府在教育事务方面的支出，包括青海建筑职业技术学院在职人员工资、公用经费等基本支出和建筑节能改造款、改扩建项目贷款本金等方面的项目支出。</w:t>
      </w:r>
    </w:p>
    <w:p w:rsidR="00FD5598" w:rsidRPr="00FD5598" w:rsidRDefault="00FD5598" w:rsidP="00FD5598">
      <w:pPr>
        <w:shd w:val="clear" w:color="auto" w:fill="FFFFFF"/>
        <w:adjustRightInd/>
        <w:snapToGrid/>
        <w:spacing w:after="0" w:line="600" w:lineRule="atLeast"/>
        <w:ind w:firstLine="696"/>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（二）</w:t>
      </w:r>
      <w:r w:rsidRPr="00FD5598">
        <w:rPr>
          <w:rFonts w:ascii="仿宋" w:eastAsia="仿宋" w:hAnsi="仿宋" w:cs="Times New Roman" w:hint="eastAsia"/>
          <w:b/>
          <w:bCs/>
          <w:color w:val="313234"/>
          <w:sz w:val="32"/>
          <w:szCs w:val="32"/>
        </w:rPr>
        <w:t>社会保障和就业：</w:t>
      </w:r>
      <w:r w:rsidRPr="00FD5598">
        <w:rPr>
          <w:rFonts w:ascii="仿宋" w:eastAsia="仿宋" w:hAnsi="仿宋" w:cs="Times New Roman" w:hint="eastAsia"/>
          <w:color w:val="313234"/>
          <w:sz w:val="32"/>
          <w:szCs w:val="32"/>
        </w:rPr>
        <w:t>指反映政府在社会保障与就业方面的支出，包括省住房和城乡建设厅离退休人员工资及管理等方面的支出。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（三）</w:t>
      </w:r>
      <w:r w:rsidRPr="00FD5598">
        <w:rPr>
          <w:rFonts w:ascii="仿宋" w:eastAsia="仿宋" w:hAnsi="仿宋" w:cs="Times New Roman" w:hint="eastAsia"/>
          <w:b/>
          <w:bCs/>
          <w:color w:val="313234"/>
          <w:sz w:val="32"/>
          <w:szCs w:val="32"/>
        </w:rPr>
        <w:t>医疗卫生与计划生育支出：</w:t>
      </w:r>
      <w:r w:rsidRPr="00FD5598">
        <w:rPr>
          <w:rFonts w:ascii="仿宋" w:eastAsia="仿宋" w:hAnsi="仿宋" w:cs="Times New Roman" w:hint="eastAsia"/>
          <w:color w:val="313234"/>
          <w:sz w:val="32"/>
          <w:szCs w:val="32"/>
        </w:rPr>
        <w:t>是指用于医疗卫生与计划生育方面的支出，包括省住房和城乡建设厅人员医疗卫生方面支出。</w:t>
      </w:r>
    </w:p>
    <w:p w:rsidR="00FD5598" w:rsidRPr="00FD5598" w:rsidRDefault="00FD5598" w:rsidP="00FD5598">
      <w:pPr>
        <w:shd w:val="clear" w:color="auto" w:fill="FFFFFF"/>
        <w:adjustRightInd/>
        <w:snapToGrid/>
        <w:spacing w:after="0" w:line="600" w:lineRule="atLeast"/>
        <w:ind w:firstLine="696"/>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（四）</w:t>
      </w:r>
      <w:r w:rsidRPr="00FD5598">
        <w:rPr>
          <w:rFonts w:ascii="仿宋" w:eastAsia="仿宋" w:hAnsi="仿宋" w:cs="Times New Roman" w:hint="eastAsia"/>
          <w:b/>
          <w:bCs/>
          <w:color w:val="313234"/>
          <w:sz w:val="32"/>
          <w:szCs w:val="32"/>
        </w:rPr>
        <w:t>节能环保：</w:t>
      </w:r>
      <w:r w:rsidRPr="00FD5598">
        <w:rPr>
          <w:rFonts w:ascii="仿宋" w:eastAsia="仿宋" w:hAnsi="仿宋" w:cs="Times New Roman" w:hint="eastAsia"/>
          <w:color w:val="313234"/>
          <w:sz w:val="32"/>
          <w:szCs w:val="32"/>
        </w:rPr>
        <w:t>指反映政府在节能环保方面的支出，包括。</w:t>
      </w:r>
    </w:p>
    <w:p w:rsidR="00FD5598" w:rsidRPr="00FD5598" w:rsidRDefault="00FD5598" w:rsidP="00FD5598">
      <w:pPr>
        <w:shd w:val="clear" w:color="auto" w:fill="FFFFFF"/>
        <w:adjustRightInd/>
        <w:snapToGrid/>
        <w:spacing w:after="0" w:line="600" w:lineRule="atLeast"/>
        <w:ind w:firstLine="696"/>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（五）</w:t>
      </w:r>
      <w:r w:rsidRPr="00FD5598">
        <w:rPr>
          <w:rFonts w:ascii="仿宋" w:eastAsia="仿宋" w:hAnsi="仿宋" w:cs="Times New Roman" w:hint="eastAsia"/>
          <w:b/>
          <w:bCs/>
          <w:color w:val="313234"/>
          <w:sz w:val="32"/>
          <w:szCs w:val="32"/>
        </w:rPr>
        <w:t>城乡社区事务：</w:t>
      </w:r>
      <w:r w:rsidRPr="00FD5598">
        <w:rPr>
          <w:rFonts w:ascii="仿宋" w:eastAsia="仿宋" w:hAnsi="仿宋" w:cs="Times New Roman" w:hint="eastAsia"/>
          <w:color w:val="313234"/>
          <w:sz w:val="32"/>
          <w:szCs w:val="32"/>
        </w:rPr>
        <w:t>指反映政府提供城乡社区事务方面的支出，包括省住房和城乡建设厅在职人员工资、公用经费等基本支出和工程建设地方标准及工法编制、全省城镇保障性住房建设工作经费、抗震防灾规划、工程建设领域突出问题专项治理等方面的项目支出。</w:t>
      </w:r>
    </w:p>
    <w:p w:rsidR="00FD5598" w:rsidRPr="00FD5598" w:rsidRDefault="00FD5598" w:rsidP="00FD5598">
      <w:pPr>
        <w:shd w:val="clear" w:color="auto" w:fill="FFFFFF"/>
        <w:adjustRightInd/>
        <w:snapToGrid/>
        <w:spacing w:after="0" w:line="600" w:lineRule="atLeast"/>
        <w:ind w:firstLine="696"/>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lastRenderedPageBreak/>
        <w:t>（六）</w:t>
      </w:r>
      <w:r w:rsidRPr="00FD5598">
        <w:rPr>
          <w:rFonts w:ascii="仿宋" w:eastAsia="仿宋" w:hAnsi="仿宋" w:cs="Times New Roman" w:hint="eastAsia"/>
          <w:b/>
          <w:bCs/>
          <w:color w:val="313234"/>
          <w:sz w:val="32"/>
          <w:szCs w:val="32"/>
        </w:rPr>
        <w:t>住房保障支出：</w:t>
      </w:r>
      <w:r w:rsidRPr="00FD5598">
        <w:rPr>
          <w:rFonts w:ascii="仿宋" w:eastAsia="仿宋" w:hAnsi="仿宋" w:cs="Times New Roman" w:hint="eastAsia"/>
          <w:color w:val="313234"/>
          <w:sz w:val="32"/>
          <w:szCs w:val="32"/>
        </w:rPr>
        <w:t>指集中反映政府用于住房方面的支出，包括省住房和城乡建设厅按照国家政策规定为职工发放的住房公积金、住房公积金管理等支出。</w:t>
      </w:r>
    </w:p>
    <w:p w:rsidR="00FD5598" w:rsidRPr="00FD5598" w:rsidRDefault="00FD5598" w:rsidP="00FD5598">
      <w:pPr>
        <w:adjustRightInd/>
        <w:snapToGrid/>
        <w:spacing w:after="0" w:line="480" w:lineRule="auto"/>
        <w:ind w:firstLine="640"/>
        <w:jc w:val="both"/>
        <w:rPr>
          <w:rFonts w:ascii="Times New Roman" w:eastAsia="宋体" w:hAnsi="Times New Roman" w:cs="Times New Roman"/>
          <w:color w:val="313234"/>
          <w:sz w:val="21"/>
          <w:szCs w:val="21"/>
        </w:rPr>
      </w:pPr>
      <w:r w:rsidRPr="00FD5598">
        <w:rPr>
          <w:rFonts w:ascii="黑体" w:eastAsia="黑体" w:hAnsi="黑体" w:cs="Times New Roman" w:hint="eastAsia"/>
          <w:color w:val="000000"/>
          <w:sz w:val="32"/>
          <w:szCs w:val="32"/>
        </w:rPr>
        <w:t>三、其他</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（一）基本支出：</w:t>
      </w:r>
      <w:r w:rsidRPr="00FD5598">
        <w:rPr>
          <w:rFonts w:ascii="仿宋" w:eastAsia="仿宋" w:hAnsi="仿宋" w:cs="Times New Roman" w:hint="eastAsia"/>
          <w:color w:val="313234"/>
          <w:sz w:val="32"/>
          <w:szCs w:val="32"/>
        </w:rPr>
        <w:t>指为保障机构正常运转、完成日常工作任务而发生的人员支出和公用支出。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（二）项目支出：</w:t>
      </w:r>
      <w:r w:rsidRPr="00FD5598">
        <w:rPr>
          <w:rFonts w:ascii="仿宋" w:eastAsia="仿宋" w:hAnsi="仿宋" w:cs="Times New Roman" w:hint="eastAsia"/>
          <w:color w:val="313234"/>
          <w:sz w:val="32"/>
          <w:szCs w:val="32"/>
        </w:rPr>
        <w:t>指在基本支出之外为完成特定行政任务和事业发展目标所发生的支出。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（三）上缴上级支出：</w:t>
      </w:r>
      <w:r w:rsidRPr="00FD5598">
        <w:rPr>
          <w:rFonts w:ascii="仿宋" w:eastAsia="仿宋" w:hAnsi="仿宋" w:cs="Times New Roman" w:hint="eastAsia"/>
          <w:color w:val="313234"/>
          <w:sz w:val="32"/>
          <w:szCs w:val="32"/>
        </w:rPr>
        <w:t>指附属单位上缴上级的支出。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（四）事业单位经营支出：</w:t>
      </w:r>
      <w:r w:rsidRPr="00FD5598">
        <w:rPr>
          <w:rFonts w:ascii="仿宋" w:eastAsia="仿宋" w:hAnsi="仿宋" w:cs="Times New Roman" w:hint="eastAsia"/>
          <w:color w:val="313234"/>
          <w:sz w:val="32"/>
          <w:szCs w:val="32"/>
        </w:rPr>
        <w:t>指事业单位在专业业务活动及其辅助活动之外开展非独立核算经营活动发生的支出。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（五）对附属单位补助支出：</w:t>
      </w:r>
      <w:r w:rsidRPr="00FD5598">
        <w:rPr>
          <w:rFonts w:ascii="仿宋" w:eastAsia="仿宋" w:hAnsi="仿宋" w:cs="Times New Roman" w:hint="eastAsia"/>
          <w:color w:val="313234"/>
          <w:sz w:val="32"/>
          <w:szCs w:val="32"/>
        </w:rPr>
        <w:t>指预算单位对所属单位补助发生的支出。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t>（六）“三公”经费财政拨款支出：</w:t>
      </w:r>
      <w:r w:rsidRPr="00FD5598">
        <w:rPr>
          <w:rFonts w:ascii="仿宋" w:eastAsia="仿宋" w:hAnsi="仿宋" w:cs="Times New Roman" w:hint="eastAsia"/>
          <w:color w:val="313234"/>
          <w:sz w:val="32"/>
          <w:szCs w:val="32"/>
        </w:rPr>
        <w:t>指财政资金安排的因公出国（境）费、公务用车购置及运行费和公务接待费支出。其中，因公出国（境）费是指单位工作人员因公务出国（境）的往返机票费、住宿费、伙食费、培训费等支出；公务用车购置及运行费是指单位购置公务用车支出及公务用车使用过程中发生的租用费、燃料费、过路过桥费、保险费等支出；公务接待费支出是指单位按规定开支的各类公务接待（含外宾接待）支出。</w:t>
      </w:r>
    </w:p>
    <w:p w:rsidR="00FD5598" w:rsidRPr="00FD5598" w:rsidRDefault="00FD5598" w:rsidP="00FD5598">
      <w:pPr>
        <w:adjustRightInd/>
        <w:snapToGrid/>
        <w:spacing w:after="0" w:line="480" w:lineRule="auto"/>
        <w:ind w:firstLine="618"/>
        <w:jc w:val="both"/>
        <w:rPr>
          <w:rFonts w:ascii="Times New Roman" w:eastAsia="宋体" w:hAnsi="Times New Roman" w:cs="Times New Roman"/>
          <w:color w:val="313234"/>
          <w:sz w:val="21"/>
          <w:szCs w:val="21"/>
        </w:rPr>
      </w:pPr>
      <w:r w:rsidRPr="00FD5598">
        <w:rPr>
          <w:rFonts w:ascii="仿宋" w:eastAsia="仿宋" w:hAnsi="仿宋" w:cs="Times New Roman" w:hint="eastAsia"/>
          <w:b/>
          <w:bCs/>
          <w:color w:val="313234"/>
          <w:spacing w:val="-6"/>
          <w:sz w:val="32"/>
          <w:szCs w:val="32"/>
        </w:rPr>
        <w:lastRenderedPageBreak/>
        <w:t>（七）机关运行经费：</w:t>
      </w:r>
      <w:r w:rsidRPr="00FD5598">
        <w:rPr>
          <w:rFonts w:ascii="仿宋" w:eastAsia="仿宋" w:hAnsi="仿宋" w:cs="Times New Roman" w:hint="eastAsia"/>
          <w:color w:val="31323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D5598" w:rsidRPr="00FD5598" w:rsidRDefault="00FD5598" w:rsidP="00FD5598">
      <w:pPr>
        <w:adjustRightInd/>
        <w:snapToGrid/>
        <w:spacing w:after="0" w:line="560" w:lineRule="atLeast"/>
        <w:ind w:firstLine="600"/>
        <w:jc w:val="both"/>
        <w:rPr>
          <w:rFonts w:ascii="Times New Roman" w:eastAsia="宋体" w:hAnsi="Times New Roman" w:cs="Times New Roman"/>
          <w:color w:val="313234"/>
          <w:sz w:val="21"/>
          <w:szCs w:val="21"/>
        </w:rPr>
      </w:pPr>
      <w:r w:rsidRPr="00FD5598">
        <w:rPr>
          <w:rFonts w:ascii="宋体" w:eastAsia="宋体" w:hAnsi="宋体" w:cs="宋体" w:hint="eastAsia"/>
          <w:i/>
          <w:iCs/>
          <w:color w:val="000000"/>
          <w:sz w:val="30"/>
          <w:szCs w:val="30"/>
        </w:rPr>
        <w:t> </w:t>
      </w:r>
    </w:p>
    <w:p w:rsidR="00593384" w:rsidRPr="00FD5598" w:rsidRDefault="00593384" w:rsidP="00FD5598">
      <w:pPr>
        <w:rPr>
          <w:szCs w:val="27"/>
        </w:rPr>
      </w:pPr>
    </w:p>
    <w:sectPr w:rsidR="00593384" w:rsidRPr="00FD5598" w:rsidSect="00FD5598">
      <w:pgSz w:w="11907" w:h="16840"/>
      <w:pgMar w:top="1440" w:right="708" w:bottom="144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小标宋">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720"/>
  <w:characterSpacingControl w:val="doNotCompress"/>
  <w:compat>
    <w:useFELayout/>
  </w:compat>
  <w:rsids>
    <w:rsidRoot w:val="00D31D50"/>
    <w:rsid w:val="00002A4F"/>
    <w:rsid w:val="00003E40"/>
    <w:rsid w:val="000069E9"/>
    <w:rsid w:val="00012228"/>
    <w:rsid w:val="000135B4"/>
    <w:rsid w:val="00014B17"/>
    <w:rsid w:val="000450B0"/>
    <w:rsid w:val="00055D82"/>
    <w:rsid w:val="000560D9"/>
    <w:rsid w:val="000632CE"/>
    <w:rsid w:val="000644E8"/>
    <w:rsid w:val="00064C34"/>
    <w:rsid w:val="0009464C"/>
    <w:rsid w:val="000960FA"/>
    <w:rsid w:val="0009693B"/>
    <w:rsid w:val="000B001C"/>
    <w:rsid w:val="000B0185"/>
    <w:rsid w:val="000B3CD1"/>
    <w:rsid w:val="000C6FD3"/>
    <w:rsid w:val="000E19D3"/>
    <w:rsid w:val="00112FF2"/>
    <w:rsid w:val="00123DB3"/>
    <w:rsid w:val="00131045"/>
    <w:rsid w:val="001668B3"/>
    <w:rsid w:val="0018152D"/>
    <w:rsid w:val="00195ED8"/>
    <w:rsid w:val="001B00FE"/>
    <w:rsid w:val="00224E08"/>
    <w:rsid w:val="00250E8C"/>
    <w:rsid w:val="00273EC0"/>
    <w:rsid w:val="00274224"/>
    <w:rsid w:val="00283A63"/>
    <w:rsid w:val="00287FE5"/>
    <w:rsid w:val="002975C2"/>
    <w:rsid w:val="002A35C8"/>
    <w:rsid w:val="002A3B1B"/>
    <w:rsid w:val="002C20CC"/>
    <w:rsid w:val="002E7044"/>
    <w:rsid w:val="00305A9C"/>
    <w:rsid w:val="0030781A"/>
    <w:rsid w:val="00323B43"/>
    <w:rsid w:val="00324CC7"/>
    <w:rsid w:val="003805E7"/>
    <w:rsid w:val="00394500"/>
    <w:rsid w:val="003D37D8"/>
    <w:rsid w:val="003E127D"/>
    <w:rsid w:val="00426133"/>
    <w:rsid w:val="004358AB"/>
    <w:rsid w:val="00457741"/>
    <w:rsid w:val="004A2998"/>
    <w:rsid w:val="004B7A26"/>
    <w:rsid w:val="004C6285"/>
    <w:rsid w:val="004C667E"/>
    <w:rsid w:val="004E6BFD"/>
    <w:rsid w:val="00502971"/>
    <w:rsid w:val="00536442"/>
    <w:rsid w:val="005449DA"/>
    <w:rsid w:val="00561011"/>
    <w:rsid w:val="00566F51"/>
    <w:rsid w:val="00574F5B"/>
    <w:rsid w:val="0058672F"/>
    <w:rsid w:val="00593384"/>
    <w:rsid w:val="005A3300"/>
    <w:rsid w:val="005B19AE"/>
    <w:rsid w:val="005B4DE9"/>
    <w:rsid w:val="005C11D0"/>
    <w:rsid w:val="005C171E"/>
    <w:rsid w:val="005D26F0"/>
    <w:rsid w:val="005E6C28"/>
    <w:rsid w:val="00607EAF"/>
    <w:rsid w:val="00622BBF"/>
    <w:rsid w:val="00667067"/>
    <w:rsid w:val="00681CD6"/>
    <w:rsid w:val="006B46BD"/>
    <w:rsid w:val="006C6565"/>
    <w:rsid w:val="006D2C05"/>
    <w:rsid w:val="00701018"/>
    <w:rsid w:val="00701A83"/>
    <w:rsid w:val="00721449"/>
    <w:rsid w:val="00764D06"/>
    <w:rsid w:val="00771D49"/>
    <w:rsid w:val="00774D1F"/>
    <w:rsid w:val="007D566C"/>
    <w:rsid w:val="007D60B6"/>
    <w:rsid w:val="007E6FAE"/>
    <w:rsid w:val="007F5DE9"/>
    <w:rsid w:val="007F7839"/>
    <w:rsid w:val="008076C3"/>
    <w:rsid w:val="00850005"/>
    <w:rsid w:val="00863081"/>
    <w:rsid w:val="00866D82"/>
    <w:rsid w:val="00893D40"/>
    <w:rsid w:val="008A0F36"/>
    <w:rsid w:val="008B19BC"/>
    <w:rsid w:val="008B543E"/>
    <w:rsid w:val="008B7726"/>
    <w:rsid w:val="008C41E3"/>
    <w:rsid w:val="008C56FE"/>
    <w:rsid w:val="009429EF"/>
    <w:rsid w:val="0095047F"/>
    <w:rsid w:val="00961111"/>
    <w:rsid w:val="00987168"/>
    <w:rsid w:val="00991B47"/>
    <w:rsid w:val="009A514F"/>
    <w:rsid w:val="009B6014"/>
    <w:rsid w:val="009D3891"/>
    <w:rsid w:val="009E56B1"/>
    <w:rsid w:val="009E6C2C"/>
    <w:rsid w:val="009F5D39"/>
    <w:rsid w:val="00A30F8A"/>
    <w:rsid w:val="00A45754"/>
    <w:rsid w:val="00A83921"/>
    <w:rsid w:val="00A852C8"/>
    <w:rsid w:val="00A91D2D"/>
    <w:rsid w:val="00A9672A"/>
    <w:rsid w:val="00AA00C9"/>
    <w:rsid w:val="00AC7E91"/>
    <w:rsid w:val="00AE6A52"/>
    <w:rsid w:val="00B02380"/>
    <w:rsid w:val="00B07D85"/>
    <w:rsid w:val="00B27454"/>
    <w:rsid w:val="00B35433"/>
    <w:rsid w:val="00B37BBA"/>
    <w:rsid w:val="00B4117B"/>
    <w:rsid w:val="00B83081"/>
    <w:rsid w:val="00B94BB7"/>
    <w:rsid w:val="00B963CD"/>
    <w:rsid w:val="00BB736A"/>
    <w:rsid w:val="00BC625D"/>
    <w:rsid w:val="00C125C2"/>
    <w:rsid w:val="00C4546B"/>
    <w:rsid w:val="00C476CD"/>
    <w:rsid w:val="00C627A0"/>
    <w:rsid w:val="00C77413"/>
    <w:rsid w:val="00C80EB7"/>
    <w:rsid w:val="00C86599"/>
    <w:rsid w:val="00C900A9"/>
    <w:rsid w:val="00C91B50"/>
    <w:rsid w:val="00CA3959"/>
    <w:rsid w:val="00CB23CA"/>
    <w:rsid w:val="00D01479"/>
    <w:rsid w:val="00D12279"/>
    <w:rsid w:val="00D20B51"/>
    <w:rsid w:val="00D22162"/>
    <w:rsid w:val="00D2268C"/>
    <w:rsid w:val="00D31D50"/>
    <w:rsid w:val="00D66D42"/>
    <w:rsid w:val="00D73FE9"/>
    <w:rsid w:val="00D74F1E"/>
    <w:rsid w:val="00DA2F6F"/>
    <w:rsid w:val="00DB0A88"/>
    <w:rsid w:val="00DB6F49"/>
    <w:rsid w:val="00DC60D7"/>
    <w:rsid w:val="00DE1C2D"/>
    <w:rsid w:val="00E03BC9"/>
    <w:rsid w:val="00E06364"/>
    <w:rsid w:val="00E17683"/>
    <w:rsid w:val="00E324D2"/>
    <w:rsid w:val="00E64810"/>
    <w:rsid w:val="00EB081B"/>
    <w:rsid w:val="00EB37EB"/>
    <w:rsid w:val="00EE6850"/>
    <w:rsid w:val="00EF26DE"/>
    <w:rsid w:val="00F0247A"/>
    <w:rsid w:val="00F11196"/>
    <w:rsid w:val="00F277DF"/>
    <w:rsid w:val="00F327B6"/>
    <w:rsid w:val="00F352E5"/>
    <w:rsid w:val="00F37F35"/>
    <w:rsid w:val="00F528B4"/>
    <w:rsid w:val="00F70CC0"/>
    <w:rsid w:val="00F71885"/>
    <w:rsid w:val="00F72A37"/>
    <w:rsid w:val="00F73BED"/>
    <w:rsid w:val="00F93BF3"/>
    <w:rsid w:val="00FD5598"/>
    <w:rsid w:val="00FE2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7422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8B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668B3"/>
    <w:rPr>
      <w:b/>
      <w:bCs/>
    </w:rPr>
  </w:style>
  <w:style w:type="paragraph" w:styleId="a5">
    <w:name w:val="Document Map"/>
    <w:basedOn w:val="a"/>
    <w:link w:val="Char"/>
    <w:uiPriority w:val="99"/>
    <w:semiHidden/>
    <w:unhideWhenUsed/>
    <w:rsid w:val="00D20B51"/>
    <w:rPr>
      <w:rFonts w:ascii="宋体" w:eastAsia="宋体"/>
      <w:sz w:val="18"/>
      <w:szCs w:val="18"/>
    </w:rPr>
  </w:style>
  <w:style w:type="character" w:customStyle="1" w:styleId="Char">
    <w:name w:val="文档结构图 Char"/>
    <w:basedOn w:val="a0"/>
    <w:link w:val="a5"/>
    <w:uiPriority w:val="99"/>
    <w:semiHidden/>
    <w:rsid w:val="00D20B51"/>
    <w:rPr>
      <w:rFonts w:ascii="宋体" w:eastAsia="宋体" w:hAnsi="Tahoma"/>
      <w:sz w:val="18"/>
      <w:szCs w:val="18"/>
    </w:rPr>
  </w:style>
  <w:style w:type="paragraph" w:customStyle="1" w:styleId="p0">
    <w:name w:val="p0"/>
    <w:basedOn w:val="a"/>
    <w:rsid w:val="00574F5B"/>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274224"/>
    <w:rPr>
      <w:rFonts w:ascii="宋体" w:eastAsia="宋体" w:hAnsi="宋体" w:cs="宋体"/>
      <w:b/>
      <w:bCs/>
      <w:kern w:val="36"/>
      <w:sz w:val="48"/>
      <w:szCs w:val="48"/>
    </w:rPr>
  </w:style>
  <w:style w:type="paragraph" w:customStyle="1" w:styleId="p">
    <w:name w:val="p"/>
    <w:basedOn w:val="a"/>
    <w:rsid w:val="003805E7"/>
    <w:pPr>
      <w:adjustRightInd/>
      <w:snapToGrid/>
      <w:spacing w:before="100" w:beforeAutospacing="1" w:after="100" w:afterAutospacing="1"/>
    </w:pPr>
    <w:rPr>
      <w:rFonts w:ascii="宋体" w:eastAsia="宋体" w:hAnsi="宋体" w:cs="宋体"/>
      <w:sz w:val="24"/>
      <w:szCs w:val="24"/>
    </w:rPr>
  </w:style>
  <w:style w:type="character" w:customStyle="1" w:styleId="17">
    <w:name w:val="17"/>
    <w:basedOn w:val="a0"/>
    <w:rsid w:val="00593384"/>
  </w:style>
  <w:style w:type="character" w:customStyle="1" w:styleId="16">
    <w:name w:val="16"/>
    <w:basedOn w:val="a0"/>
    <w:rsid w:val="00593384"/>
  </w:style>
  <w:style w:type="character" w:customStyle="1" w:styleId="15">
    <w:name w:val="15"/>
    <w:basedOn w:val="a0"/>
    <w:rsid w:val="00593384"/>
  </w:style>
  <w:style w:type="character" w:styleId="a6">
    <w:name w:val="Hyperlink"/>
    <w:basedOn w:val="a0"/>
    <w:uiPriority w:val="99"/>
    <w:semiHidden/>
    <w:unhideWhenUsed/>
    <w:rsid w:val="00593384"/>
    <w:rPr>
      <w:color w:val="0000FF"/>
      <w:u w:val="single"/>
    </w:rPr>
  </w:style>
  <w:style w:type="character" w:styleId="a7">
    <w:name w:val="FollowedHyperlink"/>
    <w:basedOn w:val="a0"/>
    <w:uiPriority w:val="99"/>
    <w:semiHidden/>
    <w:unhideWhenUsed/>
    <w:rsid w:val="00593384"/>
    <w:rPr>
      <w:color w:val="800080"/>
      <w:u w:val="single"/>
    </w:rPr>
  </w:style>
  <w:style w:type="character" w:styleId="a8">
    <w:name w:val="Emphasis"/>
    <w:basedOn w:val="a0"/>
    <w:uiPriority w:val="20"/>
    <w:qFormat/>
    <w:rsid w:val="0058672F"/>
    <w:rPr>
      <w:i/>
      <w:iCs/>
    </w:rPr>
  </w:style>
  <w:style w:type="paragraph" w:styleId="HTML">
    <w:name w:val="HTML Preformatted"/>
    <w:basedOn w:val="a"/>
    <w:link w:val="HTMLChar"/>
    <w:uiPriority w:val="99"/>
    <w:semiHidden/>
    <w:unhideWhenUsed/>
    <w:rsid w:val="0058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58672F"/>
    <w:rPr>
      <w:rFonts w:ascii="宋体" w:eastAsia="宋体" w:hAnsi="宋体" w:cs="宋体"/>
      <w:sz w:val="24"/>
      <w:szCs w:val="24"/>
    </w:rPr>
  </w:style>
  <w:style w:type="paragraph" w:styleId="2">
    <w:name w:val="Body Text Indent 2"/>
    <w:basedOn w:val="a"/>
    <w:link w:val="2Char"/>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2Char">
    <w:name w:val="正文文本缩进 2 Char"/>
    <w:basedOn w:val="a0"/>
    <w:link w:val="2"/>
    <w:uiPriority w:val="99"/>
    <w:semiHidden/>
    <w:rsid w:val="0058672F"/>
    <w:rPr>
      <w:rFonts w:ascii="宋体" w:eastAsia="宋体" w:hAnsi="宋体" w:cs="宋体"/>
      <w:sz w:val="24"/>
      <w:szCs w:val="24"/>
    </w:rPr>
  </w:style>
  <w:style w:type="paragraph" w:styleId="a9">
    <w:name w:val="Body Text Indent"/>
    <w:basedOn w:val="a"/>
    <w:link w:val="Char0"/>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Char0">
    <w:name w:val="正文文本缩进 Char"/>
    <w:basedOn w:val="a0"/>
    <w:link w:val="a9"/>
    <w:uiPriority w:val="99"/>
    <w:semiHidden/>
    <w:rsid w:val="0058672F"/>
    <w:rPr>
      <w:rFonts w:ascii="宋体" w:eastAsia="宋体" w:hAnsi="宋体" w:cs="宋体"/>
      <w:sz w:val="24"/>
      <w:szCs w:val="24"/>
    </w:rPr>
  </w:style>
  <w:style w:type="paragraph" w:styleId="aa">
    <w:name w:val="Plain Text"/>
    <w:basedOn w:val="a"/>
    <w:link w:val="Char1"/>
    <w:uiPriority w:val="99"/>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1">
    <w:name w:val="纯文本 Char"/>
    <w:basedOn w:val="a0"/>
    <w:link w:val="aa"/>
    <w:uiPriority w:val="99"/>
    <w:rsid w:val="003E127D"/>
    <w:rPr>
      <w:rFonts w:ascii="宋体" w:eastAsia="宋体" w:hAnsi="宋体" w:cs="宋体"/>
      <w:sz w:val="24"/>
      <w:szCs w:val="24"/>
    </w:rPr>
  </w:style>
  <w:style w:type="paragraph" w:styleId="ab">
    <w:name w:val="Salutation"/>
    <w:basedOn w:val="a"/>
    <w:link w:val="Char2"/>
    <w:uiPriority w:val="99"/>
    <w:semiHidden/>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2">
    <w:name w:val="称呼 Char"/>
    <w:basedOn w:val="a0"/>
    <w:link w:val="ab"/>
    <w:uiPriority w:val="99"/>
    <w:semiHidden/>
    <w:rsid w:val="003E127D"/>
    <w:rPr>
      <w:rFonts w:ascii="宋体" w:eastAsia="宋体" w:hAnsi="宋体" w:cs="宋体"/>
      <w:sz w:val="24"/>
      <w:szCs w:val="24"/>
    </w:rPr>
  </w:style>
  <w:style w:type="character" w:customStyle="1" w:styleId="font51">
    <w:name w:val="font51"/>
    <w:basedOn w:val="a0"/>
    <w:rsid w:val="0030781A"/>
  </w:style>
  <w:style w:type="character" w:customStyle="1" w:styleId="font01">
    <w:name w:val="font01"/>
    <w:basedOn w:val="a0"/>
    <w:rsid w:val="0030781A"/>
  </w:style>
  <w:style w:type="character" w:customStyle="1" w:styleId="font21">
    <w:name w:val="font21"/>
    <w:basedOn w:val="a0"/>
    <w:rsid w:val="0030781A"/>
  </w:style>
  <w:style w:type="character" w:customStyle="1" w:styleId="font61">
    <w:name w:val="font61"/>
    <w:basedOn w:val="a0"/>
    <w:rsid w:val="0030781A"/>
  </w:style>
  <w:style w:type="paragraph" w:styleId="ac">
    <w:name w:val="Balloon Text"/>
    <w:basedOn w:val="a"/>
    <w:link w:val="Char3"/>
    <w:uiPriority w:val="99"/>
    <w:semiHidden/>
    <w:unhideWhenUsed/>
    <w:rsid w:val="00771D49"/>
    <w:pPr>
      <w:spacing w:after="0"/>
    </w:pPr>
    <w:rPr>
      <w:sz w:val="18"/>
      <w:szCs w:val="18"/>
    </w:rPr>
  </w:style>
  <w:style w:type="character" w:customStyle="1" w:styleId="Char3">
    <w:name w:val="批注框文本 Char"/>
    <w:basedOn w:val="a0"/>
    <w:link w:val="ac"/>
    <w:uiPriority w:val="99"/>
    <w:semiHidden/>
    <w:rsid w:val="00771D49"/>
    <w:rPr>
      <w:rFonts w:ascii="Tahoma" w:hAnsi="Tahoma"/>
      <w:sz w:val="18"/>
      <w:szCs w:val="18"/>
    </w:rPr>
  </w:style>
  <w:style w:type="paragraph" w:styleId="ad">
    <w:name w:val="Body Text"/>
    <w:basedOn w:val="a"/>
    <w:link w:val="Char4"/>
    <w:uiPriority w:val="99"/>
    <w:semiHidden/>
    <w:unhideWhenUsed/>
    <w:rsid w:val="00F0247A"/>
    <w:pPr>
      <w:spacing w:after="120"/>
    </w:pPr>
  </w:style>
  <w:style w:type="character" w:customStyle="1" w:styleId="Char4">
    <w:name w:val="正文文本 Char"/>
    <w:basedOn w:val="a0"/>
    <w:link w:val="ad"/>
    <w:uiPriority w:val="99"/>
    <w:semiHidden/>
    <w:rsid w:val="00F0247A"/>
    <w:rPr>
      <w:rFonts w:ascii="Tahoma" w:hAnsi="Tahoma"/>
    </w:rPr>
  </w:style>
  <w:style w:type="paragraph" w:customStyle="1" w:styleId="western">
    <w:name w:val="western"/>
    <w:basedOn w:val="a"/>
    <w:rsid w:val="00F37F3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7511119">
      <w:bodyDiv w:val="1"/>
      <w:marLeft w:val="0"/>
      <w:marRight w:val="0"/>
      <w:marTop w:val="0"/>
      <w:marBottom w:val="0"/>
      <w:divBdr>
        <w:top w:val="none" w:sz="0" w:space="0" w:color="auto"/>
        <w:left w:val="none" w:sz="0" w:space="0" w:color="auto"/>
        <w:bottom w:val="none" w:sz="0" w:space="0" w:color="auto"/>
        <w:right w:val="none" w:sz="0" w:space="0" w:color="auto"/>
      </w:divBdr>
      <w:divsChild>
        <w:div w:id="1374306793">
          <w:marLeft w:val="0"/>
          <w:marRight w:val="0"/>
          <w:marTop w:val="0"/>
          <w:marBottom w:val="0"/>
          <w:divBdr>
            <w:top w:val="none" w:sz="0" w:space="0" w:color="auto"/>
            <w:left w:val="none" w:sz="0" w:space="0" w:color="auto"/>
            <w:bottom w:val="none" w:sz="0" w:space="0" w:color="auto"/>
            <w:right w:val="none" w:sz="0" w:space="0" w:color="auto"/>
          </w:divBdr>
        </w:div>
        <w:div w:id="603735149">
          <w:marLeft w:val="0"/>
          <w:marRight w:val="0"/>
          <w:marTop w:val="0"/>
          <w:marBottom w:val="0"/>
          <w:divBdr>
            <w:top w:val="none" w:sz="0" w:space="0" w:color="auto"/>
            <w:left w:val="none" w:sz="0" w:space="0" w:color="auto"/>
            <w:bottom w:val="none" w:sz="0" w:space="0" w:color="auto"/>
            <w:right w:val="none" w:sz="0" w:space="0" w:color="auto"/>
          </w:divBdr>
        </w:div>
        <w:div w:id="729114363">
          <w:marLeft w:val="0"/>
          <w:marRight w:val="0"/>
          <w:marTop w:val="0"/>
          <w:marBottom w:val="0"/>
          <w:divBdr>
            <w:top w:val="none" w:sz="0" w:space="0" w:color="auto"/>
            <w:left w:val="none" w:sz="0" w:space="0" w:color="auto"/>
            <w:bottom w:val="none" w:sz="0" w:space="0" w:color="auto"/>
            <w:right w:val="none" w:sz="0" w:space="0" w:color="auto"/>
          </w:divBdr>
        </w:div>
        <w:div w:id="1541359912">
          <w:marLeft w:val="0"/>
          <w:marRight w:val="0"/>
          <w:marTop w:val="0"/>
          <w:marBottom w:val="0"/>
          <w:divBdr>
            <w:top w:val="none" w:sz="0" w:space="0" w:color="auto"/>
            <w:left w:val="none" w:sz="0" w:space="0" w:color="auto"/>
            <w:bottom w:val="none" w:sz="0" w:space="0" w:color="auto"/>
            <w:right w:val="none" w:sz="0" w:space="0" w:color="auto"/>
          </w:divBdr>
        </w:div>
        <w:div w:id="340010482">
          <w:marLeft w:val="0"/>
          <w:marRight w:val="0"/>
          <w:marTop w:val="0"/>
          <w:marBottom w:val="0"/>
          <w:divBdr>
            <w:top w:val="none" w:sz="0" w:space="0" w:color="auto"/>
            <w:left w:val="none" w:sz="0" w:space="0" w:color="auto"/>
            <w:bottom w:val="none" w:sz="0" w:space="0" w:color="auto"/>
            <w:right w:val="none" w:sz="0" w:space="0" w:color="auto"/>
          </w:divBdr>
        </w:div>
        <w:div w:id="999237879">
          <w:marLeft w:val="0"/>
          <w:marRight w:val="0"/>
          <w:marTop w:val="0"/>
          <w:marBottom w:val="0"/>
          <w:divBdr>
            <w:top w:val="none" w:sz="0" w:space="0" w:color="auto"/>
            <w:left w:val="none" w:sz="0" w:space="0" w:color="auto"/>
            <w:bottom w:val="none" w:sz="0" w:space="0" w:color="auto"/>
            <w:right w:val="none" w:sz="0" w:space="0" w:color="auto"/>
          </w:divBdr>
        </w:div>
        <w:div w:id="817572713">
          <w:marLeft w:val="0"/>
          <w:marRight w:val="0"/>
          <w:marTop w:val="0"/>
          <w:marBottom w:val="0"/>
          <w:divBdr>
            <w:top w:val="none" w:sz="0" w:space="0" w:color="auto"/>
            <w:left w:val="none" w:sz="0" w:space="0" w:color="auto"/>
            <w:bottom w:val="none" w:sz="0" w:space="0" w:color="auto"/>
            <w:right w:val="none" w:sz="0" w:space="0" w:color="auto"/>
          </w:divBdr>
        </w:div>
      </w:divsChild>
    </w:div>
    <w:div w:id="38819494">
      <w:bodyDiv w:val="1"/>
      <w:marLeft w:val="0"/>
      <w:marRight w:val="0"/>
      <w:marTop w:val="0"/>
      <w:marBottom w:val="0"/>
      <w:divBdr>
        <w:top w:val="none" w:sz="0" w:space="0" w:color="auto"/>
        <w:left w:val="none" w:sz="0" w:space="0" w:color="auto"/>
        <w:bottom w:val="none" w:sz="0" w:space="0" w:color="auto"/>
        <w:right w:val="none" w:sz="0" w:space="0" w:color="auto"/>
      </w:divBdr>
    </w:div>
    <w:div w:id="71699955">
      <w:bodyDiv w:val="1"/>
      <w:marLeft w:val="0"/>
      <w:marRight w:val="0"/>
      <w:marTop w:val="0"/>
      <w:marBottom w:val="0"/>
      <w:divBdr>
        <w:top w:val="none" w:sz="0" w:space="0" w:color="auto"/>
        <w:left w:val="none" w:sz="0" w:space="0" w:color="auto"/>
        <w:bottom w:val="none" w:sz="0" w:space="0" w:color="auto"/>
        <w:right w:val="none" w:sz="0" w:space="0" w:color="auto"/>
      </w:divBdr>
    </w:div>
    <w:div w:id="99496880">
      <w:bodyDiv w:val="1"/>
      <w:marLeft w:val="0"/>
      <w:marRight w:val="0"/>
      <w:marTop w:val="0"/>
      <w:marBottom w:val="0"/>
      <w:divBdr>
        <w:top w:val="none" w:sz="0" w:space="0" w:color="auto"/>
        <w:left w:val="none" w:sz="0" w:space="0" w:color="auto"/>
        <w:bottom w:val="none" w:sz="0" w:space="0" w:color="auto"/>
        <w:right w:val="none" w:sz="0" w:space="0" w:color="auto"/>
      </w:divBdr>
    </w:div>
    <w:div w:id="101608341">
      <w:bodyDiv w:val="1"/>
      <w:marLeft w:val="0"/>
      <w:marRight w:val="0"/>
      <w:marTop w:val="0"/>
      <w:marBottom w:val="0"/>
      <w:divBdr>
        <w:top w:val="none" w:sz="0" w:space="0" w:color="auto"/>
        <w:left w:val="none" w:sz="0" w:space="0" w:color="auto"/>
        <w:bottom w:val="none" w:sz="0" w:space="0" w:color="auto"/>
        <w:right w:val="none" w:sz="0" w:space="0" w:color="auto"/>
      </w:divBdr>
    </w:div>
    <w:div w:id="104689514">
      <w:bodyDiv w:val="1"/>
      <w:marLeft w:val="0"/>
      <w:marRight w:val="0"/>
      <w:marTop w:val="0"/>
      <w:marBottom w:val="0"/>
      <w:divBdr>
        <w:top w:val="none" w:sz="0" w:space="0" w:color="auto"/>
        <w:left w:val="none" w:sz="0" w:space="0" w:color="auto"/>
        <w:bottom w:val="none" w:sz="0" w:space="0" w:color="auto"/>
        <w:right w:val="none" w:sz="0" w:space="0" w:color="auto"/>
      </w:divBdr>
    </w:div>
    <w:div w:id="138158370">
      <w:bodyDiv w:val="1"/>
      <w:marLeft w:val="0"/>
      <w:marRight w:val="0"/>
      <w:marTop w:val="0"/>
      <w:marBottom w:val="0"/>
      <w:divBdr>
        <w:top w:val="none" w:sz="0" w:space="0" w:color="auto"/>
        <w:left w:val="none" w:sz="0" w:space="0" w:color="auto"/>
        <w:bottom w:val="none" w:sz="0" w:space="0" w:color="auto"/>
        <w:right w:val="none" w:sz="0" w:space="0" w:color="auto"/>
      </w:divBdr>
    </w:div>
    <w:div w:id="161237410">
      <w:bodyDiv w:val="1"/>
      <w:marLeft w:val="0"/>
      <w:marRight w:val="0"/>
      <w:marTop w:val="0"/>
      <w:marBottom w:val="0"/>
      <w:divBdr>
        <w:top w:val="none" w:sz="0" w:space="0" w:color="auto"/>
        <w:left w:val="none" w:sz="0" w:space="0" w:color="auto"/>
        <w:bottom w:val="none" w:sz="0" w:space="0" w:color="auto"/>
        <w:right w:val="none" w:sz="0" w:space="0" w:color="auto"/>
      </w:divBdr>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67521415">
      <w:bodyDiv w:val="1"/>
      <w:marLeft w:val="0"/>
      <w:marRight w:val="0"/>
      <w:marTop w:val="0"/>
      <w:marBottom w:val="0"/>
      <w:divBdr>
        <w:top w:val="none" w:sz="0" w:space="0" w:color="auto"/>
        <w:left w:val="none" w:sz="0" w:space="0" w:color="auto"/>
        <w:bottom w:val="none" w:sz="0" w:space="0" w:color="auto"/>
        <w:right w:val="none" w:sz="0" w:space="0" w:color="auto"/>
      </w:divBdr>
    </w:div>
    <w:div w:id="182090967">
      <w:bodyDiv w:val="1"/>
      <w:marLeft w:val="0"/>
      <w:marRight w:val="0"/>
      <w:marTop w:val="0"/>
      <w:marBottom w:val="0"/>
      <w:divBdr>
        <w:top w:val="none" w:sz="0" w:space="0" w:color="auto"/>
        <w:left w:val="none" w:sz="0" w:space="0" w:color="auto"/>
        <w:bottom w:val="none" w:sz="0" w:space="0" w:color="auto"/>
        <w:right w:val="none" w:sz="0" w:space="0" w:color="auto"/>
      </w:divBdr>
    </w:div>
    <w:div w:id="182523539">
      <w:bodyDiv w:val="1"/>
      <w:marLeft w:val="0"/>
      <w:marRight w:val="0"/>
      <w:marTop w:val="0"/>
      <w:marBottom w:val="0"/>
      <w:divBdr>
        <w:top w:val="none" w:sz="0" w:space="0" w:color="auto"/>
        <w:left w:val="none" w:sz="0" w:space="0" w:color="auto"/>
        <w:bottom w:val="none" w:sz="0" w:space="0" w:color="auto"/>
        <w:right w:val="none" w:sz="0" w:space="0" w:color="auto"/>
      </w:divBdr>
    </w:div>
    <w:div w:id="187372771">
      <w:bodyDiv w:val="1"/>
      <w:marLeft w:val="0"/>
      <w:marRight w:val="0"/>
      <w:marTop w:val="0"/>
      <w:marBottom w:val="0"/>
      <w:divBdr>
        <w:top w:val="none" w:sz="0" w:space="0" w:color="auto"/>
        <w:left w:val="none" w:sz="0" w:space="0" w:color="auto"/>
        <w:bottom w:val="none" w:sz="0" w:space="0" w:color="auto"/>
        <w:right w:val="none" w:sz="0" w:space="0" w:color="auto"/>
      </w:divBdr>
    </w:div>
    <w:div w:id="189879327">
      <w:bodyDiv w:val="1"/>
      <w:marLeft w:val="0"/>
      <w:marRight w:val="0"/>
      <w:marTop w:val="0"/>
      <w:marBottom w:val="0"/>
      <w:divBdr>
        <w:top w:val="none" w:sz="0" w:space="0" w:color="auto"/>
        <w:left w:val="none" w:sz="0" w:space="0" w:color="auto"/>
        <w:bottom w:val="none" w:sz="0" w:space="0" w:color="auto"/>
        <w:right w:val="none" w:sz="0" w:space="0" w:color="auto"/>
      </w:divBdr>
    </w:div>
    <w:div w:id="216674616">
      <w:bodyDiv w:val="1"/>
      <w:marLeft w:val="0"/>
      <w:marRight w:val="0"/>
      <w:marTop w:val="0"/>
      <w:marBottom w:val="0"/>
      <w:divBdr>
        <w:top w:val="none" w:sz="0" w:space="0" w:color="auto"/>
        <w:left w:val="none" w:sz="0" w:space="0" w:color="auto"/>
        <w:bottom w:val="none" w:sz="0" w:space="0" w:color="auto"/>
        <w:right w:val="none" w:sz="0" w:space="0" w:color="auto"/>
      </w:divBdr>
    </w:div>
    <w:div w:id="217323344">
      <w:bodyDiv w:val="1"/>
      <w:marLeft w:val="0"/>
      <w:marRight w:val="0"/>
      <w:marTop w:val="0"/>
      <w:marBottom w:val="0"/>
      <w:divBdr>
        <w:top w:val="none" w:sz="0" w:space="0" w:color="auto"/>
        <w:left w:val="none" w:sz="0" w:space="0" w:color="auto"/>
        <w:bottom w:val="none" w:sz="0" w:space="0" w:color="auto"/>
        <w:right w:val="none" w:sz="0" w:space="0" w:color="auto"/>
      </w:divBdr>
    </w:div>
    <w:div w:id="238180734">
      <w:bodyDiv w:val="1"/>
      <w:marLeft w:val="0"/>
      <w:marRight w:val="0"/>
      <w:marTop w:val="0"/>
      <w:marBottom w:val="0"/>
      <w:divBdr>
        <w:top w:val="none" w:sz="0" w:space="0" w:color="auto"/>
        <w:left w:val="none" w:sz="0" w:space="0" w:color="auto"/>
        <w:bottom w:val="none" w:sz="0" w:space="0" w:color="auto"/>
        <w:right w:val="none" w:sz="0" w:space="0" w:color="auto"/>
      </w:divBdr>
    </w:div>
    <w:div w:id="266620044">
      <w:bodyDiv w:val="1"/>
      <w:marLeft w:val="0"/>
      <w:marRight w:val="0"/>
      <w:marTop w:val="0"/>
      <w:marBottom w:val="0"/>
      <w:divBdr>
        <w:top w:val="none" w:sz="0" w:space="0" w:color="auto"/>
        <w:left w:val="none" w:sz="0" w:space="0" w:color="auto"/>
        <w:bottom w:val="none" w:sz="0" w:space="0" w:color="auto"/>
        <w:right w:val="none" w:sz="0" w:space="0" w:color="auto"/>
      </w:divBdr>
      <w:divsChild>
        <w:div w:id="662928806">
          <w:marLeft w:val="0"/>
          <w:marRight w:val="0"/>
          <w:marTop w:val="0"/>
          <w:marBottom w:val="0"/>
          <w:divBdr>
            <w:top w:val="none" w:sz="0" w:space="0" w:color="auto"/>
            <w:left w:val="none" w:sz="0" w:space="0" w:color="auto"/>
            <w:bottom w:val="none" w:sz="0" w:space="0" w:color="auto"/>
            <w:right w:val="none" w:sz="0" w:space="0" w:color="auto"/>
          </w:divBdr>
        </w:div>
        <w:div w:id="2036274641">
          <w:marLeft w:val="0"/>
          <w:marRight w:val="0"/>
          <w:marTop w:val="0"/>
          <w:marBottom w:val="0"/>
          <w:divBdr>
            <w:top w:val="none" w:sz="0" w:space="0" w:color="auto"/>
            <w:left w:val="none" w:sz="0" w:space="0" w:color="auto"/>
            <w:bottom w:val="none" w:sz="0" w:space="0" w:color="auto"/>
            <w:right w:val="none" w:sz="0" w:space="0" w:color="auto"/>
          </w:divBdr>
        </w:div>
        <w:div w:id="2116710102">
          <w:marLeft w:val="0"/>
          <w:marRight w:val="0"/>
          <w:marTop w:val="0"/>
          <w:marBottom w:val="0"/>
          <w:divBdr>
            <w:top w:val="none" w:sz="0" w:space="0" w:color="auto"/>
            <w:left w:val="none" w:sz="0" w:space="0" w:color="auto"/>
            <w:bottom w:val="none" w:sz="0" w:space="0" w:color="auto"/>
            <w:right w:val="none" w:sz="0" w:space="0" w:color="auto"/>
          </w:divBdr>
        </w:div>
        <w:div w:id="550768495">
          <w:marLeft w:val="0"/>
          <w:marRight w:val="0"/>
          <w:marTop w:val="0"/>
          <w:marBottom w:val="0"/>
          <w:divBdr>
            <w:top w:val="none" w:sz="0" w:space="0" w:color="auto"/>
            <w:left w:val="none" w:sz="0" w:space="0" w:color="auto"/>
            <w:bottom w:val="none" w:sz="0" w:space="0" w:color="auto"/>
            <w:right w:val="none" w:sz="0" w:space="0" w:color="auto"/>
          </w:divBdr>
        </w:div>
        <w:div w:id="874271475">
          <w:marLeft w:val="0"/>
          <w:marRight w:val="0"/>
          <w:marTop w:val="0"/>
          <w:marBottom w:val="0"/>
          <w:divBdr>
            <w:top w:val="none" w:sz="0" w:space="0" w:color="auto"/>
            <w:left w:val="none" w:sz="0" w:space="0" w:color="auto"/>
            <w:bottom w:val="none" w:sz="0" w:space="0" w:color="auto"/>
            <w:right w:val="none" w:sz="0" w:space="0" w:color="auto"/>
          </w:divBdr>
        </w:div>
        <w:div w:id="1439567315">
          <w:marLeft w:val="0"/>
          <w:marRight w:val="0"/>
          <w:marTop w:val="0"/>
          <w:marBottom w:val="0"/>
          <w:divBdr>
            <w:top w:val="none" w:sz="0" w:space="0" w:color="auto"/>
            <w:left w:val="none" w:sz="0" w:space="0" w:color="auto"/>
            <w:bottom w:val="none" w:sz="0" w:space="0" w:color="auto"/>
            <w:right w:val="none" w:sz="0" w:space="0" w:color="auto"/>
          </w:divBdr>
        </w:div>
        <w:div w:id="1599948679">
          <w:marLeft w:val="0"/>
          <w:marRight w:val="0"/>
          <w:marTop w:val="0"/>
          <w:marBottom w:val="0"/>
          <w:divBdr>
            <w:top w:val="none" w:sz="0" w:space="0" w:color="auto"/>
            <w:left w:val="none" w:sz="0" w:space="0" w:color="auto"/>
            <w:bottom w:val="none" w:sz="0" w:space="0" w:color="auto"/>
            <w:right w:val="none" w:sz="0" w:space="0" w:color="auto"/>
          </w:divBdr>
        </w:div>
        <w:div w:id="584193540">
          <w:marLeft w:val="0"/>
          <w:marRight w:val="0"/>
          <w:marTop w:val="0"/>
          <w:marBottom w:val="0"/>
          <w:divBdr>
            <w:top w:val="none" w:sz="0" w:space="0" w:color="auto"/>
            <w:left w:val="none" w:sz="0" w:space="0" w:color="auto"/>
            <w:bottom w:val="none" w:sz="0" w:space="0" w:color="auto"/>
            <w:right w:val="none" w:sz="0" w:space="0" w:color="auto"/>
          </w:divBdr>
        </w:div>
        <w:div w:id="376200910">
          <w:marLeft w:val="0"/>
          <w:marRight w:val="0"/>
          <w:marTop w:val="0"/>
          <w:marBottom w:val="0"/>
          <w:divBdr>
            <w:top w:val="none" w:sz="0" w:space="0" w:color="auto"/>
            <w:left w:val="none" w:sz="0" w:space="0" w:color="auto"/>
            <w:bottom w:val="none" w:sz="0" w:space="0" w:color="auto"/>
            <w:right w:val="none" w:sz="0" w:space="0" w:color="auto"/>
          </w:divBdr>
        </w:div>
        <w:div w:id="473836298">
          <w:marLeft w:val="0"/>
          <w:marRight w:val="0"/>
          <w:marTop w:val="0"/>
          <w:marBottom w:val="0"/>
          <w:divBdr>
            <w:top w:val="none" w:sz="0" w:space="0" w:color="auto"/>
            <w:left w:val="none" w:sz="0" w:space="0" w:color="auto"/>
            <w:bottom w:val="none" w:sz="0" w:space="0" w:color="auto"/>
            <w:right w:val="none" w:sz="0" w:space="0" w:color="auto"/>
          </w:divBdr>
        </w:div>
        <w:div w:id="772045021">
          <w:marLeft w:val="0"/>
          <w:marRight w:val="0"/>
          <w:marTop w:val="0"/>
          <w:marBottom w:val="0"/>
          <w:divBdr>
            <w:top w:val="none" w:sz="0" w:space="0" w:color="auto"/>
            <w:left w:val="none" w:sz="0" w:space="0" w:color="auto"/>
            <w:bottom w:val="none" w:sz="0" w:space="0" w:color="auto"/>
            <w:right w:val="none" w:sz="0" w:space="0" w:color="auto"/>
          </w:divBdr>
        </w:div>
        <w:div w:id="1454520831">
          <w:marLeft w:val="0"/>
          <w:marRight w:val="0"/>
          <w:marTop w:val="0"/>
          <w:marBottom w:val="0"/>
          <w:divBdr>
            <w:top w:val="none" w:sz="0" w:space="0" w:color="auto"/>
            <w:left w:val="none" w:sz="0" w:space="0" w:color="auto"/>
            <w:bottom w:val="none" w:sz="0" w:space="0" w:color="auto"/>
            <w:right w:val="none" w:sz="0" w:space="0" w:color="auto"/>
          </w:divBdr>
        </w:div>
        <w:div w:id="1982997170">
          <w:marLeft w:val="0"/>
          <w:marRight w:val="0"/>
          <w:marTop w:val="0"/>
          <w:marBottom w:val="0"/>
          <w:divBdr>
            <w:top w:val="none" w:sz="0" w:space="0" w:color="auto"/>
            <w:left w:val="none" w:sz="0" w:space="0" w:color="auto"/>
            <w:bottom w:val="none" w:sz="0" w:space="0" w:color="auto"/>
            <w:right w:val="none" w:sz="0" w:space="0" w:color="auto"/>
          </w:divBdr>
        </w:div>
        <w:div w:id="523059155">
          <w:marLeft w:val="0"/>
          <w:marRight w:val="0"/>
          <w:marTop w:val="0"/>
          <w:marBottom w:val="0"/>
          <w:divBdr>
            <w:top w:val="none" w:sz="0" w:space="0" w:color="auto"/>
            <w:left w:val="none" w:sz="0" w:space="0" w:color="auto"/>
            <w:bottom w:val="none" w:sz="0" w:space="0" w:color="auto"/>
            <w:right w:val="none" w:sz="0" w:space="0" w:color="auto"/>
          </w:divBdr>
        </w:div>
      </w:divsChild>
    </w:div>
    <w:div w:id="289750074">
      <w:bodyDiv w:val="1"/>
      <w:marLeft w:val="0"/>
      <w:marRight w:val="0"/>
      <w:marTop w:val="0"/>
      <w:marBottom w:val="0"/>
      <w:divBdr>
        <w:top w:val="none" w:sz="0" w:space="0" w:color="auto"/>
        <w:left w:val="none" w:sz="0" w:space="0" w:color="auto"/>
        <w:bottom w:val="none" w:sz="0" w:space="0" w:color="auto"/>
        <w:right w:val="none" w:sz="0" w:space="0" w:color="auto"/>
      </w:divBdr>
    </w:div>
    <w:div w:id="302930790">
      <w:bodyDiv w:val="1"/>
      <w:marLeft w:val="0"/>
      <w:marRight w:val="0"/>
      <w:marTop w:val="0"/>
      <w:marBottom w:val="0"/>
      <w:divBdr>
        <w:top w:val="none" w:sz="0" w:space="0" w:color="auto"/>
        <w:left w:val="none" w:sz="0" w:space="0" w:color="auto"/>
        <w:bottom w:val="none" w:sz="0" w:space="0" w:color="auto"/>
        <w:right w:val="none" w:sz="0" w:space="0" w:color="auto"/>
      </w:divBdr>
    </w:div>
    <w:div w:id="320550512">
      <w:bodyDiv w:val="1"/>
      <w:marLeft w:val="0"/>
      <w:marRight w:val="0"/>
      <w:marTop w:val="0"/>
      <w:marBottom w:val="0"/>
      <w:divBdr>
        <w:top w:val="none" w:sz="0" w:space="0" w:color="auto"/>
        <w:left w:val="none" w:sz="0" w:space="0" w:color="auto"/>
        <w:bottom w:val="none" w:sz="0" w:space="0" w:color="auto"/>
        <w:right w:val="none" w:sz="0" w:space="0" w:color="auto"/>
      </w:divBdr>
    </w:div>
    <w:div w:id="347218943">
      <w:bodyDiv w:val="1"/>
      <w:marLeft w:val="0"/>
      <w:marRight w:val="0"/>
      <w:marTop w:val="0"/>
      <w:marBottom w:val="0"/>
      <w:divBdr>
        <w:top w:val="none" w:sz="0" w:space="0" w:color="auto"/>
        <w:left w:val="none" w:sz="0" w:space="0" w:color="auto"/>
        <w:bottom w:val="none" w:sz="0" w:space="0" w:color="auto"/>
        <w:right w:val="none" w:sz="0" w:space="0" w:color="auto"/>
      </w:divBdr>
    </w:div>
    <w:div w:id="386687799">
      <w:bodyDiv w:val="1"/>
      <w:marLeft w:val="0"/>
      <w:marRight w:val="0"/>
      <w:marTop w:val="0"/>
      <w:marBottom w:val="0"/>
      <w:divBdr>
        <w:top w:val="none" w:sz="0" w:space="0" w:color="auto"/>
        <w:left w:val="none" w:sz="0" w:space="0" w:color="auto"/>
        <w:bottom w:val="none" w:sz="0" w:space="0" w:color="auto"/>
        <w:right w:val="none" w:sz="0" w:space="0" w:color="auto"/>
      </w:divBdr>
      <w:divsChild>
        <w:div w:id="1152480213">
          <w:marLeft w:val="0"/>
          <w:marRight w:val="0"/>
          <w:marTop w:val="0"/>
          <w:marBottom w:val="0"/>
          <w:divBdr>
            <w:top w:val="none" w:sz="0" w:space="0" w:color="auto"/>
            <w:left w:val="none" w:sz="0" w:space="0" w:color="auto"/>
            <w:bottom w:val="none" w:sz="0" w:space="0" w:color="auto"/>
            <w:right w:val="none" w:sz="0" w:space="0" w:color="auto"/>
          </w:divBdr>
        </w:div>
        <w:div w:id="1421291696">
          <w:marLeft w:val="0"/>
          <w:marRight w:val="0"/>
          <w:marTop w:val="0"/>
          <w:marBottom w:val="0"/>
          <w:divBdr>
            <w:top w:val="none" w:sz="0" w:space="0" w:color="auto"/>
            <w:left w:val="none" w:sz="0" w:space="0" w:color="auto"/>
            <w:bottom w:val="none" w:sz="0" w:space="0" w:color="auto"/>
            <w:right w:val="none" w:sz="0" w:space="0" w:color="auto"/>
          </w:divBdr>
        </w:div>
        <w:div w:id="1608393663">
          <w:marLeft w:val="0"/>
          <w:marRight w:val="0"/>
          <w:marTop w:val="0"/>
          <w:marBottom w:val="0"/>
          <w:divBdr>
            <w:top w:val="none" w:sz="0" w:space="0" w:color="auto"/>
            <w:left w:val="none" w:sz="0" w:space="0" w:color="auto"/>
            <w:bottom w:val="none" w:sz="0" w:space="0" w:color="auto"/>
            <w:right w:val="none" w:sz="0" w:space="0" w:color="auto"/>
          </w:divBdr>
        </w:div>
        <w:div w:id="1562058738">
          <w:marLeft w:val="0"/>
          <w:marRight w:val="0"/>
          <w:marTop w:val="0"/>
          <w:marBottom w:val="0"/>
          <w:divBdr>
            <w:top w:val="none" w:sz="0" w:space="0" w:color="auto"/>
            <w:left w:val="none" w:sz="0" w:space="0" w:color="auto"/>
            <w:bottom w:val="none" w:sz="0" w:space="0" w:color="auto"/>
            <w:right w:val="none" w:sz="0" w:space="0" w:color="auto"/>
          </w:divBdr>
        </w:div>
        <w:div w:id="492644763">
          <w:marLeft w:val="0"/>
          <w:marRight w:val="0"/>
          <w:marTop w:val="0"/>
          <w:marBottom w:val="0"/>
          <w:divBdr>
            <w:top w:val="none" w:sz="0" w:space="0" w:color="auto"/>
            <w:left w:val="none" w:sz="0" w:space="0" w:color="auto"/>
            <w:bottom w:val="none" w:sz="0" w:space="0" w:color="auto"/>
            <w:right w:val="none" w:sz="0" w:space="0" w:color="auto"/>
          </w:divBdr>
        </w:div>
        <w:div w:id="1127697540">
          <w:marLeft w:val="0"/>
          <w:marRight w:val="0"/>
          <w:marTop w:val="0"/>
          <w:marBottom w:val="0"/>
          <w:divBdr>
            <w:top w:val="none" w:sz="0" w:space="0" w:color="auto"/>
            <w:left w:val="none" w:sz="0" w:space="0" w:color="auto"/>
            <w:bottom w:val="none" w:sz="0" w:space="0" w:color="auto"/>
            <w:right w:val="none" w:sz="0" w:space="0" w:color="auto"/>
          </w:divBdr>
        </w:div>
        <w:div w:id="1889340835">
          <w:marLeft w:val="0"/>
          <w:marRight w:val="0"/>
          <w:marTop w:val="0"/>
          <w:marBottom w:val="0"/>
          <w:divBdr>
            <w:top w:val="none" w:sz="0" w:space="0" w:color="auto"/>
            <w:left w:val="none" w:sz="0" w:space="0" w:color="auto"/>
            <w:bottom w:val="none" w:sz="0" w:space="0" w:color="auto"/>
            <w:right w:val="none" w:sz="0" w:space="0" w:color="auto"/>
          </w:divBdr>
        </w:div>
        <w:div w:id="692998816">
          <w:marLeft w:val="0"/>
          <w:marRight w:val="0"/>
          <w:marTop w:val="0"/>
          <w:marBottom w:val="0"/>
          <w:divBdr>
            <w:top w:val="none" w:sz="0" w:space="0" w:color="auto"/>
            <w:left w:val="none" w:sz="0" w:space="0" w:color="auto"/>
            <w:bottom w:val="none" w:sz="0" w:space="0" w:color="auto"/>
            <w:right w:val="none" w:sz="0" w:space="0" w:color="auto"/>
          </w:divBdr>
        </w:div>
        <w:div w:id="1485858829">
          <w:marLeft w:val="0"/>
          <w:marRight w:val="0"/>
          <w:marTop w:val="0"/>
          <w:marBottom w:val="0"/>
          <w:divBdr>
            <w:top w:val="none" w:sz="0" w:space="0" w:color="auto"/>
            <w:left w:val="none" w:sz="0" w:space="0" w:color="auto"/>
            <w:bottom w:val="none" w:sz="0" w:space="0" w:color="auto"/>
            <w:right w:val="none" w:sz="0" w:space="0" w:color="auto"/>
          </w:divBdr>
        </w:div>
        <w:div w:id="1479298422">
          <w:marLeft w:val="0"/>
          <w:marRight w:val="0"/>
          <w:marTop w:val="0"/>
          <w:marBottom w:val="0"/>
          <w:divBdr>
            <w:top w:val="none" w:sz="0" w:space="0" w:color="auto"/>
            <w:left w:val="none" w:sz="0" w:space="0" w:color="auto"/>
            <w:bottom w:val="none" w:sz="0" w:space="0" w:color="auto"/>
            <w:right w:val="none" w:sz="0" w:space="0" w:color="auto"/>
          </w:divBdr>
        </w:div>
        <w:div w:id="1317538998">
          <w:marLeft w:val="0"/>
          <w:marRight w:val="0"/>
          <w:marTop w:val="0"/>
          <w:marBottom w:val="0"/>
          <w:divBdr>
            <w:top w:val="none" w:sz="0" w:space="0" w:color="auto"/>
            <w:left w:val="none" w:sz="0" w:space="0" w:color="auto"/>
            <w:bottom w:val="none" w:sz="0" w:space="0" w:color="auto"/>
            <w:right w:val="none" w:sz="0" w:space="0" w:color="auto"/>
          </w:divBdr>
        </w:div>
        <w:div w:id="613050818">
          <w:marLeft w:val="0"/>
          <w:marRight w:val="0"/>
          <w:marTop w:val="0"/>
          <w:marBottom w:val="0"/>
          <w:divBdr>
            <w:top w:val="none" w:sz="0" w:space="0" w:color="auto"/>
            <w:left w:val="none" w:sz="0" w:space="0" w:color="auto"/>
            <w:bottom w:val="none" w:sz="0" w:space="0" w:color="auto"/>
            <w:right w:val="none" w:sz="0" w:space="0" w:color="auto"/>
          </w:divBdr>
        </w:div>
        <w:div w:id="1350833047">
          <w:marLeft w:val="0"/>
          <w:marRight w:val="0"/>
          <w:marTop w:val="0"/>
          <w:marBottom w:val="0"/>
          <w:divBdr>
            <w:top w:val="none" w:sz="0" w:space="0" w:color="auto"/>
            <w:left w:val="none" w:sz="0" w:space="0" w:color="auto"/>
            <w:bottom w:val="none" w:sz="0" w:space="0" w:color="auto"/>
            <w:right w:val="none" w:sz="0" w:space="0" w:color="auto"/>
          </w:divBdr>
        </w:div>
        <w:div w:id="125124756">
          <w:marLeft w:val="0"/>
          <w:marRight w:val="0"/>
          <w:marTop w:val="0"/>
          <w:marBottom w:val="0"/>
          <w:divBdr>
            <w:top w:val="none" w:sz="0" w:space="0" w:color="auto"/>
            <w:left w:val="none" w:sz="0" w:space="0" w:color="auto"/>
            <w:bottom w:val="none" w:sz="0" w:space="0" w:color="auto"/>
            <w:right w:val="none" w:sz="0" w:space="0" w:color="auto"/>
          </w:divBdr>
        </w:div>
      </w:divsChild>
    </w:div>
    <w:div w:id="409891441">
      <w:bodyDiv w:val="1"/>
      <w:marLeft w:val="0"/>
      <w:marRight w:val="0"/>
      <w:marTop w:val="0"/>
      <w:marBottom w:val="0"/>
      <w:divBdr>
        <w:top w:val="none" w:sz="0" w:space="0" w:color="auto"/>
        <w:left w:val="none" w:sz="0" w:space="0" w:color="auto"/>
        <w:bottom w:val="none" w:sz="0" w:space="0" w:color="auto"/>
        <w:right w:val="none" w:sz="0" w:space="0" w:color="auto"/>
      </w:divBdr>
    </w:div>
    <w:div w:id="426922497">
      <w:bodyDiv w:val="1"/>
      <w:marLeft w:val="0"/>
      <w:marRight w:val="0"/>
      <w:marTop w:val="0"/>
      <w:marBottom w:val="0"/>
      <w:divBdr>
        <w:top w:val="none" w:sz="0" w:space="0" w:color="auto"/>
        <w:left w:val="none" w:sz="0" w:space="0" w:color="auto"/>
        <w:bottom w:val="none" w:sz="0" w:space="0" w:color="auto"/>
        <w:right w:val="none" w:sz="0" w:space="0" w:color="auto"/>
      </w:divBdr>
    </w:div>
    <w:div w:id="447823513">
      <w:bodyDiv w:val="1"/>
      <w:marLeft w:val="0"/>
      <w:marRight w:val="0"/>
      <w:marTop w:val="0"/>
      <w:marBottom w:val="0"/>
      <w:divBdr>
        <w:top w:val="none" w:sz="0" w:space="0" w:color="auto"/>
        <w:left w:val="none" w:sz="0" w:space="0" w:color="auto"/>
        <w:bottom w:val="none" w:sz="0" w:space="0" w:color="auto"/>
        <w:right w:val="none" w:sz="0" w:space="0" w:color="auto"/>
      </w:divBdr>
    </w:div>
    <w:div w:id="455872879">
      <w:bodyDiv w:val="1"/>
      <w:marLeft w:val="0"/>
      <w:marRight w:val="0"/>
      <w:marTop w:val="0"/>
      <w:marBottom w:val="0"/>
      <w:divBdr>
        <w:top w:val="none" w:sz="0" w:space="0" w:color="auto"/>
        <w:left w:val="none" w:sz="0" w:space="0" w:color="auto"/>
        <w:bottom w:val="none" w:sz="0" w:space="0" w:color="auto"/>
        <w:right w:val="none" w:sz="0" w:space="0" w:color="auto"/>
      </w:divBdr>
    </w:div>
    <w:div w:id="469247804">
      <w:bodyDiv w:val="1"/>
      <w:marLeft w:val="0"/>
      <w:marRight w:val="0"/>
      <w:marTop w:val="0"/>
      <w:marBottom w:val="0"/>
      <w:divBdr>
        <w:top w:val="none" w:sz="0" w:space="0" w:color="auto"/>
        <w:left w:val="none" w:sz="0" w:space="0" w:color="auto"/>
        <w:bottom w:val="none" w:sz="0" w:space="0" w:color="auto"/>
        <w:right w:val="none" w:sz="0" w:space="0" w:color="auto"/>
      </w:divBdr>
    </w:div>
    <w:div w:id="480121524">
      <w:bodyDiv w:val="1"/>
      <w:marLeft w:val="0"/>
      <w:marRight w:val="0"/>
      <w:marTop w:val="0"/>
      <w:marBottom w:val="0"/>
      <w:divBdr>
        <w:top w:val="none" w:sz="0" w:space="0" w:color="auto"/>
        <w:left w:val="none" w:sz="0" w:space="0" w:color="auto"/>
        <w:bottom w:val="none" w:sz="0" w:space="0" w:color="auto"/>
        <w:right w:val="none" w:sz="0" w:space="0" w:color="auto"/>
      </w:divBdr>
    </w:div>
    <w:div w:id="519856597">
      <w:bodyDiv w:val="1"/>
      <w:marLeft w:val="0"/>
      <w:marRight w:val="0"/>
      <w:marTop w:val="0"/>
      <w:marBottom w:val="0"/>
      <w:divBdr>
        <w:top w:val="none" w:sz="0" w:space="0" w:color="auto"/>
        <w:left w:val="none" w:sz="0" w:space="0" w:color="auto"/>
        <w:bottom w:val="none" w:sz="0" w:space="0" w:color="auto"/>
        <w:right w:val="none" w:sz="0" w:space="0" w:color="auto"/>
      </w:divBdr>
    </w:div>
    <w:div w:id="523401684">
      <w:bodyDiv w:val="1"/>
      <w:marLeft w:val="0"/>
      <w:marRight w:val="0"/>
      <w:marTop w:val="0"/>
      <w:marBottom w:val="0"/>
      <w:divBdr>
        <w:top w:val="none" w:sz="0" w:space="0" w:color="auto"/>
        <w:left w:val="none" w:sz="0" w:space="0" w:color="auto"/>
        <w:bottom w:val="none" w:sz="0" w:space="0" w:color="auto"/>
        <w:right w:val="none" w:sz="0" w:space="0" w:color="auto"/>
      </w:divBdr>
    </w:div>
    <w:div w:id="527766837">
      <w:bodyDiv w:val="1"/>
      <w:marLeft w:val="0"/>
      <w:marRight w:val="0"/>
      <w:marTop w:val="0"/>
      <w:marBottom w:val="0"/>
      <w:divBdr>
        <w:top w:val="none" w:sz="0" w:space="0" w:color="auto"/>
        <w:left w:val="none" w:sz="0" w:space="0" w:color="auto"/>
        <w:bottom w:val="none" w:sz="0" w:space="0" w:color="auto"/>
        <w:right w:val="none" w:sz="0" w:space="0" w:color="auto"/>
      </w:divBdr>
      <w:divsChild>
        <w:div w:id="673652159">
          <w:marLeft w:val="0"/>
          <w:marRight w:val="0"/>
          <w:marTop w:val="0"/>
          <w:marBottom w:val="0"/>
          <w:divBdr>
            <w:top w:val="none" w:sz="0" w:space="0" w:color="auto"/>
            <w:left w:val="none" w:sz="0" w:space="0" w:color="auto"/>
            <w:bottom w:val="none" w:sz="0" w:space="0" w:color="auto"/>
            <w:right w:val="none" w:sz="0" w:space="0" w:color="auto"/>
          </w:divBdr>
        </w:div>
        <w:div w:id="1028145340">
          <w:marLeft w:val="0"/>
          <w:marRight w:val="0"/>
          <w:marTop w:val="0"/>
          <w:marBottom w:val="0"/>
          <w:divBdr>
            <w:top w:val="none" w:sz="0" w:space="0" w:color="auto"/>
            <w:left w:val="none" w:sz="0" w:space="0" w:color="auto"/>
            <w:bottom w:val="none" w:sz="0" w:space="0" w:color="auto"/>
            <w:right w:val="none" w:sz="0" w:space="0" w:color="auto"/>
          </w:divBdr>
        </w:div>
        <w:div w:id="2034651258">
          <w:marLeft w:val="0"/>
          <w:marRight w:val="0"/>
          <w:marTop w:val="0"/>
          <w:marBottom w:val="0"/>
          <w:divBdr>
            <w:top w:val="none" w:sz="0" w:space="0" w:color="auto"/>
            <w:left w:val="none" w:sz="0" w:space="0" w:color="auto"/>
            <w:bottom w:val="none" w:sz="0" w:space="0" w:color="auto"/>
            <w:right w:val="none" w:sz="0" w:space="0" w:color="auto"/>
          </w:divBdr>
        </w:div>
        <w:div w:id="2086609750">
          <w:marLeft w:val="0"/>
          <w:marRight w:val="0"/>
          <w:marTop w:val="0"/>
          <w:marBottom w:val="0"/>
          <w:divBdr>
            <w:top w:val="none" w:sz="0" w:space="0" w:color="auto"/>
            <w:left w:val="none" w:sz="0" w:space="0" w:color="auto"/>
            <w:bottom w:val="none" w:sz="0" w:space="0" w:color="auto"/>
            <w:right w:val="none" w:sz="0" w:space="0" w:color="auto"/>
          </w:divBdr>
        </w:div>
        <w:div w:id="604774017">
          <w:marLeft w:val="0"/>
          <w:marRight w:val="0"/>
          <w:marTop w:val="0"/>
          <w:marBottom w:val="0"/>
          <w:divBdr>
            <w:top w:val="none" w:sz="0" w:space="0" w:color="auto"/>
            <w:left w:val="none" w:sz="0" w:space="0" w:color="auto"/>
            <w:bottom w:val="none" w:sz="0" w:space="0" w:color="auto"/>
            <w:right w:val="none" w:sz="0" w:space="0" w:color="auto"/>
          </w:divBdr>
        </w:div>
        <w:div w:id="993027486">
          <w:marLeft w:val="0"/>
          <w:marRight w:val="0"/>
          <w:marTop w:val="0"/>
          <w:marBottom w:val="0"/>
          <w:divBdr>
            <w:top w:val="none" w:sz="0" w:space="0" w:color="auto"/>
            <w:left w:val="none" w:sz="0" w:space="0" w:color="auto"/>
            <w:bottom w:val="none" w:sz="0" w:space="0" w:color="auto"/>
            <w:right w:val="none" w:sz="0" w:space="0" w:color="auto"/>
          </w:divBdr>
        </w:div>
        <w:div w:id="358167521">
          <w:marLeft w:val="0"/>
          <w:marRight w:val="0"/>
          <w:marTop w:val="0"/>
          <w:marBottom w:val="0"/>
          <w:divBdr>
            <w:top w:val="none" w:sz="0" w:space="0" w:color="auto"/>
            <w:left w:val="none" w:sz="0" w:space="0" w:color="auto"/>
            <w:bottom w:val="none" w:sz="0" w:space="0" w:color="auto"/>
            <w:right w:val="none" w:sz="0" w:space="0" w:color="auto"/>
          </w:divBdr>
        </w:div>
        <w:div w:id="1215044823">
          <w:marLeft w:val="0"/>
          <w:marRight w:val="0"/>
          <w:marTop w:val="0"/>
          <w:marBottom w:val="0"/>
          <w:divBdr>
            <w:top w:val="none" w:sz="0" w:space="0" w:color="auto"/>
            <w:left w:val="none" w:sz="0" w:space="0" w:color="auto"/>
            <w:bottom w:val="none" w:sz="0" w:space="0" w:color="auto"/>
            <w:right w:val="none" w:sz="0" w:space="0" w:color="auto"/>
          </w:divBdr>
        </w:div>
        <w:div w:id="1955356467">
          <w:marLeft w:val="0"/>
          <w:marRight w:val="0"/>
          <w:marTop w:val="0"/>
          <w:marBottom w:val="0"/>
          <w:divBdr>
            <w:top w:val="none" w:sz="0" w:space="0" w:color="auto"/>
            <w:left w:val="none" w:sz="0" w:space="0" w:color="auto"/>
            <w:bottom w:val="none" w:sz="0" w:space="0" w:color="auto"/>
            <w:right w:val="none" w:sz="0" w:space="0" w:color="auto"/>
          </w:divBdr>
        </w:div>
        <w:div w:id="1592161913">
          <w:marLeft w:val="0"/>
          <w:marRight w:val="0"/>
          <w:marTop w:val="0"/>
          <w:marBottom w:val="0"/>
          <w:divBdr>
            <w:top w:val="none" w:sz="0" w:space="0" w:color="auto"/>
            <w:left w:val="none" w:sz="0" w:space="0" w:color="auto"/>
            <w:bottom w:val="none" w:sz="0" w:space="0" w:color="auto"/>
            <w:right w:val="none" w:sz="0" w:space="0" w:color="auto"/>
          </w:divBdr>
        </w:div>
        <w:div w:id="1008676902">
          <w:marLeft w:val="0"/>
          <w:marRight w:val="0"/>
          <w:marTop w:val="0"/>
          <w:marBottom w:val="0"/>
          <w:divBdr>
            <w:top w:val="none" w:sz="0" w:space="0" w:color="auto"/>
            <w:left w:val="none" w:sz="0" w:space="0" w:color="auto"/>
            <w:bottom w:val="none" w:sz="0" w:space="0" w:color="auto"/>
            <w:right w:val="none" w:sz="0" w:space="0" w:color="auto"/>
          </w:divBdr>
        </w:div>
        <w:div w:id="1013609425">
          <w:marLeft w:val="0"/>
          <w:marRight w:val="0"/>
          <w:marTop w:val="0"/>
          <w:marBottom w:val="0"/>
          <w:divBdr>
            <w:top w:val="none" w:sz="0" w:space="0" w:color="auto"/>
            <w:left w:val="none" w:sz="0" w:space="0" w:color="auto"/>
            <w:bottom w:val="none" w:sz="0" w:space="0" w:color="auto"/>
            <w:right w:val="none" w:sz="0" w:space="0" w:color="auto"/>
          </w:divBdr>
        </w:div>
        <w:div w:id="951863509">
          <w:marLeft w:val="0"/>
          <w:marRight w:val="0"/>
          <w:marTop w:val="0"/>
          <w:marBottom w:val="0"/>
          <w:divBdr>
            <w:top w:val="none" w:sz="0" w:space="0" w:color="auto"/>
            <w:left w:val="none" w:sz="0" w:space="0" w:color="auto"/>
            <w:bottom w:val="none" w:sz="0" w:space="0" w:color="auto"/>
            <w:right w:val="none" w:sz="0" w:space="0" w:color="auto"/>
          </w:divBdr>
        </w:div>
      </w:divsChild>
    </w:div>
    <w:div w:id="586160575">
      <w:bodyDiv w:val="1"/>
      <w:marLeft w:val="0"/>
      <w:marRight w:val="0"/>
      <w:marTop w:val="0"/>
      <w:marBottom w:val="0"/>
      <w:divBdr>
        <w:top w:val="none" w:sz="0" w:space="0" w:color="auto"/>
        <w:left w:val="none" w:sz="0" w:space="0" w:color="auto"/>
        <w:bottom w:val="none" w:sz="0" w:space="0" w:color="auto"/>
        <w:right w:val="none" w:sz="0" w:space="0" w:color="auto"/>
      </w:divBdr>
    </w:div>
    <w:div w:id="596640888">
      <w:bodyDiv w:val="1"/>
      <w:marLeft w:val="0"/>
      <w:marRight w:val="0"/>
      <w:marTop w:val="0"/>
      <w:marBottom w:val="0"/>
      <w:divBdr>
        <w:top w:val="none" w:sz="0" w:space="0" w:color="auto"/>
        <w:left w:val="none" w:sz="0" w:space="0" w:color="auto"/>
        <w:bottom w:val="none" w:sz="0" w:space="0" w:color="auto"/>
        <w:right w:val="none" w:sz="0" w:space="0" w:color="auto"/>
      </w:divBdr>
    </w:div>
    <w:div w:id="596868988">
      <w:bodyDiv w:val="1"/>
      <w:marLeft w:val="0"/>
      <w:marRight w:val="0"/>
      <w:marTop w:val="0"/>
      <w:marBottom w:val="0"/>
      <w:divBdr>
        <w:top w:val="none" w:sz="0" w:space="0" w:color="auto"/>
        <w:left w:val="none" w:sz="0" w:space="0" w:color="auto"/>
        <w:bottom w:val="none" w:sz="0" w:space="0" w:color="auto"/>
        <w:right w:val="none" w:sz="0" w:space="0" w:color="auto"/>
      </w:divBdr>
    </w:div>
    <w:div w:id="614138831">
      <w:bodyDiv w:val="1"/>
      <w:marLeft w:val="0"/>
      <w:marRight w:val="0"/>
      <w:marTop w:val="0"/>
      <w:marBottom w:val="0"/>
      <w:divBdr>
        <w:top w:val="none" w:sz="0" w:space="0" w:color="auto"/>
        <w:left w:val="none" w:sz="0" w:space="0" w:color="auto"/>
        <w:bottom w:val="none" w:sz="0" w:space="0" w:color="auto"/>
        <w:right w:val="none" w:sz="0" w:space="0" w:color="auto"/>
      </w:divBdr>
    </w:div>
    <w:div w:id="634021018">
      <w:bodyDiv w:val="1"/>
      <w:marLeft w:val="0"/>
      <w:marRight w:val="0"/>
      <w:marTop w:val="0"/>
      <w:marBottom w:val="0"/>
      <w:divBdr>
        <w:top w:val="none" w:sz="0" w:space="0" w:color="auto"/>
        <w:left w:val="none" w:sz="0" w:space="0" w:color="auto"/>
        <w:bottom w:val="none" w:sz="0" w:space="0" w:color="auto"/>
        <w:right w:val="none" w:sz="0" w:space="0" w:color="auto"/>
      </w:divBdr>
    </w:div>
    <w:div w:id="664673513">
      <w:bodyDiv w:val="1"/>
      <w:marLeft w:val="0"/>
      <w:marRight w:val="0"/>
      <w:marTop w:val="0"/>
      <w:marBottom w:val="0"/>
      <w:divBdr>
        <w:top w:val="none" w:sz="0" w:space="0" w:color="auto"/>
        <w:left w:val="none" w:sz="0" w:space="0" w:color="auto"/>
        <w:bottom w:val="none" w:sz="0" w:space="0" w:color="auto"/>
        <w:right w:val="none" w:sz="0" w:space="0" w:color="auto"/>
      </w:divBdr>
    </w:div>
    <w:div w:id="715663937">
      <w:bodyDiv w:val="1"/>
      <w:marLeft w:val="0"/>
      <w:marRight w:val="0"/>
      <w:marTop w:val="0"/>
      <w:marBottom w:val="0"/>
      <w:divBdr>
        <w:top w:val="none" w:sz="0" w:space="0" w:color="auto"/>
        <w:left w:val="none" w:sz="0" w:space="0" w:color="auto"/>
        <w:bottom w:val="none" w:sz="0" w:space="0" w:color="auto"/>
        <w:right w:val="none" w:sz="0" w:space="0" w:color="auto"/>
      </w:divBdr>
    </w:div>
    <w:div w:id="732239855">
      <w:bodyDiv w:val="1"/>
      <w:marLeft w:val="0"/>
      <w:marRight w:val="0"/>
      <w:marTop w:val="0"/>
      <w:marBottom w:val="0"/>
      <w:divBdr>
        <w:top w:val="none" w:sz="0" w:space="0" w:color="auto"/>
        <w:left w:val="none" w:sz="0" w:space="0" w:color="auto"/>
        <w:bottom w:val="none" w:sz="0" w:space="0" w:color="auto"/>
        <w:right w:val="none" w:sz="0" w:space="0" w:color="auto"/>
      </w:divBdr>
    </w:div>
    <w:div w:id="738678289">
      <w:bodyDiv w:val="1"/>
      <w:marLeft w:val="0"/>
      <w:marRight w:val="0"/>
      <w:marTop w:val="0"/>
      <w:marBottom w:val="0"/>
      <w:divBdr>
        <w:top w:val="none" w:sz="0" w:space="0" w:color="auto"/>
        <w:left w:val="none" w:sz="0" w:space="0" w:color="auto"/>
        <w:bottom w:val="none" w:sz="0" w:space="0" w:color="auto"/>
        <w:right w:val="none" w:sz="0" w:space="0" w:color="auto"/>
      </w:divBdr>
    </w:div>
    <w:div w:id="750127996">
      <w:bodyDiv w:val="1"/>
      <w:marLeft w:val="0"/>
      <w:marRight w:val="0"/>
      <w:marTop w:val="0"/>
      <w:marBottom w:val="0"/>
      <w:divBdr>
        <w:top w:val="none" w:sz="0" w:space="0" w:color="auto"/>
        <w:left w:val="none" w:sz="0" w:space="0" w:color="auto"/>
        <w:bottom w:val="none" w:sz="0" w:space="0" w:color="auto"/>
        <w:right w:val="none" w:sz="0" w:space="0" w:color="auto"/>
      </w:divBdr>
      <w:divsChild>
        <w:div w:id="1219704676">
          <w:marLeft w:val="0"/>
          <w:marRight w:val="0"/>
          <w:marTop w:val="0"/>
          <w:marBottom w:val="0"/>
          <w:divBdr>
            <w:top w:val="none" w:sz="0" w:space="0" w:color="auto"/>
            <w:left w:val="none" w:sz="0" w:space="0" w:color="auto"/>
            <w:bottom w:val="none" w:sz="0" w:space="0" w:color="auto"/>
            <w:right w:val="none" w:sz="0" w:space="0" w:color="auto"/>
          </w:divBdr>
          <w:divsChild>
            <w:div w:id="1261454546">
              <w:marLeft w:val="0"/>
              <w:marRight w:val="0"/>
              <w:marTop w:val="0"/>
              <w:marBottom w:val="0"/>
              <w:divBdr>
                <w:top w:val="none" w:sz="0" w:space="0" w:color="auto"/>
                <w:left w:val="none" w:sz="0" w:space="0" w:color="auto"/>
                <w:bottom w:val="none" w:sz="0" w:space="0" w:color="auto"/>
                <w:right w:val="none" w:sz="0" w:space="0" w:color="auto"/>
              </w:divBdr>
              <w:divsChild>
                <w:div w:id="152260439">
                  <w:marLeft w:val="0"/>
                  <w:marRight w:val="0"/>
                  <w:marTop w:val="0"/>
                  <w:marBottom w:val="0"/>
                  <w:divBdr>
                    <w:top w:val="none" w:sz="0" w:space="0" w:color="auto"/>
                    <w:left w:val="none" w:sz="0" w:space="0" w:color="auto"/>
                    <w:bottom w:val="none" w:sz="0" w:space="0" w:color="auto"/>
                    <w:right w:val="none" w:sz="0" w:space="0" w:color="auto"/>
                  </w:divBdr>
                  <w:divsChild>
                    <w:div w:id="277831837">
                      <w:marLeft w:val="0"/>
                      <w:marRight w:val="0"/>
                      <w:marTop w:val="0"/>
                      <w:marBottom w:val="0"/>
                      <w:divBdr>
                        <w:top w:val="none" w:sz="0" w:space="0" w:color="auto"/>
                        <w:left w:val="none" w:sz="0" w:space="0" w:color="auto"/>
                        <w:bottom w:val="none" w:sz="0" w:space="0" w:color="auto"/>
                        <w:right w:val="none" w:sz="0" w:space="0" w:color="auto"/>
                      </w:divBdr>
                      <w:divsChild>
                        <w:div w:id="234095520">
                          <w:marLeft w:val="0"/>
                          <w:marRight w:val="0"/>
                          <w:marTop w:val="0"/>
                          <w:marBottom w:val="0"/>
                          <w:divBdr>
                            <w:top w:val="none" w:sz="0" w:space="0" w:color="auto"/>
                            <w:left w:val="none" w:sz="0" w:space="0" w:color="auto"/>
                            <w:bottom w:val="none" w:sz="0" w:space="0" w:color="auto"/>
                            <w:right w:val="none" w:sz="0" w:space="0" w:color="auto"/>
                          </w:divBdr>
                          <w:divsChild>
                            <w:div w:id="1318261196">
                              <w:marLeft w:val="0"/>
                              <w:marRight w:val="0"/>
                              <w:marTop w:val="0"/>
                              <w:marBottom w:val="0"/>
                              <w:divBdr>
                                <w:top w:val="none" w:sz="0" w:space="0" w:color="auto"/>
                                <w:left w:val="none" w:sz="0" w:space="0" w:color="auto"/>
                                <w:bottom w:val="none" w:sz="0" w:space="0" w:color="auto"/>
                                <w:right w:val="none" w:sz="0" w:space="0" w:color="auto"/>
                              </w:divBdr>
                            </w:div>
                            <w:div w:id="1048338510">
                              <w:marLeft w:val="0"/>
                              <w:marRight w:val="0"/>
                              <w:marTop w:val="0"/>
                              <w:marBottom w:val="0"/>
                              <w:divBdr>
                                <w:top w:val="none" w:sz="0" w:space="0" w:color="auto"/>
                                <w:left w:val="none" w:sz="0" w:space="0" w:color="auto"/>
                                <w:bottom w:val="none" w:sz="0" w:space="0" w:color="auto"/>
                                <w:right w:val="none" w:sz="0" w:space="0" w:color="auto"/>
                              </w:divBdr>
                            </w:div>
                            <w:div w:id="1059784304">
                              <w:marLeft w:val="0"/>
                              <w:marRight w:val="0"/>
                              <w:marTop w:val="0"/>
                              <w:marBottom w:val="0"/>
                              <w:divBdr>
                                <w:top w:val="none" w:sz="0" w:space="0" w:color="auto"/>
                                <w:left w:val="none" w:sz="0" w:space="0" w:color="auto"/>
                                <w:bottom w:val="none" w:sz="0" w:space="0" w:color="auto"/>
                                <w:right w:val="none" w:sz="0" w:space="0" w:color="auto"/>
                              </w:divBdr>
                            </w:div>
                            <w:div w:id="31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9696">
      <w:bodyDiv w:val="1"/>
      <w:marLeft w:val="0"/>
      <w:marRight w:val="0"/>
      <w:marTop w:val="0"/>
      <w:marBottom w:val="0"/>
      <w:divBdr>
        <w:top w:val="none" w:sz="0" w:space="0" w:color="auto"/>
        <w:left w:val="none" w:sz="0" w:space="0" w:color="auto"/>
        <w:bottom w:val="none" w:sz="0" w:space="0" w:color="auto"/>
        <w:right w:val="none" w:sz="0" w:space="0" w:color="auto"/>
      </w:divBdr>
    </w:div>
    <w:div w:id="807011601">
      <w:bodyDiv w:val="1"/>
      <w:marLeft w:val="0"/>
      <w:marRight w:val="0"/>
      <w:marTop w:val="0"/>
      <w:marBottom w:val="0"/>
      <w:divBdr>
        <w:top w:val="none" w:sz="0" w:space="0" w:color="auto"/>
        <w:left w:val="none" w:sz="0" w:space="0" w:color="auto"/>
        <w:bottom w:val="none" w:sz="0" w:space="0" w:color="auto"/>
        <w:right w:val="none" w:sz="0" w:space="0" w:color="auto"/>
      </w:divBdr>
    </w:div>
    <w:div w:id="859514085">
      <w:bodyDiv w:val="1"/>
      <w:marLeft w:val="0"/>
      <w:marRight w:val="0"/>
      <w:marTop w:val="0"/>
      <w:marBottom w:val="0"/>
      <w:divBdr>
        <w:top w:val="none" w:sz="0" w:space="0" w:color="auto"/>
        <w:left w:val="none" w:sz="0" w:space="0" w:color="auto"/>
        <w:bottom w:val="none" w:sz="0" w:space="0" w:color="auto"/>
        <w:right w:val="none" w:sz="0" w:space="0" w:color="auto"/>
      </w:divBdr>
    </w:div>
    <w:div w:id="863978071">
      <w:bodyDiv w:val="1"/>
      <w:marLeft w:val="0"/>
      <w:marRight w:val="0"/>
      <w:marTop w:val="0"/>
      <w:marBottom w:val="0"/>
      <w:divBdr>
        <w:top w:val="none" w:sz="0" w:space="0" w:color="auto"/>
        <w:left w:val="none" w:sz="0" w:space="0" w:color="auto"/>
        <w:bottom w:val="none" w:sz="0" w:space="0" w:color="auto"/>
        <w:right w:val="none" w:sz="0" w:space="0" w:color="auto"/>
      </w:divBdr>
    </w:div>
    <w:div w:id="881746287">
      <w:bodyDiv w:val="1"/>
      <w:marLeft w:val="0"/>
      <w:marRight w:val="0"/>
      <w:marTop w:val="0"/>
      <w:marBottom w:val="0"/>
      <w:divBdr>
        <w:top w:val="none" w:sz="0" w:space="0" w:color="auto"/>
        <w:left w:val="none" w:sz="0" w:space="0" w:color="auto"/>
        <w:bottom w:val="none" w:sz="0" w:space="0" w:color="auto"/>
        <w:right w:val="none" w:sz="0" w:space="0" w:color="auto"/>
      </w:divBdr>
    </w:div>
    <w:div w:id="893198039">
      <w:bodyDiv w:val="1"/>
      <w:marLeft w:val="0"/>
      <w:marRight w:val="0"/>
      <w:marTop w:val="0"/>
      <w:marBottom w:val="0"/>
      <w:divBdr>
        <w:top w:val="none" w:sz="0" w:space="0" w:color="auto"/>
        <w:left w:val="none" w:sz="0" w:space="0" w:color="auto"/>
        <w:bottom w:val="none" w:sz="0" w:space="0" w:color="auto"/>
        <w:right w:val="none" w:sz="0" w:space="0" w:color="auto"/>
      </w:divBdr>
    </w:div>
    <w:div w:id="925924586">
      <w:bodyDiv w:val="1"/>
      <w:marLeft w:val="0"/>
      <w:marRight w:val="0"/>
      <w:marTop w:val="0"/>
      <w:marBottom w:val="0"/>
      <w:divBdr>
        <w:top w:val="none" w:sz="0" w:space="0" w:color="auto"/>
        <w:left w:val="none" w:sz="0" w:space="0" w:color="auto"/>
        <w:bottom w:val="none" w:sz="0" w:space="0" w:color="auto"/>
        <w:right w:val="none" w:sz="0" w:space="0" w:color="auto"/>
      </w:divBdr>
    </w:div>
    <w:div w:id="955019570">
      <w:bodyDiv w:val="1"/>
      <w:marLeft w:val="0"/>
      <w:marRight w:val="0"/>
      <w:marTop w:val="0"/>
      <w:marBottom w:val="0"/>
      <w:divBdr>
        <w:top w:val="none" w:sz="0" w:space="0" w:color="auto"/>
        <w:left w:val="none" w:sz="0" w:space="0" w:color="auto"/>
        <w:bottom w:val="none" w:sz="0" w:space="0" w:color="auto"/>
        <w:right w:val="none" w:sz="0" w:space="0" w:color="auto"/>
      </w:divBdr>
    </w:div>
    <w:div w:id="1025866327">
      <w:bodyDiv w:val="1"/>
      <w:marLeft w:val="0"/>
      <w:marRight w:val="0"/>
      <w:marTop w:val="0"/>
      <w:marBottom w:val="0"/>
      <w:divBdr>
        <w:top w:val="none" w:sz="0" w:space="0" w:color="auto"/>
        <w:left w:val="none" w:sz="0" w:space="0" w:color="auto"/>
        <w:bottom w:val="none" w:sz="0" w:space="0" w:color="auto"/>
        <w:right w:val="none" w:sz="0" w:space="0" w:color="auto"/>
      </w:divBdr>
    </w:div>
    <w:div w:id="1085223917">
      <w:bodyDiv w:val="1"/>
      <w:marLeft w:val="0"/>
      <w:marRight w:val="0"/>
      <w:marTop w:val="0"/>
      <w:marBottom w:val="0"/>
      <w:divBdr>
        <w:top w:val="none" w:sz="0" w:space="0" w:color="auto"/>
        <w:left w:val="none" w:sz="0" w:space="0" w:color="auto"/>
        <w:bottom w:val="none" w:sz="0" w:space="0" w:color="auto"/>
        <w:right w:val="none" w:sz="0" w:space="0" w:color="auto"/>
      </w:divBdr>
    </w:div>
    <w:div w:id="1086610618">
      <w:bodyDiv w:val="1"/>
      <w:marLeft w:val="0"/>
      <w:marRight w:val="0"/>
      <w:marTop w:val="0"/>
      <w:marBottom w:val="0"/>
      <w:divBdr>
        <w:top w:val="none" w:sz="0" w:space="0" w:color="auto"/>
        <w:left w:val="none" w:sz="0" w:space="0" w:color="auto"/>
        <w:bottom w:val="none" w:sz="0" w:space="0" w:color="auto"/>
        <w:right w:val="none" w:sz="0" w:space="0" w:color="auto"/>
      </w:divBdr>
    </w:div>
    <w:div w:id="1164009496">
      <w:bodyDiv w:val="1"/>
      <w:marLeft w:val="0"/>
      <w:marRight w:val="0"/>
      <w:marTop w:val="0"/>
      <w:marBottom w:val="0"/>
      <w:divBdr>
        <w:top w:val="none" w:sz="0" w:space="0" w:color="auto"/>
        <w:left w:val="none" w:sz="0" w:space="0" w:color="auto"/>
        <w:bottom w:val="none" w:sz="0" w:space="0" w:color="auto"/>
        <w:right w:val="none" w:sz="0" w:space="0" w:color="auto"/>
      </w:divBdr>
    </w:div>
    <w:div w:id="1182084587">
      <w:bodyDiv w:val="1"/>
      <w:marLeft w:val="0"/>
      <w:marRight w:val="0"/>
      <w:marTop w:val="0"/>
      <w:marBottom w:val="0"/>
      <w:divBdr>
        <w:top w:val="none" w:sz="0" w:space="0" w:color="auto"/>
        <w:left w:val="none" w:sz="0" w:space="0" w:color="auto"/>
        <w:bottom w:val="none" w:sz="0" w:space="0" w:color="auto"/>
        <w:right w:val="none" w:sz="0" w:space="0" w:color="auto"/>
      </w:divBdr>
    </w:div>
    <w:div w:id="1196113977">
      <w:bodyDiv w:val="1"/>
      <w:marLeft w:val="0"/>
      <w:marRight w:val="0"/>
      <w:marTop w:val="0"/>
      <w:marBottom w:val="0"/>
      <w:divBdr>
        <w:top w:val="none" w:sz="0" w:space="0" w:color="auto"/>
        <w:left w:val="none" w:sz="0" w:space="0" w:color="auto"/>
        <w:bottom w:val="none" w:sz="0" w:space="0" w:color="auto"/>
        <w:right w:val="none" w:sz="0" w:space="0" w:color="auto"/>
      </w:divBdr>
    </w:div>
    <w:div w:id="1214149948">
      <w:bodyDiv w:val="1"/>
      <w:marLeft w:val="0"/>
      <w:marRight w:val="0"/>
      <w:marTop w:val="0"/>
      <w:marBottom w:val="0"/>
      <w:divBdr>
        <w:top w:val="none" w:sz="0" w:space="0" w:color="auto"/>
        <w:left w:val="none" w:sz="0" w:space="0" w:color="auto"/>
        <w:bottom w:val="none" w:sz="0" w:space="0" w:color="auto"/>
        <w:right w:val="none" w:sz="0" w:space="0" w:color="auto"/>
      </w:divBdr>
    </w:div>
    <w:div w:id="1230652068">
      <w:bodyDiv w:val="1"/>
      <w:marLeft w:val="0"/>
      <w:marRight w:val="0"/>
      <w:marTop w:val="0"/>
      <w:marBottom w:val="0"/>
      <w:divBdr>
        <w:top w:val="none" w:sz="0" w:space="0" w:color="auto"/>
        <w:left w:val="none" w:sz="0" w:space="0" w:color="auto"/>
        <w:bottom w:val="none" w:sz="0" w:space="0" w:color="auto"/>
        <w:right w:val="none" w:sz="0" w:space="0" w:color="auto"/>
      </w:divBdr>
    </w:div>
    <w:div w:id="1246691521">
      <w:bodyDiv w:val="1"/>
      <w:marLeft w:val="0"/>
      <w:marRight w:val="0"/>
      <w:marTop w:val="0"/>
      <w:marBottom w:val="0"/>
      <w:divBdr>
        <w:top w:val="none" w:sz="0" w:space="0" w:color="auto"/>
        <w:left w:val="none" w:sz="0" w:space="0" w:color="auto"/>
        <w:bottom w:val="none" w:sz="0" w:space="0" w:color="auto"/>
        <w:right w:val="none" w:sz="0" w:space="0" w:color="auto"/>
      </w:divBdr>
    </w:div>
    <w:div w:id="1256355742">
      <w:bodyDiv w:val="1"/>
      <w:marLeft w:val="0"/>
      <w:marRight w:val="0"/>
      <w:marTop w:val="0"/>
      <w:marBottom w:val="0"/>
      <w:divBdr>
        <w:top w:val="none" w:sz="0" w:space="0" w:color="auto"/>
        <w:left w:val="none" w:sz="0" w:space="0" w:color="auto"/>
        <w:bottom w:val="none" w:sz="0" w:space="0" w:color="auto"/>
        <w:right w:val="none" w:sz="0" w:space="0" w:color="auto"/>
      </w:divBdr>
    </w:div>
    <w:div w:id="1302728659">
      <w:bodyDiv w:val="1"/>
      <w:marLeft w:val="0"/>
      <w:marRight w:val="0"/>
      <w:marTop w:val="0"/>
      <w:marBottom w:val="0"/>
      <w:divBdr>
        <w:top w:val="none" w:sz="0" w:space="0" w:color="auto"/>
        <w:left w:val="none" w:sz="0" w:space="0" w:color="auto"/>
        <w:bottom w:val="none" w:sz="0" w:space="0" w:color="auto"/>
        <w:right w:val="none" w:sz="0" w:space="0" w:color="auto"/>
      </w:divBdr>
    </w:div>
    <w:div w:id="1317684883">
      <w:bodyDiv w:val="1"/>
      <w:marLeft w:val="0"/>
      <w:marRight w:val="0"/>
      <w:marTop w:val="0"/>
      <w:marBottom w:val="0"/>
      <w:divBdr>
        <w:top w:val="none" w:sz="0" w:space="0" w:color="auto"/>
        <w:left w:val="none" w:sz="0" w:space="0" w:color="auto"/>
        <w:bottom w:val="none" w:sz="0" w:space="0" w:color="auto"/>
        <w:right w:val="none" w:sz="0" w:space="0" w:color="auto"/>
      </w:divBdr>
    </w:div>
    <w:div w:id="1373458902">
      <w:bodyDiv w:val="1"/>
      <w:marLeft w:val="0"/>
      <w:marRight w:val="0"/>
      <w:marTop w:val="0"/>
      <w:marBottom w:val="0"/>
      <w:divBdr>
        <w:top w:val="none" w:sz="0" w:space="0" w:color="auto"/>
        <w:left w:val="none" w:sz="0" w:space="0" w:color="auto"/>
        <w:bottom w:val="none" w:sz="0" w:space="0" w:color="auto"/>
        <w:right w:val="none" w:sz="0" w:space="0" w:color="auto"/>
      </w:divBdr>
    </w:div>
    <w:div w:id="1375422615">
      <w:bodyDiv w:val="1"/>
      <w:marLeft w:val="0"/>
      <w:marRight w:val="0"/>
      <w:marTop w:val="0"/>
      <w:marBottom w:val="0"/>
      <w:divBdr>
        <w:top w:val="none" w:sz="0" w:space="0" w:color="auto"/>
        <w:left w:val="none" w:sz="0" w:space="0" w:color="auto"/>
        <w:bottom w:val="none" w:sz="0" w:space="0" w:color="auto"/>
        <w:right w:val="none" w:sz="0" w:space="0" w:color="auto"/>
      </w:divBdr>
    </w:div>
    <w:div w:id="1383559987">
      <w:bodyDiv w:val="1"/>
      <w:marLeft w:val="0"/>
      <w:marRight w:val="0"/>
      <w:marTop w:val="0"/>
      <w:marBottom w:val="0"/>
      <w:divBdr>
        <w:top w:val="none" w:sz="0" w:space="0" w:color="auto"/>
        <w:left w:val="none" w:sz="0" w:space="0" w:color="auto"/>
        <w:bottom w:val="none" w:sz="0" w:space="0" w:color="auto"/>
        <w:right w:val="none" w:sz="0" w:space="0" w:color="auto"/>
      </w:divBdr>
    </w:div>
    <w:div w:id="1441602560">
      <w:bodyDiv w:val="1"/>
      <w:marLeft w:val="0"/>
      <w:marRight w:val="0"/>
      <w:marTop w:val="0"/>
      <w:marBottom w:val="0"/>
      <w:divBdr>
        <w:top w:val="none" w:sz="0" w:space="0" w:color="auto"/>
        <w:left w:val="none" w:sz="0" w:space="0" w:color="auto"/>
        <w:bottom w:val="none" w:sz="0" w:space="0" w:color="auto"/>
        <w:right w:val="none" w:sz="0" w:space="0" w:color="auto"/>
      </w:divBdr>
    </w:div>
    <w:div w:id="1445272223">
      <w:bodyDiv w:val="1"/>
      <w:marLeft w:val="0"/>
      <w:marRight w:val="0"/>
      <w:marTop w:val="0"/>
      <w:marBottom w:val="0"/>
      <w:divBdr>
        <w:top w:val="none" w:sz="0" w:space="0" w:color="auto"/>
        <w:left w:val="none" w:sz="0" w:space="0" w:color="auto"/>
        <w:bottom w:val="none" w:sz="0" w:space="0" w:color="auto"/>
        <w:right w:val="none" w:sz="0" w:space="0" w:color="auto"/>
      </w:divBdr>
    </w:div>
    <w:div w:id="1457484103">
      <w:bodyDiv w:val="1"/>
      <w:marLeft w:val="0"/>
      <w:marRight w:val="0"/>
      <w:marTop w:val="0"/>
      <w:marBottom w:val="0"/>
      <w:divBdr>
        <w:top w:val="none" w:sz="0" w:space="0" w:color="auto"/>
        <w:left w:val="none" w:sz="0" w:space="0" w:color="auto"/>
        <w:bottom w:val="none" w:sz="0" w:space="0" w:color="auto"/>
        <w:right w:val="none" w:sz="0" w:space="0" w:color="auto"/>
      </w:divBdr>
    </w:div>
    <w:div w:id="1469083135">
      <w:bodyDiv w:val="1"/>
      <w:marLeft w:val="0"/>
      <w:marRight w:val="0"/>
      <w:marTop w:val="0"/>
      <w:marBottom w:val="0"/>
      <w:divBdr>
        <w:top w:val="none" w:sz="0" w:space="0" w:color="auto"/>
        <w:left w:val="none" w:sz="0" w:space="0" w:color="auto"/>
        <w:bottom w:val="none" w:sz="0" w:space="0" w:color="auto"/>
        <w:right w:val="none" w:sz="0" w:space="0" w:color="auto"/>
      </w:divBdr>
    </w:div>
    <w:div w:id="1509520673">
      <w:bodyDiv w:val="1"/>
      <w:marLeft w:val="0"/>
      <w:marRight w:val="0"/>
      <w:marTop w:val="0"/>
      <w:marBottom w:val="0"/>
      <w:divBdr>
        <w:top w:val="none" w:sz="0" w:space="0" w:color="auto"/>
        <w:left w:val="none" w:sz="0" w:space="0" w:color="auto"/>
        <w:bottom w:val="none" w:sz="0" w:space="0" w:color="auto"/>
        <w:right w:val="none" w:sz="0" w:space="0" w:color="auto"/>
      </w:divBdr>
    </w:div>
    <w:div w:id="1515343999">
      <w:bodyDiv w:val="1"/>
      <w:marLeft w:val="0"/>
      <w:marRight w:val="0"/>
      <w:marTop w:val="0"/>
      <w:marBottom w:val="0"/>
      <w:divBdr>
        <w:top w:val="none" w:sz="0" w:space="0" w:color="auto"/>
        <w:left w:val="none" w:sz="0" w:space="0" w:color="auto"/>
        <w:bottom w:val="none" w:sz="0" w:space="0" w:color="auto"/>
        <w:right w:val="none" w:sz="0" w:space="0" w:color="auto"/>
      </w:divBdr>
    </w:div>
    <w:div w:id="1553497375">
      <w:bodyDiv w:val="1"/>
      <w:marLeft w:val="0"/>
      <w:marRight w:val="0"/>
      <w:marTop w:val="0"/>
      <w:marBottom w:val="0"/>
      <w:divBdr>
        <w:top w:val="none" w:sz="0" w:space="0" w:color="auto"/>
        <w:left w:val="none" w:sz="0" w:space="0" w:color="auto"/>
        <w:bottom w:val="none" w:sz="0" w:space="0" w:color="auto"/>
        <w:right w:val="none" w:sz="0" w:space="0" w:color="auto"/>
      </w:divBdr>
    </w:div>
    <w:div w:id="1565799545">
      <w:bodyDiv w:val="1"/>
      <w:marLeft w:val="0"/>
      <w:marRight w:val="0"/>
      <w:marTop w:val="0"/>
      <w:marBottom w:val="0"/>
      <w:divBdr>
        <w:top w:val="none" w:sz="0" w:space="0" w:color="auto"/>
        <w:left w:val="none" w:sz="0" w:space="0" w:color="auto"/>
        <w:bottom w:val="none" w:sz="0" w:space="0" w:color="auto"/>
        <w:right w:val="none" w:sz="0" w:space="0" w:color="auto"/>
      </w:divBdr>
    </w:div>
    <w:div w:id="1579442517">
      <w:bodyDiv w:val="1"/>
      <w:marLeft w:val="0"/>
      <w:marRight w:val="0"/>
      <w:marTop w:val="0"/>
      <w:marBottom w:val="0"/>
      <w:divBdr>
        <w:top w:val="none" w:sz="0" w:space="0" w:color="auto"/>
        <w:left w:val="none" w:sz="0" w:space="0" w:color="auto"/>
        <w:bottom w:val="none" w:sz="0" w:space="0" w:color="auto"/>
        <w:right w:val="none" w:sz="0" w:space="0" w:color="auto"/>
      </w:divBdr>
    </w:div>
    <w:div w:id="1640454836">
      <w:bodyDiv w:val="1"/>
      <w:marLeft w:val="0"/>
      <w:marRight w:val="0"/>
      <w:marTop w:val="0"/>
      <w:marBottom w:val="0"/>
      <w:divBdr>
        <w:top w:val="none" w:sz="0" w:space="0" w:color="auto"/>
        <w:left w:val="none" w:sz="0" w:space="0" w:color="auto"/>
        <w:bottom w:val="none" w:sz="0" w:space="0" w:color="auto"/>
        <w:right w:val="none" w:sz="0" w:space="0" w:color="auto"/>
      </w:divBdr>
    </w:div>
    <w:div w:id="1644383639">
      <w:bodyDiv w:val="1"/>
      <w:marLeft w:val="0"/>
      <w:marRight w:val="0"/>
      <w:marTop w:val="0"/>
      <w:marBottom w:val="0"/>
      <w:divBdr>
        <w:top w:val="none" w:sz="0" w:space="0" w:color="auto"/>
        <w:left w:val="none" w:sz="0" w:space="0" w:color="auto"/>
        <w:bottom w:val="none" w:sz="0" w:space="0" w:color="auto"/>
        <w:right w:val="none" w:sz="0" w:space="0" w:color="auto"/>
      </w:divBdr>
      <w:divsChild>
        <w:div w:id="165413082">
          <w:marLeft w:val="0"/>
          <w:marRight w:val="0"/>
          <w:marTop w:val="0"/>
          <w:marBottom w:val="0"/>
          <w:divBdr>
            <w:top w:val="none" w:sz="0" w:space="0" w:color="auto"/>
            <w:left w:val="none" w:sz="0" w:space="0" w:color="auto"/>
            <w:bottom w:val="none" w:sz="0" w:space="0" w:color="auto"/>
            <w:right w:val="none" w:sz="0" w:space="0" w:color="auto"/>
          </w:divBdr>
        </w:div>
        <w:div w:id="608661161">
          <w:marLeft w:val="0"/>
          <w:marRight w:val="0"/>
          <w:marTop w:val="0"/>
          <w:marBottom w:val="0"/>
          <w:divBdr>
            <w:top w:val="none" w:sz="0" w:space="0" w:color="auto"/>
            <w:left w:val="none" w:sz="0" w:space="0" w:color="auto"/>
            <w:bottom w:val="none" w:sz="0" w:space="0" w:color="auto"/>
            <w:right w:val="none" w:sz="0" w:space="0" w:color="auto"/>
          </w:divBdr>
        </w:div>
        <w:div w:id="1599363333">
          <w:marLeft w:val="0"/>
          <w:marRight w:val="0"/>
          <w:marTop w:val="0"/>
          <w:marBottom w:val="0"/>
          <w:divBdr>
            <w:top w:val="none" w:sz="0" w:space="0" w:color="auto"/>
            <w:left w:val="none" w:sz="0" w:space="0" w:color="auto"/>
            <w:bottom w:val="none" w:sz="0" w:space="0" w:color="auto"/>
            <w:right w:val="none" w:sz="0" w:space="0" w:color="auto"/>
          </w:divBdr>
        </w:div>
        <w:div w:id="1021589944">
          <w:marLeft w:val="0"/>
          <w:marRight w:val="0"/>
          <w:marTop w:val="0"/>
          <w:marBottom w:val="0"/>
          <w:divBdr>
            <w:top w:val="none" w:sz="0" w:space="0" w:color="auto"/>
            <w:left w:val="none" w:sz="0" w:space="0" w:color="auto"/>
            <w:bottom w:val="none" w:sz="0" w:space="0" w:color="auto"/>
            <w:right w:val="none" w:sz="0" w:space="0" w:color="auto"/>
          </w:divBdr>
        </w:div>
      </w:divsChild>
    </w:div>
    <w:div w:id="1699550289">
      <w:bodyDiv w:val="1"/>
      <w:marLeft w:val="0"/>
      <w:marRight w:val="0"/>
      <w:marTop w:val="0"/>
      <w:marBottom w:val="0"/>
      <w:divBdr>
        <w:top w:val="none" w:sz="0" w:space="0" w:color="auto"/>
        <w:left w:val="none" w:sz="0" w:space="0" w:color="auto"/>
        <w:bottom w:val="none" w:sz="0" w:space="0" w:color="auto"/>
        <w:right w:val="none" w:sz="0" w:space="0" w:color="auto"/>
      </w:divBdr>
    </w:div>
    <w:div w:id="1715694331">
      <w:bodyDiv w:val="1"/>
      <w:marLeft w:val="0"/>
      <w:marRight w:val="0"/>
      <w:marTop w:val="0"/>
      <w:marBottom w:val="0"/>
      <w:divBdr>
        <w:top w:val="none" w:sz="0" w:space="0" w:color="auto"/>
        <w:left w:val="none" w:sz="0" w:space="0" w:color="auto"/>
        <w:bottom w:val="none" w:sz="0" w:space="0" w:color="auto"/>
        <w:right w:val="none" w:sz="0" w:space="0" w:color="auto"/>
      </w:divBdr>
    </w:div>
    <w:div w:id="1739088521">
      <w:bodyDiv w:val="1"/>
      <w:marLeft w:val="0"/>
      <w:marRight w:val="0"/>
      <w:marTop w:val="0"/>
      <w:marBottom w:val="0"/>
      <w:divBdr>
        <w:top w:val="none" w:sz="0" w:space="0" w:color="auto"/>
        <w:left w:val="none" w:sz="0" w:space="0" w:color="auto"/>
        <w:bottom w:val="none" w:sz="0" w:space="0" w:color="auto"/>
        <w:right w:val="none" w:sz="0" w:space="0" w:color="auto"/>
      </w:divBdr>
    </w:div>
    <w:div w:id="1753433266">
      <w:bodyDiv w:val="1"/>
      <w:marLeft w:val="0"/>
      <w:marRight w:val="0"/>
      <w:marTop w:val="0"/>
      <w:marBottom w:val="0"/>
      <w:divBdr>
        <w:top w:val="none" w:sz="0" w:space="0" w:color="auto"/>
        <w:left w:val="none" w:sz="0" w:space="0" w:color="auto"/>
        <w:bottom w:val="none" w:sz="0" w:space="0" w:color="auto"/>
        <w:right w:val="none" w:sz="0" w:space="0" w:color="auto"/>
      </w:divBdr>
    </w:div>
    <w:div w:id="1763067823">
      <w:bodyDiv w:val="1"/>
      <w:marLeft w:val="0"/>
      <w:marRight w:val="0"/>
      <w:marTop w:val="0"/>
      <w:marBottom w:val="0"/>
      <w:divBdr>
        <w:top w:val="none" w:sz="0" w:space="0" w:color="auto"/>
        <w:left w:val="none" w:sz="0" w:space="0" w:color="auto"/>
        <w:bottom w:val="none" w:sz="0" w:space="0" w:color="auto"/>
        <w:right w:val="none" w:sz="0" w:space="0" w:color="auto"/>
      </w:divBdr>
    </w:div>
    <w:div w:id="1773470440">
      <w:bodyDiv w:val="1"/>
      <w:marLeft w:val="0"/>
      <w:marRight w:val="0"/>
      <w:marTop w:val="0"/>
      <w:marBottom w:val="0"/>
      <w:divBdr>
        <w:top w:val="none" w:sz="0" w:space="0" w:color="auto"/>
        <w:left w:val="none" w:sz="0" w:space="0" w:color="auto"/>
        <w:bottom w:val="none" w:sz="0" w:space="0" w:color="auto"/>
        <w:right w:val="none" w:sz="0" w:space="0" w:color="auto"/>
      </w:divBdr>
    </w:div>
    <w:div w:id="1789659972">
      <w:bodyDiv w:val="1"/>
      <w:marLeft w:val="0"/>
      <w:marRight w:val="0"/>
      <w:marTop w:val="0"/>
      <w:marBottom w:val="0"/>
      <w:divBdr>
        <w:top w:val="none" w:sz="0" w:space="0" w:color="auto"/>
        <w:left w:val="none" w:sz="0" w:space="0" w:color="auto"/>
        <w:bottom w:val="none" w:sz="0" w:space="0" w:color="auto"/>
        <w:right w:val="none" w:sz="0" w:space="0" w:color="auto"/>
      </w:divBdr>
    </w:div>
    <w:div w:id="1806774192">
      <w:bodyDiv w:val="1"/>
      <w:marLeft w:val="0"/>
      <w:marRight w:val="0"/>
      <w:marTop w:val="0"/>
      <w:marBottom w:val="0"/>
      <w:divBdr>
        <w:top w:val="none" w:sz="0" w:space="0" w:color="auto"/>
        <w:left w:val="none" w:sz="0" w:space="0" w:color="auto"/>
        <w:bottom w:val="none" w:sz="0" w:space="0" w:color="auto"/>
        <w:right w:val="none" w:sz="0" w:space="0" w:color="auto"/>
      </w:divBdr>
    </w:div>
    <w:div w:id="1824353816">
      <w:bodyDiv w:val="1"/>
      <w:marLeft w:val="0"/>
      <w:marRight w:val="0"/>
      <w:marTop w:val="0"/>
      <w:marBottom w:val="0"/>
      <w:divBdr>
        <w:top w:val="none" w:sz="0" w:space="0" w:color="auto"/>
        <w:left w:val="none" w:sz="0" w:space="0" w:color="auto"/>
        <w:bottom w:val="none" w:sz="0" w:space="0" w:color="auto"/>
        <w:right w:val="none" w:sz="0" w:space="0" w:color="auto"/>
      </w:divBdr>
    </w:div>
    <w:div w:id="1844398484">
      <w:bodyDiv w:val="1"/>
      <w:marLeft w:val="0"/>
      <w:marRight w:val="0"/>
      <w:marTop w:val="0"/>
      <w:marBottom w:val="0"/>
      <w:divBdr>
        <w:top w:val="none" w:sz="0" w:space="0" w:color="auto"/>
        <w:left w:val="none" w:sz="0" w:space="0" w:color="auto"/>
        <w:bottom w:val="none" w:sz="0" w:space="0" w:color="auto"/>
        <w:right w:val="none" w:sz="0" w:space="0" w:color="auto"/>
      </w:divBdr>
    </w:div>
    <w:div w:id="1889878107">
      <w:bodyDiv w:val="1"/>
      <w:marLeft w:val="0"/>
      <w:marRight w:val="0"/>
      <w:marTop w:val="0"/>
      <w:marBottom w:val="0"/>
      <w:divBdr>
        <w:top w:val="none" w:sz="0" w:space="0" w:color="auto"/>
        <w:left w:val="none" w:sz="0" w:space="0" w:color="auto"/>
        <w:bottom w:val="none" w:sz="0" w:space="0" w:color="auto"/>
        <w:right w:val="none" w:sz="0" w:space="0" w:color="auto"/>
      </w:divBdr>
    </w:div>
    <w:div w:id="1894196267">
      <w:bodyDiv w:val="1"/>
      <w:marLeft w:val="0"/>
      <w:marRight w:val="0"/>
      <w:marTop w:val="0"/>
      <w:marBottom w:val="0"/>
      <w:divBdr>
        <w:top w:val="none" w:sz="0" w:space="0" w:color="auto"/>
        <w:left w:val="none" w:sz="0" w:space="0" w:color="auto"/>
        <w:bottom w:val="none" w:sz="0" w:space="0" w:color="auto"/>
        <w:right w:val="none" w:sz="0" w:space="0" w:color="auto"/>
      </w:divBdr>
    </w:div>
    <w:div w:id="1940025163">
      <w:bodyDiv w:val="1"/>
      <w:marLeft w:val="0"/>
      <w:marRight w:val="0"/>
      <w:marTop w:val="0"/>
      <w:marBottom w:val="0"/>
      <w:divBdr>
        <w:top w:val="none" w:sz="0" w:space="0" w:color="auto"/>
        <w:left w:val="none" w:sz="0" w:space="0" w:color="auto"/>
        <w:bottom w:val="none" w:sz="0" w:space="0" w:color="auto"/>
        <w:right w:val="none" w:sz="0" w:space="0" w:color="auto"/>
      </w:divBdr>
    </w:div>
    <w:div w:id="1976324477">
      <w:bodyDiv w:val="1"/>
      <w:marLeft w:val="0"/>
      <w:marRight w:val="0"/>
      <w:marTop w:val="0"/>
      <w:marBottom w:val="0"/>
      <w:divBdr>
        <w:top w:val="none" w:sz="0" w:space="0" w:color="auto"/>
        <w:left w:val="none" w:sz="0" w:space="0" w:color="auto"/>
        <w:bottom w:val="none" w:sz="0" w:space="0" w:color="auto"/>
        <w:right w:val="none" w:sz="0" w:space="0" w:color="auto"/>
      </w:divBdr>
      <w:divsChild>
        <w:div w:id="1493910664">
          <w:marLeft w:val="0"/>
          <w:marRight w:val="0"/>
          <w:marTop w:val="0"/>
          <w:marBottom w:val="0"/>
          <w:divBdr>
            <w:top w:val="none" w:sz="0" w:space="0" w:color="auto"/>
            <w:left w:val="none" w:sz="0" w:space="0" w:color="auto"/>
            <w:bottom w:val="none" w:sz="0" w:space="0" w:color="auto"/>
            <w:right w:val="none" w:sz="0" w:space="0" w:color="auto"/>
          </w:divBdr>
        </w:div>
        <w:div w:id="985620928">
          <w:marLeft w:val="0"/>
          <w:marRight w:val="0"/>
          <w:marTop w:val="0"/>
          <w:marBottom w:val="0"/>
          <w:divBdr>
            <w:top w:val="none" w:sz="0" w:space="0" w:color="auto"/>
            <w:left w:val="none" w:sz="0" w:space="0" w:color="auto"/>
            <w:bottom w:val="none" w:sz="0" w:space="0" w:color="auto"/>
            <w:right w:val="none" w:sz="0" w:space="0" w:color="auto"/>
          </w:divBdr>
        </w:div>
        <w:div w:id="987320226">
          <w:marLeft w:val="0"/>
          <w:marRight w:val="0"/>
          <w:marTop w:val="0"/>
          <w:marBottom w:val="0"/>
          <w:divBdr>
            <w:top w:val="none" w:sz="0" w:space="0" w:color="auto"/>
            <w:left w:val="none" w:sz="0" w:space="0" w:color="auto"/>
            <w:bottom w:val="none" w:sz="0" w:space="0" w:color="auto"/>
            <w:right w:val="none" w:sz="0" w:space="0" w:color="auto"/>
          </w:divBdr>
        </w:div>
        <w:div w:id="285164188">
          <w:marLeft w:val="0"/>
          <w:marRight w:val="0"/>
          <w:marTop w:val="0"/>
          <w:marBottom w:val="0"/>
          <w:divBdr>
            <w:top w:val="none" w:sz="0" w:space="0" w:color="auto"/>
            <w:left w:val="none" w:sz="0" w:space="0" w:color="auto"/>
            <w:bottom w:val="none" w:sz="0" w:space="0" w:color="auto"/>
            <w:right w:val="none" w:sz="0" w:space="0" w:color="auto"/>
          </w:divBdr>
        </w:div>
      </w:divsChild>
    </w:div>
    <w:div w:id="2035231199">
      <w:bodyDiv w:val="1"/>
      <w:marLeft w:val="0"/>
      <w:marRight w:val="0"/>
      <w:marTop w:val="0"/>
      <w:marBottom w:val="0"/>
      <w:divBdr>
        <w:top w:val="none" w:sz="0" w:space="0" w:color="auto"/>
        <w:left w:val="none" w:sz="0" w:space="0" w:color="auto"/>
        <w:bottom w:val="none" w:sz="0" w:space="0" w:color="auto"/>
        <w:right w:val="none" w:sz="0" w:space="0" w:color="auto"/>
      </w:divBdr>
    </w:div>
    <w:div w:id="2076125554">
      <w:bodyDiv w:val="1"/>
      <w:marLeft w:val="0"/>
      <w:marRight w:val="0"/>
      <w:marTop w:val="0"/>
      <w:marBottom w:val="0"/>
      <w:divBdr>
        <w:top w:val="none" w:sz="0" w:space="0" w:color="auto"/>
        <w:left w:val="none" w:sz="0" w:space="0" w:color="auto"/>
        <w:bottom w:val="none" w:sz="0" w:space="0" w:color="auto"/>
        <w:right w:val="none" w:sz="0" w:space="0" w:color="auto"/>
      </w:divBdr>
    </w:div>
    <w:div w:id="2092502324">
      <w:bodyDiv w:val="1"/>
      <w:marLeft w:val="0"/>
      <w:marRight w:val="0"/>
      <w:marTop w:val="0"/>
      <w:marBottom w:val="0"/>
      <w:divBdr>
        <w:top w:val="none" w:sz="0" w:space="0" w:color="auto"/>
        <w:left w:val="none" w:sz="0" w:space="0" w:color="auto"/>
        <w:bottom w:val="none" w:sz="0" w:space="0" w:color="auto"/>
        <w:right w:val="none" w:sz="0" w:space="0" w:color="auto"/>
      </w:divBdr>
      <w:divsChild>
        <w:div w:id="1640837253">
          <w:marLeft w:val="0"/>
          <w:marRight w:val="0"/>
          <w:marTop w:val="0"/>
          <w:marBottom w:val="0"/>
          <w:divBdr>
            <w:top w:val="none" w:sz="0" w:space="0" w:color="auto"/>
            <w:left w:val="none" w:sz="0" w:space="0" w:color="auto"/>
            <w:bottom w:val="none" w:sz="0" w:space="0" w:color="auto"/>
            <w:right w:val="none" w:sz="0" w:space="0" w:color="auto"/>
          </w:divBdr>
        </w:div>
        <w:div w:id="1799758442">
          <w:marLeft w:val="0"/>
          <w:marRight w:val="0"/>
          <w:marTop w:val="0"/>
          <w:marBottom w:val="0"/>
          <w:divBdr>
            <w:top w:val="none" w:sz="0" w:space="0" w:color="auto"/>
            <w:left w:val="none" w:sz="0" w:space="0" w:color="auto"/>
            <w:bottom w:val="none" w:sz="0" w:space="0" w:color="auto"/>
            <w:right w:val="none" w:sz="0" w:space="0" w:color="auto"/>
          </w:divBdr>
        </w:div>
        <w:div w:id="1595937840">
          <w:marLeft w:val="0"/>
          <w:marRight w:val="0"/>
          <w:marTop w:val="0"/>
          <w:marBottom w:val="0"/>
          <w:divBdr>
            <w:top w:val="none" w:sz="0" w:space="0" w:color="auto"/>
            <w:left w:val="none" w:sz="0" w:space="0" w:color="auto"/>
            <w:bottom w:val="none" w:sz="0" w:space="0" w:color="auto"/>
            <w:right w:val="none" w:sz="0" w:space="0" w:color="auto"/>
          </w:divBdr>
        </w:div>
        <w:div w:id="1907493151">
          <w:marLeft w:val="0"/>
          <w:marRight w:val="0"/>
          <w:marTop w:val="0"/>
          <w:marBottom w:val="0"/>
          <w:divBdr>
            <w:top w:val="none" w:sz="0" w:space="0" w:color="auto"/>
            <w:left w:val="none" w:sz="0" w:space="0" w:color="auto"/>
            <w:bottom w:val="none" w:sz="0" w:space="0" w:color="auto"/>
            <w:right w:val="none" w:sz="0" w:space="0" w:color="auto"/>
          </w:divBdr>
        </w:div>
      </w:divsChild>
    </w:div>
    <w:div w:id="21427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259468-A6A5-4683-AF36-04A4876E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77</Pages>
  <Words>5881</Words>
  <Characters>33522</Characters>
  <Application>Microsoft Office Word</Application>
  <DocSecurity>0</DocSecurity>
  <Lines>279</Lines>
  <Paragraphs>78</Paragraphs>
  <ScaleCrop>false</ScaleCrop>
  <Company/>
  <LinksUpToDate>false</LinksUpToDate>
  <CharactersWithSpaces>39325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98</cp:revision>
  <dcterms:created xsi:type="dcterms:W3CDTF">2008-09-11T17:20:00Z</dcterms:created>
  <dcterms:modified xsi:type="dcterms:W3CDTF">2022-07-12T02:17:00Z</dcterms:modified>
</cp:coreProperties>
</file>