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lang w:val="en-US" w:eastAsia="zh-CN"/>
        </w:rPr>
        <w:t xml:space="preserve">附件2 </w:t>
      </w:r>
    </w:p>
    <w:p>
      <w:pPr>
        <w:widowControl w:val="0"/>
        <w:tabs>
          <w:tab w:val="left" w:pos="567"/>
        </w:tabs>
        <w:snapToGrid w:val="0"/>
        <w:spacing w:line="240" w:lineRule="auto"/>
        <w:jc w:val="center"/>
        <w:rPr>
          <w:rFonts w:ascii="方正小标宋简体" w:hAnsi="Times New Roman" w:eastAsia="方正小标宋简体" w:cs="Times New Roman"/>
          <w:color w:val="000000" w:themeColor="text1"/>
          <w:sz w:val="48"/>
          <w:szCs w:val="56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tabs>
          <w:tab w:val="left" w:pos="567"/>
        </w:tabs>
        <w:snapToGrid w:val="0"/>
        <w:spacing w:line="360" w:lineRule="auto"/>
        <w:jc w:val="center"/>
        <w:rPr>
          <w:rFonts w:ascii="方正小标宋简体" w:hAnsi="Times New Roman" w:eastAsia="方正小标宋简体" w:cs="Times New Roman"/>
          <w:color w:val="000000" w:themeColor="text1"/>
          <w:sz w:val="56"/>
          <w:szCs w:val="96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44"/>
          <w:sz w:val="10"/>
          <w:szCs w:val="1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Hlk146037296"/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44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装配式建筑可复制可推广技术</w:t>
      </w:r>
      <w:r>
        <w:rPr>
          <w:rFonts w:ascii="方正小标宋简体" w:hAnsi="宋体" w:eastAsia="方正小标宋简体" w:cs="宋体"/>
          <w:b w:val="0"/>
          <w:bCs w:val="0"/>
          <w:color w:val="000000" w:themeColor="text1"/>
          <w:kern w:val="44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体系</w:t>
      </w: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44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和产品</w:t>
      </w:r>
    </w:p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44"/>
          <w:sz w:val="10"/>
          <w:szCs w:val="1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44"/>
          <w:sz w:val="10"/>
          <w:szCs w:val="1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44"/>
          <w:sz w:val="10"/>
          <w:szCs w:val="1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方正小标宋简体" w:hAnsi="宋体" w:eastAsia="方正小标宋简体" w:cs="宋体"/>
          <w:b w:val="0"/>
          <w:bCs w:val="0"/>
          <w:color w:val="000000" w:themeColor="text1"/>
          <w:kern w:val="44"/>
          <w:sz w:val="84"/>
          <w:szCs w:val="8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 w:themeColor="text1"/>
          <w:kern w:val="44"/>
          <w:sz w:val="84"/>
          <w:szCs w:val="8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申报书</w:t>
      </w:r>
    </w:p>
    <w:bookmarkEnd w:id="0"/>
    <w:p>
      <w:pPr>
        <w:widowControl w:val="0"/>
        <w:tabs>
          <w:tab w:val="left" w:pos="567"/>
        </w:tabs>
        <w:snapToGrid w:val="0"/>
        <w:spacing w:line="360" w:lineRule="auto"/>
        <w:jc w:val="center"/>
        <w:rPr>
          <w:rFonts w:ascii="仿宋" w:hAnsi="仿宋" w:eastAsia="仿宋" w:cs="Times New Roman"/>
          <w:color w:val="000000" w:themeColor="text1"/>
          <w:sz w:val="36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tabs>
          <w:tab w:val="left" w:pos="567"/>
        </w:tabs>
        <w:snapToGrid w:val="0"/>
        <w:spacing w:line="360" w:lineRule="auto"/>
        <w:jc w:val="center"/>
        <w:rPr>
          <w:rFonts w:ascii="仿宋" w:hAnsi="仿宋" w:eastAsia="仿宋" w:cs="Times New Roman"/>
          <w:color w:val="000000" w:themeColor="text1"/>
          <w:sz w:val="36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tabs>
          <w:tab w:val="left" w:pos="567"/>
        </w:tabs>
        <w:snapToGrid w:val="0"/>
        <w:spacing w:line="600" w:lineRule="auto"/>
        <w:ind w:firstLine="640" w:firstLine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申报类别：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技术体系/产品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idowControl w:val="0"/>
        <w:tabs>
          <w:tab w:val="left" w:pos="567"/>
        </w:tabs>
        <w:snapToGrid w:val="0"/>
        <w:spacing w:line="600" w:lineRule="auto"/>
        <w:ind w:firstLine="640" w:firstLine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称：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 w:val="0"/>
        <w:tabs>
          <w:tab w:val="left" w:pos="567"/>
        </w:tabs>
        <w:snapToGrid w:val="0"/>
        <w:spacing w:line="600" w:lineRule="auto"/>
        <w:ind w:firstLine="640" w:firstLineChars="200"/>
        <w:jc w:val="left"/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仿宋" w:hAnsi="仿宋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（公章）</w:t>
      </w:r>
    </w:p>
    <w:p>
      <w:pPr>
        <w:widowControl w:val="0"/>
        <w:tabs>
          <w:tab w:val="left" w:pos="567"/>
        </w:tabs>
        <w:snapToGrid w:val="0"/>
        <w:spacing w:line="600" w:lineRule="auto"/>
        <w:ind w:left="1699" w:leftChars="531"/>
        <w:jc w:val="left"/>
        <w:rPr>
          <w:rFonts w:ascii="仿宋" w:hAnsi="仿宋" w:eastAsia="仿宋" w:cs="Times New Roman"/>
          <w:color w:val="000000" w:themeColor="text1"/>
          <w:sz w:val="36"/>
          <w:szCs w:val="44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tabs>
          <w:tab w:val="left" w:pos="567"/>
        </w:tabs>
        <w:snapToGrid w:val="0"/>
        <w:spacing w:line="600" w:lineRule="auto"/>
        <w:ind w:left="1699" w:leftChars="531"/>
        <w:jc w:val="left"/>
        <w:rPr>
          <w:rFonts w:ascii="仿宋" w:hAnsi="仿宋" w:eastAsia="仿宋" w:cs="Times New Roman"/>
          <w:color w:val="000000" w:themeColor="text1"/>
          <w:sz w:val="36"/>
          <w:szCs w:val="44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tabs>
          <w:tab w:val="left" w:pos="567"/>
        </w:tabs>
        <w:snapToGrid w:val="0"/>
        <w:spacing w:line="600" w:lineRule="auto"/>
        <w:jc w:val="center"/>
        <w:rPr>
          <w:rFonts w:ascii="黑体" w:hAnsi="黑体" w:eastAsia="黑体" w:cs="Times New Roman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 xml:space="preserve">申报日期： </w:t>
      </w:r>
      <w:r>
        <w:rPr>
          <w:rFonts w:ascii="黑体" w:hAnsi="黑体" w:eastAsia="黑体" w:cs="Times New Roman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Times New Roman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黑体" w:hAnsi="黑体" w:eastAsia="黑体" w:cs="Times New Roman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Times New Roman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黑体" w:hAnsi="黑体" w:eastAsia="黑体" w:cs="Times New Roman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Times New Roman"/>
          <w:color w:val="000000" w:themeColor="text1"/>
          <w:sz w:val="32"/>
          <w:szCs w:val="40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widowControl w:val="0"/>
        <w:tabs>
          <w:tab w:val="left" w:pos="567"/>
        </w:tabs>
        <w:snapToGrid w:val="0"/>
        <w:spacing w:line="600" w:lineRule="auto"/>
        <w:jc w:val="center"/>
        <w:rPr>
          <w:rFonts w:ascii="黑体" w:hAnsi="黑体" w:eastAsia="黑体" w:cs="Times New Roman"/>
          <w:color w:val="000000" w:themeColor="text1"/>
          <w:sz w:val="36"/>
          <w:szCs w:val="44"/>
          <w:highlight w:val="none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</w:p>
    <w:p>
      <w:pPr>
        <w:widowControl w:val="0"/>
        <w:spacing w:line="300" w:lineRule="auto"/>
        <w:jc w:val="center"/>
        <w:rPr>
          <w:rFonts w:ascii="黑体" w:hAnsi="黑体" w:eastAsia="黑体" w:cs="Times New Roman"/>
          <w:b/>
          <w:color w:val="000000" w:themeColor="text1"/>
          <w:kern w:val="36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30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36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36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承诺书</w:t>
      </w:r>
    </w:p>
    <w:p>
      <w:pPr>
        <w:widowControl w:val="0"/>
        <w:spacing w:line="240" w:lineRule="auto"/>
        <w:jc w:val="both"/>
        <w:rPr>
          <w:rFonts w:ascii="Times New Roman" w:hAnsi="Times New Roman" w:eastAsia="宋体" w:cs="Times New Roman"/>
          <w:color w:val="000000" w:themeColor="text1"/>
          <w:sz w:val="21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40" w:lineRule="auto"/>
        <w:jc w:val="both"/>
        <w:rPr>
          <w:rFonts w:ascii="Times New Roman" w:hAnsi="Times New Roman" w:eastAsia="宋体" w:cs="Times New Roman"/>
          <w:color w:val="000000" w:themeColor="text1"/>
          <w:sz w:val="21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:highlight w:val="none"/>
          <w14:textFill>
            <w14:solidFill>
              <w14:schemeClr w14:val="tx1"/>
            </w14:solidFill>
          </w14:textFill>
        </w:rPr>
        <w:t>近三年财务状况良好，在质量、安全、信誉和社会责任等方面无不良记录，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申报的所有材料均真实、完整，如有不实，愿承担相应责任。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在不涉及商业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秘密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的情况下，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将申报信息公开发布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spacing w:line="600" w:lineRule="auto"/>
        <w:ind w:firstLine="640" w:firstLineChars="200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600" w:lineRule="auto"/>
        <w:ind w:firstLine="640" w:firstLineChars="200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wordWrap w:val="0"/>
        <w:spacing w:line="600" w:lineRule="auto"/>
        <w:ind w:right="1120"/>
        <w:jc w:val="right"/>
        <w:rPr>
          <w:rFonts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公章：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 w:val="0"/>
        <w:spacing w:line="600" w:lineRule="auto"/>
        <w:ind w:firstLine="640" w:firstLineChars="200"/>
        <w:jc w:val="right"/>
        <w:rPr>
          <w:rFonts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年  月 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日 </w:t>
      </w:r>
    </w:p>
    <w:p>
      <w:pPr>
        <w:widowControl w:val="0"/>
        <w:spacing w:line="600" w:lineRule="auto"/>
        <w:ind w:firstLine="640" w:firstLineChars="200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600" w:lineRule="auto"/>
        <w:ind w:firstLine="640" w:firstLineChars="200"/>
        <w:jc w:val="both"/>
        <w:rPr>
          <w:rFonts w:ascii="仿宋" w:hAnsi="仿宋" w:cs="仿宋"/>
          <w:bCs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800" w:bottom="1440" w:left="1800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</w:p>
    <w:p>
      <w:pPr>
        <w:keepNext/>
        <w:keepLines/>
        <w:adjustRightInd w:val="0"/>
        <w:snapToGrid w:val="0"/>
        <w:spacing w:line="360" w:lineRule="auto"/>
        <w:ind w:firstLine="640" w:firstLineChars="200"/>
        <w:outlineLvl w:val="0"/>
        <w:rPr>
          <w:rFonts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一、申报表</w:t>
      </w:r>
    </w:p>
    <w:tbl>
      <w:tblPr>
        <w:tblStyle w:val="13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920"/>
        <w:gridCol w:w="1203"/>
        <w:gridCol w:w="1318"/>
        <w:gridCol w:w="1132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    称</w:t>
            </w:r>
          </w:p>
        </w:tc>
        <w:tc>
          <w:tcPr>
            <w:tcW w:w="8500" w:type="dxa"/>
            <w:gridSpan w:val="5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申报类型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技术体系</w:t>
            </w:r>
          </w:p>
        </w:tc>
        <w:tc>
          <w:tcPr>
            <w:tcW w:w="6580" w:type="dxa"/>
            <w:gridSpan w:val="4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结构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系统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□围护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系统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内装系统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集成厨卫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设备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管线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系统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    品</w:t>
            </w:r>
          </w:p>
        </w:tc>
        <w:tc>
          <w:tcPr>
            <w:tcW w:w="6580" w:type="dxa"/>
            <w:gridSpan w:val="4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新装备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新材料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新产品 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8500" w:type="dxa"/>
            <w:gridSpan w:val="5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所属省份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377" w:type="dxa"/>
            <w:gridSpan w:val="3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是否是产业基地</w:t>
            </w:r>
          </w:p>
        </w:tc>
        <w:tc>
          <w:tcPr>
            <w:tcW w:w="8500" w:type="dxa"/>
            <w:gridSpan w:val="5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国家产业基地（第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批）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适用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（根据申报类型填写）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结构系统</w:t>
            </w:r>
          </w:p>
        </w:tc>
        <w:tc>
          <w:tcPr>
            <w:tcW w:w="6580" w:type="dxa"/>
            <w:gridSpan w:val="4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适用设防烈度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；适用建筑最大高度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围护系统</w:t>
            </w:r>
          </w:p>
        </w:tc>
        <w:tc>
          <w:tcPr>
            <w:tcW w:w="6580" w:type="dxa"/>
            <w:gridSpan w:val="4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适用气候区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内装系统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集成厨卫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设备与管线系统</w:t>
            </w:r>
          </w:p>
        </w:tc>
        <w:tc>
          <w:tcPr>
            <w:tcW w:w="6580" w:type="dxa"/>
            <w:gridSpan w:val="4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适用结构类型：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混凝土结构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钢结构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木（竹）结构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ind w:firstLine="1680" w:firstLineChars="700"/>
              <w:jc w:val="both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6580" w:type="dxa"/>
            <w:gridSpan w:val="4"/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适用结构类型：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混凝土结构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钢结构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木（竹）结构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ind w:firstLine="1680" w:firstLineChars="700"/>
              <w:jc w:val="both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226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8500" w:type="dxa"/>
            <w:gridSpan w:val="5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包括技术名称、特点、功能、用途、适用范围，结合解决的主要问题阐述技术优势，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字以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22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涉及标准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已颁布实施的涉及技术体系/产品应用的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相关标准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标准名称、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颁布单位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、编号和实施时间。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226" w:type="dxa"/>
            <w:tcBorders>
              <w:top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19" w:beforeLines="50" w:line="360" w:lineRule="auto"/>
              <w:jc w:val="both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项目应用情况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19" w:beforeLines="50" w:line="360" w:lineRule="auto"/>
              <w:jc w:val="both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技术体系/产品已应用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项目规模及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典型项目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不超过3个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1440" w:right="1800" w:bottom="1440" w:left="1800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</w:p>
    <w:p>
      <w:pPr>
        <w:keepNext/>
        <w:keepLines/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二、技术体系/产品介绍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详细阐述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体系/产品的具体内容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特点、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构造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生产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装备研发和应用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和施工工艺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等，重点关注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技术体系改进与提升中的关键、核心技术及工艺工法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要求图文并茂，表述清晰，5000字以内。</w:t>
      </w:r>
    </w:p>
    <w:p>
      <w:pPr>
        <w:keepNext/>
        <w:keepLines/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三、技术</w:t>
      </w:r>
      <w:r>
        <w:rPr>
          <w:rFonts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优势及解决的突出问题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详细介绍技术体系/产品的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优势及其在建造或使用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维修中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解决的突出问题，包括但不限于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质量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、解决通病、提升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安全、节能环保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维护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易更换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等方面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的定性描述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在品质提升、效率增长、质量保障、成本优化等方面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可评价指标的定量描述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1000字以内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对于结构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分析较传统现浇结构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体系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施工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现场节材、减少现场支模、减少临时措施、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缩短施工周期、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建筑垃圾减量、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提升耐久性和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建筑品质等方面的优势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对于围护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重点阐述其在结构、保温、装饰一体化方面的优势，阐述其在解决传统外墙防火、耐久性、保温层抗脱落等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问题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方面的优势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对于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内装系统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分析其在提升使用品质、节约工期、降噪、降低拆改危害、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完成面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品质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防渗漏、防开裂、便于后期维护等方面的优势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ascii="仿宋_GB2312" w:hAnsi="宋体" w:eastAsia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footerReference r:id="rId6" w:type="default"/>
          <w:pgSz w:w="11906" w:h="16838"/>
          <w:pgMar w:top="1440" w:right="1800" w:bottom="1440" w:left="1800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对于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集成厨卫、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设备与管线系统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分析其在现场人工需求、施工工期、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一体化集成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提高工程质量与建筑品质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等方面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优势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对于产品，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重点阐述其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安全性、标准化、接口（节点）通用性、性能提升、便捷性、构造合理性等系统解决施工问题及提升效率与性能品质的优势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/>
        <w:keepLines/>
        <w:adjustRightInd w:val="0"/>
        <w:snapToGrid w:val="0"/>
        <w:spacing w:line="360" w:lineRule="auto"/>
        <w:ind w:firstLine="640" w:firstLineChars="200"/>
        <w:outlineLvl w:val="0"/>
        <w:rPr>
          <w:rFonts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四、综合效益分析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详细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分析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应用技术体系/产品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所产生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的综合效益，包括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考虑各种因素的综合建造成本，以及</w:t>
      </w:r>
      <w:r>
        <w:rPr>
          <w:rFonts w:hint="eastAsia" w:ascii="等线" w:hAnsi="等线" w:eastAsia="仿宋" w:cs="Times New Roman"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全生命周</w:t>
      </w:r>
      <w:r>
        <w:rPr>
          <w:rFonts w:hint="eastAsia" w:ascii="等线" w:hAnsi="等线" w:eastAsia="仿宋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期的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经济效益、社会效益、环境效益</w:t>
      </w:r>
      <w:r>
        <w:rPr>
          <w:rFonts w:hint="eastAsia" w:ascii="等线" w:hAnsi="等线" w:eastAsia="仿宋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字以内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/>
        <w:keepLines/>
        <w:adjustRightInd w:val="0"/>
        <w:snapToGrid w:val="0"/>
        <w:spacing w:line="360" w:lineRule="auto"/>
        <w:ind w:firstLine="640" w:firstLineChars="200"/>
        <w:outlineLvl w:val="0"/>
        <w:rPr>
          <w:rFonts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五、相关标准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详细阐述已颁布实施的与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技术体系/产品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配套的标准，简要介绍相关标准内容，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与现行国家、行业标准的适应情况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以及在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设计、生产、施工、验收、维护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全过程的完整性和可操作性。</w:t>
      </w:r>
    </w:p>
    <w:p>
      <w:pPr>
        <w:keepNext/>
        <w:keepLines/>
        <w:adjustRightInd w:val="0"/>
        <w:snapToGrid w:val="0"/>
        <w:spacing w:line="360" w:lineRule="auto"/>
        <w:ind w:firstLine="640" w:firstLineChars="200"/>
        <w:outlineLvl w:val="0"/>
        <w:rPr>
          <w:rFonts w:hint="default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六、技术创新与成果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简要介绍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技术体系/产品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的创新点，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支撑技术体系/产品所开展的相关研发工作及成果，含专利、成果鉴定、获奖情况等。</w:t>
      </w:r>
    </w:p>
    <w:p>
      <w:pPr>
        <w:keepNext/>
        <w:keepLines/>
        <w:adjustRightInd w:val="0"/>
        <w:snapToGrid w:val="0"/>
        <w:spacing w:line="360" w:lineRule="auto"/>
        <w:ind w:firstLine="640" w:firstLineChars="200"/>
        <w:outlineLvl w:val="0"/>
        <w:rPr>
          <w:rFonts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七、工程应用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1、典型应用案例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default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挑选3个典型案例，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简要介绍项目基本概况（名称、地址、建筑面积、建筑功能、高度及地上/地下层数、竣工时间等），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详细介绍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体系/</w:t>
      </w:r>
      <w:r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产品应用情况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重点阐述在品质提升、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成本控制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及解决建造及使用维修中突出问题等方面的实际效果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要求图文并茂，每个案例500字以内。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2、应用情况汇总表</w:t>
      </w:r>
    </w:p>
    <w:tbl>
      <w:tblPr>
        <w:tblStyle w:val="1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35"/>
        <w:gridCol w:w="1200"/>
        <w:gridCol w:w="1728"/>
        <w:gridCol w:w="167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开发建设单位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应用建筑面积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具体应用情况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right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总计应用建筑面积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/>
        <w:keepLines/>
        <w:adjustRightInd w:val="0"/>
        <w:snapToGrid w:val="0"/>
        <w:spacing w:line="360" w:lineRule="auto"/>
        <w:ind w:firstLine="640" w:firstLineChars="200"/>
        <w:outlineLvl w:val="0"/>
        <w:rPr>
          <w:rFonts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44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八、附件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1、相关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专家评审意见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技术鉴定（评估）证书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3、相关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原件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专利证书</w:t>
      </w:r>
    </w:p>
    <w:p>
      <w:pPr>
        <w:widowControl/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7" w:type="default"/>
          <w:pgSz w:w="11906" w:h="16838"/>
          <w:pgMar w:top="1440" w:right="1800" w:bottom="1440" w:left="1800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5、奖励或其他证明材料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装配式建筑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可复制可推广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技术体系和产品推荐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汇总表</w:t>
      </w:r>
    </w:p>
    <w:tbl>
      <w:tblPr>
        <w:tblStyle w:val="12"/>
        <w:tblW w:w="1423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738"/>
        <w:gridCol w:w="1284"/>
        <w:gridCol w:w="1521"/>
        <w:gridCol w:w="2708"/>
        <w:gridCol w:w="2730"/>
        <w:gridCol w:w="1337"/>
        <w:gridCol w:w="1722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技术内容</w:t>
            </w:r>
          </w:p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（不超过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涉及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适用范围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典型工程名称</w:t>
            </w:r>
          </w:p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（不超过3个）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技术体系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6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6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240" w:lineRule="auto"/>
        <w:jc w:val="both"/>
        <w:rPr>
          <w:rFonts w:ascii="黑体" w:hAnsi="黑体" w:eastAsia="黑体" w:cs="Times New Roman"/>
          <w:color w:val="000000" w:themeColor="text1"/>
          <w:szCs w:val="4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   　</w:t>
      </w:r>
      <w:r>
        <w:rPr>
          <w:rFonts w:hint="eastAsia" w:ascii="仿宋_GB2312" w:eastAsia="仿宋_GB2312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注：1.不够可插行。2.分类推荐事项应有先后排序。</w:t>
      </w:r>
      <w:r>
        <w:rPr>
          <w:rFonts w:hint="eastAsia" w:ascii="仿宋_GB2312" w:hAnsi="Calibri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　　　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center"/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center"/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center"/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spacing w:line="240" w:lineRule="auto"/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center"/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3</w: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3</w: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spacing w:line="240" w:lineRule="auto"/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center"/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4</w:t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等线" w:hAnsi="等线" w:eastAsia="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4</w:t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等线" w:hAnsi="等线" w:eastAsia="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spacing w:line="240" w:lineRule="auto"/>
      <w:rPr>
        <w:rFonts w:ascii="等线" w:hAnsi="等线" w:eastAsia="仿宋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5E977924"/>
    <w:rsid w:val="005E5293"/>
    <w:rsid w:val="009F242B"/>
    <w:rsid w:val="00AD5B3D"/>
    <w:rsid w:val="00B772D3"/>
    <w:rsid w:val="00EA5778"/>
    <w:rsid w:val="0598323F"/>
    <w:rsid w:val="0F2D5874"/>
    <w:rsid w:val="17DAF693"/>
    <w:rsid w:val="1DB86168"/>
    <w:rsid w:val="1F236109"/>
    <w:rsid w:val="4A2658A1"/>
    <w:rsid w:val="4F7D0D47"/>
    <w:rsid w:val="5E977924"/>
    <w:rsid w:val="64EE55D5"/>
    <w:rsid w:val="7BA173F8"/>
    <w:rsid w:val="9FD7BB03"/>
    <w:rsid w:val="FAFEC4B6"/>
    <w:rsid w:val="FFFB9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adjustRightInd w:val="0"/>
      <w:snapToGrid w:val="0"/>
      <w:spacing w:line="360" w:lineRule="auto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  <w:sz w:val="21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table of authorities"/>
    <w:basedOn w:val="1"/>
    <w:next w:val="1"/>
    <w:unhideWhenUsed/>
    <w:qFormat/>
    <w:uiPriority w:val="0"/>
    <w:pPr>
      <w:ind w:left="420" w:leftChars="200"/>
    </w:pPr>
    <w:rPr>
      <w:rFonts w:ascii="Calibri" w:hAnsi="Calibri" w:eastAsia="宋体" w:cs="Times New Roman"/>
      <w:sz w:val="21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paragraph" w:styleId="11">
    <w:name w:val="Body Text First Indent 2"/>
    <w:basedOn w:val="7"/>
    <w:qFormat/>
    <w:uiPriority w:val="0"/>
    <w:pPr>
      <w:widowControl w:val="0"/>
      <w:spacing w:after="120"/>
      <w:ind w:left="420" w:leftChars="200" w:firstLine="420" w:firstLineChars="200"/>
    </w:pPr>
    <w:rPr>
      <w:rFonts w:ascii="Times New Roman" w:hAnsi="Times New Roman" w:eastAsia="Times New Roman" w:cs="Times New Roman"/>
      <w:color w:val="000000"/>
      <w:sz w:val="24"/>
      <w:lang w:val="en-US" w:eastAsia="en-US" w:bidi="en-US"/>
    </w:rPr>
  </w:style>
  <w:style w:type="table" w:styleId="13">
    <w:name w:val="Table Grid"/>
    <w:basedOn w:val="12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rFonts w:ascii="Times New Roman" w:hAnsi="Times New Roman" w:eastAsia="宋体" w:cs="Times New Roman"/>
      <w:b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正文1"/>
    <w:next w:val="18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8">
    <w:name w:val="正文首行缩进 21"/>
    <w:basedOn w:val="19"/>
    <w:next w:val="19"/>
    <w:qFormat/>
    <w:uiPriority w:val="0"/>
    <w:rPr>
      <w:rFonts w:ascii="Times New Roman" w:hAnsi="Times New Roman" w:eastAsia="宋体" w:cs="Times New Roman"/>
    </w:rPr>
  </w:style>
  <w:style w:type="paragraph" w:customStyle="1" w:styleId="19">
    <w:name w:val="正文首行缩进1"/>
    <w:basedOn w:val="20"/>
    <w:qFormat/>
    <w:uiPriority w:val="0"/>
    <w:rPr>
      <w:rFonts w:ascii="Times New Roman" w:hAnsi="Times New Roman" w:eastAsia="宋体" w:cs="Times New Roman"/>
    </w:rPr>
  </w:style>
  <w:style w:type="paragraph" w:customStyle="1" w:styleId="20">
    <w:name w:val="正文文本1"/>
    <w:basedOn w:val="17"/>
    <w:qFormat/>
    <w:uiPriority w:val="0"/>
    <w:rPr>
      <w:rFonts w:ascii="Times New Roman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2023-10-21T12:37:00Z</dcterms:created>
  <dc:creator>uos</dc:creator>
  <cp:lastModifiedBy>冯卫/信息中心/湖北省住房和城乡建设厅</cp:lastModifiedBy>
  <cp:lastPrinted>2023-10-29T12:29:00Z</cp:lastPrinted>
  <dcterms:modified xsi:type="dcterms:W3CDTF">2023-11-01T07:14:05Z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6DDB3265830E4E438804A62EE821AA32</vt:lpwstr>
  </property>
</Properties>
</file>